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7EF2BD5">
      <w:pPr>
        <w:pStyle w:val="27"/>
        <w:jc w:val="center"/>
        <w:rPr>
          <w:rFonts w:hint="eastAsia" w:hAnsi="宋体"/>
          <w:b/>
          <w:bCs/>
          <w:color w:val="auto"/>
          <w:spacing w:val="80"/>
          <w:sz w:val="48"/>
          <w:szCs w:val="48"/>
        </w:rPr>
      </w:pPr>
      <w:r>
        <w:rPr>
          <w:rFonts w:hint="eastAsia" w:hAnsi="宋体" w:cs="宋体"/>
          <w:b/>
          <w:bCs/>
          <w:color w:val="auto"/>
          <w:kern w:val="0"/>
          <w:sz w:val="60"/>
          <w:szCs w:val="60"/>
          <w:lang w:val="zh-CN" w:bidi="zh-CN"/>
        </w:rPr>
        <w:t>广西晟昌工程科技有限责任公司</w:t>
      </w:r>
    </w:p>
    <w:p w14:paraId="2D71759A">
      <w:pPr>
        <w:pStyle w:val="27"/>
        <w:jc w:val="center"/>
        <w:rPr>
          <w:rFonts w:hint="eastAsia" w:hAnsi="宋体"/>
          <w:b/>
          <w:bCs/>
          <w:color w:val="auto"/>
          <w:spacing w:val="80"/>
          <w:sz w:val="72"/>
        </w:rPr>
      </w:pPr>
    </w:p>
    <w:p w14:paraId="74B96C16">
      <w:pPr>
        <w:pStyle w:val="27"/>
        <w:jc w:val="center"/>
        <w:rPr>
          <w:rFonts w:hint="eastAsia" w:hAnsi="宋体"/>
          <w:b/>
          <w:bCs/>
          <w:color w:val="auto"/>
          <w:spacing w:val="80"/>
          <w:sz w:val="72"/>
        </w:rPr>
      </w:pPr>
      <w:r>
        <w:rPr>
          <w:rFonts w:hint="eastAsia" w:hAnsi="宋体"/>
          <w:b/>
          <w:bCs/>
          <w:color w:val="auto"/>
          <w:spacing w:val="80"/>
          <w:sz w:val="72"/>
        </w:rPr>
        <w:drawing>
          <wp:inline distT="0" distB="0" distL="114300" distR="114300">
            <wp:extent cx="1847850" cy="1714500"/>
            <wp:effectExtent l="0" t="0" r="11430" b="7620"/>
            <wp:docPr id="4" name="图片 1" descr="cad7c4d168ddefc02697419c8a630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ad7c4d168ddefc02697419c8a6302c"/>
                    <pic:cNvPicPr>
                      <a:picLocks noChangeAspect="1"/>
                    </pic:cNvPicPr>
                  </pic:nvPicPr>
                  <pic:blipFill>
                    <a:blip r:embed="rId5"/>
                    <a:stretch>
                      <a:fillRect/>
                    </a:stretch>
                  </pic:blipFill>
                  <pic:spPr>
                    <a:xfrm>
                      <a:off x="0" y="0"/>
                      <a:ext cx="1847850" cy="1714500"/>
                    </a:xfrm>
                    <a:prstGeom prst="rect">
                      <a:avLst/>
                    </a:prstGeom>
                    <a:noFill/>
                    <a:ln>
                      <a:noFill/>
                    </a:ln>
                  </pic:spPr>
                </pic:pic>
              </a:graphicData>
            </a:graphic>
          </wp:inline>
        </w:drawing>
      </w:r>
    </w:p>
    <w:p w14:paraId="08746B5A">
      <w:pPr>
        <w:pStyle w:val="232"/>
        <w:ind w:firstLine="480"/>
        <w:rPr>
          <w:color w:val="auto"/>
        </w:rPr>
      </w:pPr>
    </w:p>
    <w:p w14:paraId="754709C6">
      <w:pPr>
        <w:rPr>
          <w:color w:val="auto"/>
        </w:rPr>
      </w:pPr>
    </w:p>
    <w:p w14:paraId="414EE5F8">
      <w:pPr>
        <w:spacing w:line="1400" w:lineRule="exact"/>
        <w:jc w:val="center"/>
        <w:rPr>
          <w:rFonts w:hint="eastAsia" w:ascii="宋体" w:hAnsi="宋体"/>
          <w:b/>
          <w:color w:val="auto"/>
          <w:spacing w:val="60"/>
          <w:sz w:val="96"/>
          <w:szCs w:val="132"/>
        </w:rPr>
      </w:pPr>
      <w:r>
        <w:rPr>
          <w:rFonts w:hint="eastAsia" w:ascii="宋体" w:hAnsi="宋体"/>
          <w:b/>
          <w:color w:val="auto"/>
          <w:spacing w:val="60"/>
          <w:sz w:val="96"/>
          <w:szCs w:val="132"/>
        </w:rPr>
        <w:t>招标文件</w:t>
      </w:r>
    </w:p>
    <w:p w14:paraId="0AD92A72">
      <w:pPr>
        <w:pStyle w:val="27"/>
        <w:rPr>
          <w:rFonts w:hint="eastAsia" w:hAnsi="宋体"/>
          <w:b/>
          <w:color w:val="auto"/>
          <w:sz w:val="48"/>
          <w:szCs w:val="48"/>
        </w:rPr>
      </w:pPr>
    </w:p>
    <w:p w14:paraId="483E189A">
      <w:pPr>
        <w:pStyle w:val="27"/>
        <w:rPr>
          <w:rFonts w:hint="eastAsia" w:hAnsi="宋体"/>
          <w:color w:val="auto"/>
        </w:rPr>
      </w:pPr>
    </w:p>
    <w:p w14:paraId="1142A6D6">
      <w:pPr>
        <w:pStyle w:val="27"/>
        <w:rPr>
          <w:rFonts w:hint="eastAsia" w:hAnsi="宋体"/>
          <w:color w:val="auto"/>
        </w:rPr>
      </w:pPr>
    </w:p>
    <w:p w14:paraId="45071FE1">
      <w:pPr>
        <w:pStyle w:val="27"/>
        <w:rPr>
          <w:rFonts w:hint="eastAsia" w:hAnsi="宋体"/>
          <w:color w:val="auto"/>
        </w:rPr>
      </w:pPr>
    </w:p>
    <w:p w14:paraId="3D5EE729">
      <w:pPr>
        <w:spacing w:line="600" w:lineRule="exact"/>
        <w:jc w:val="left"/>
        <w:rPr>
          <w:rFonts w:hint="eastAsia" w:ascii="宋体" w:hAnsi="宋体"/>
          <w:b/>
          <w:color w:val="auto"/>
          <w:sz w:val="30"/>
          <w:szCs w:val="30"/>
        </w:rPr>
      </w:pPr>
      <w:r>
        <w:rPr>
          <w:rFonts w:hint="eastAsia" w:ascii="宋体" w:hAnsi="宋体"/>
          <w:b/>
          <w:color w:val="auto"/>
          <w:sz w:val="30"/>
          <w:szCs w:val="30"/>
        </w:rPr>
        <w:t>项目名称：桂林市第二技工学校高技能人才培训基地建设项目设备采购</w:t>
      </w:r>
    </w:p>
    <w:p w14:paraId="7CD6E35C">
      <w:pPr>
        <w:spacing w:line="600" w:lineRule="exact"/>
        <w:ind w:firstLine="964" w:firstLineChars="300"/>
        <w:jc w:val="left"/>
        <w:rPr>
          <w:rFonts w:hint="eastAsia" w:ascii="宋体" w:hAnsi="宋体"/>
          <w:b/>
          <w:color w:val="auto"/>
          <w:sz w:val="32"/>
          <w:szCs w:val="32"/>
        </w:rPr>
      </w:pPr>
      <w:r>
        <w:rPr>
          <w:rFonts w:hint="eastAsia" w:ascii="宋体" w:hAnsi="宋体"/>
          <w:b/>
          <w:color w:val="auto"/>
          <w:sz w:val="32"/>
          <w:szCs w:val="32"/>
        </w:rPr>
        <w:t>项目编号：</w:t>
      </w:r>
      <w:r>
        <w:rPr>
          <w:color w:val="auto"/>
        </w:rPr>
        <w:fldChar w:fldCharType="begin"/>
      </w:r>
      <w:r>
        <w:rPr>
          <w:color w:val="auto"/>
        </w:rPr>
        <w:instrText xml:space="preserve"> HYPERLINK "https://www.gcy.zfcg.gxzf.gov.cn/project-center/_procurement_/project-result-detail/7178423727570288644" \t "https://www.gcy.zfcg.gxzf.gov.cn/project-center/_procurement_/self-project/_blank" </w:instrText>
      </w:r>
      <w:r>
        <w:rPr>
          <w:color w:val="auto"/>
        </w:rPr>
        <w:fldChar w:fldCharType="separate"/>
      </w:r>
      <w:r>
        <w:rPr>
          <w:rFonts w:hint="eastAsia" w:ascii="宋体" w:hAnsi="宋体"/>
          <w:b/>
          <w:color w:val="auto"/>
          <w:sz w:val="32"/>
          <w:szCs w:val="32"/>
        </w:rPr>
        <w:t>GLZC2025-G1-990248-GXSC</w:t>
      </w:r>
      <w:r>
        <w:rPr>
          <w:rFonts w:hint="eastAsia" w:ascii="宋体" w:hAnsi="宋体"/>
          <w:b/>
          <w:color w:val="auto"/>
          <w:sz w:val="32"/>
          <w:szCs w:val="32"/>
        </w:rPr>
        <w:fldChar w:fldCharType="end"/>
      </w:r>
    </w:p>
    <w:p w14:paraId="5ADD4DF6">
      <w:pPr>
        <w:ind w:left="-2" w:leftChars="-1"/>
        <w:jc w:val="center"/>
        <w:rPr>
          <w:rFonts w:hint="eastAsia" w:ascii="宋体" w:hAnsi="宋体"/>
          <w:color w:val="auto"/>
        </w:rPr>
      </w:pPr>
      <w:r>
        <w:rPr>
          <w:rFonts w:hint="eastAsia" w:ascii="宋体" w:hAnsi="宋体"/>
          <w:color w:val="auto"/>
        </w:rPr>
        <w:cr/>
      </w:r>
    </w:p>
    <w:p w14:paraId="7704B4D9">
      <w:pPr>
        <w:rPr>
          <w:rFonts w:hint="eastAsia" w:ascii="宋体" w:hAnsi="宋体"/>
          <w:color w:val="auto"/>
        </w:rPr>
      </w:pPr>
    </w:p>
    <w:p w14:paraId="0A9AEAE9">
      <w:pPr>
        <w:widowControl/>
        <w:jc w:val="left"/>
        <w:rPr>
          <w:rFonts w:hint="eastAsia" w:ascii="宋体" w:hAnsi="宋体"/>
          <w:color w:val="auto"/>
        </w:rPr>
      </w:pPr>
    </w:p>
    <w:p w14:paraId="7432ACB5">
      <w:pPr>
        <w:pStyle w:val="232"/>
        <w:ind w:firstLine="480"/>
        <w:rPr>
          <w:color w:val="auto"/>
        </w:rPr>
      </w:pPr>
    </w:p>
    <w:p w14:paraId="57188135">
      <w:pPr>
        <w:widowControl/>
        <w:jc w:val="left"/>
        <w:rPr>
          <w:rFonts w:hint="eastAsia" w:ascii="宋体" w:hAnsi="宋体"/>
          <w:color w:val="auto"/>
        </w:rPr>
      </w:pPr>
    </w:p>
    <w:p w14:paraId="6221A5FE">
      <w:pPr>
        <w:rPr>
          <w:rFonts w:hint="eastAsia" w:ascii="宋体" w:hAnsi="宋体"/>
          <w:b/>
          <w:color w:val="auto"/>
          <w:sz w:val="32"/>
          <w:szCs w:val="32"/>
        </w:rPr>
      </w:pPr>
    </w:p>
    <w:p w14:paraId="3FE9F603">
      <w:pPr>
        <w:spacing w:line="600" w:lineRule="exact"/>
        <w:ind w:left="103" w:leftChars="49"/>
        <w:jc w:val="left"/>
        <w:rPr>
          <w:rFonts w:hint="eastAsia" w:ascii="宋体" w:hAnsi="宋体"/>
          <w:b/>
          <w:color w:val="auto"/>
          <w:sz w:val="32"/>
          <w:szCs w:val="32"/>
        </w:rPr>
      </w:pPr>
      <w:r>
        <w:rPr>
          <w:rFonts w:hint="eastAsia" w:ascii="宋体" w:hAnsi="宋体"/>
          <w:b/>
          <w:color w:val="auto"/>
          <w:sz w:val="32"/>
          <w:szCs w:val="32"/>
        </w:rPr>
        <w:t xml:space="preserve">       </w:t>
      </w:r>
    </w:p>
    <w:p w14:paraId="0D8FAAC8">
      <w:pPr>
        <w:pStyle w:val="232"/>
        <w:ind w:firstLine="480"/>
        <w:rPr>
          <w:rFonts w:ascii="Times New Roman"/>
          <w:color w:val="auto"/>
        </w:rPr>
      </w:pPr>
    </w:p>
    <w:p w14:paraId="5B977E64">
      <w:pPr>
        <w:spacing w:line="600" w:lineRule="exact"/>
        <w:ind w:left="103" w:leftChars="49"/>
        <w:jc w:val="center"/>
        <w:rPr>
          <w:rFonts w:hint="eastAsia" w:ascii="宋体" w:hAnsi="宋体"/>
          <w:b/>
          <w:color w:val="auto"/>
          <w:sz w:val="32"/>
          <w:szCs w:val="32"/>
        </w:rPr>
      </w:pPr>
      <w:r>
        <w:rPr>
          <w:rFonts w:hint="eastAsia" w:ascii="宋体" w:hAnsi="宋体"/>
          <w:b/>
          <w:color w:val="auto"/>
          <w:sz w:val="32"/>
          <w:szCs w:val="32"/>
        </w:rPr>
        <w:t>采购代理机构：</w:t>
      </w:r>
      <w:r>
        <w:rPr>
          <w:rFonts w:hint="eastAsia" w:ascii="宋体" w:hAnsi="宋体" w:cs="宋体"/>
          <w:b/>
          <w:color w:val="auto"/>
          <w:sz w:val="32"/>
          <w:szCs w:val="32"/>
        </w:rPr>
        <w:t>广西晟昌工程科技有限责任公司</w:t>
      </w:r>
    </w:p>
    <w:p w14:paraId="5DD8A3F5">
      <w:pPr>
        <w:spacing w:line="600" w:lineRule="exact"/>
        <w:ind w:left="103" w:leftChars="49"/>
        <w:jc w:val="center"/>
        <w:rPr>
          <w:rFonts w:hint="eastAsia" w:ascii="宋体" w:hAnsi="宋体"/>
          <w:b/>
          <w:color w:val="auto"/>
          <w:sz w:val="32"/>
          <w:szCs w:val="32"/>
        </w:rPr>
      </w:pPr>
      <w:r>
        <w:rPr>
          <w:rFonts w:hint="eastAsia" w:ascii="宋体" w:hAnsi="宋体"/>
          <w:b/>
          <w:color w:val="auto"/>
          <w:sz w:val="32"/>
          <w:szCs w:val="32"/>
        </w:rPr>
        <w:t xml:space="preserve">    2025年</w:t>
      </w:r>
      <w:r>
        <w:rPr>
          <w:rFonts w:hint="eastAsia" w:ascii="宋体" w:hAnsi="宋体"/>
          <w:b/>
          <w:color w:val="auto"/>
          <w:sz w:val="32"/>
          <w:szCs w:val="32"/>
          <w:lang w:val="en-US" w:eastAsia="zh-CN"/>
        </w:rPr>
        <w:t>7</w:t>
      </w:r>
      <w:r>
        <w:rPr>
          <w:rFonts w:hint="eastAsia" w:ascii="宋体" w:hAnsi="宋体"/>
          <w:b/>
          <w:color w:val="auto"/>
          <w:sz w:val="32"/>
          <w:szCs w:val="32"/>
        </w:rPr>
        <w:t>月</w:t>
      </w:r>
    </w:p>
    <w:p w14:paraId="5B16E1D7">
      <w:pPr>
        <w:ind w:left="103" w:leftChars="49" w:firstLine="2249" w:firstLineChars="700"/>
        <w:jc w:val="center"/>
        <w:rPr>
          <w:rFonts w:hint="eastAsia" w:ascii="宋体" w:hAnsi="宋体"/>
          <w:b/>
          <w:bCs/>
          <w:color w:val="auto"/>
          <w:sz w:val="32"/>
        </w:rPr>
      </w:pPr>
    </w:p>
    <w:p w14:paraId="17E2EE44">
      <w:pPr>
        <w:pStyle w:val="268"/>
        <w:spacing w:before="0" w:line="360" w:lineRule="auto"/>
        <w:jc w:val="center"/>
        <w:rPr>
          <w:color w:val="auto"/>
          <w:sz w:val="36"/>
        </w:rPr>
      </w:pPr>
      <w:r>
        <w:rPr>
          <w:color w:val="auto"/>
          <w:sz w:val="36"/>
          <w:lang w:val="zh-CN"/>
        </w:rPr>
        <w:t>目</w:t>
      </w:r>
      <w:r>
        <w:rPr>
          <w:rFonts w:hint="eastAsia"/>
          <w:color w:val="auto"/>
          <w:sz w:val="36"/>
          <w:lang w:val="zh-CN"/>
        </w:rPr>
        <w:t xml:space="preserve">  </w:t>
      </w:r>
      <w:r>
        <w:rPr>
          <w:color w:val="auto"/>
          <w:sz w:val="36"/>
          <w:lang w:val="zh-CN"/>
        </w:rPr>
        <w:t>录</w:t>
      </w:r>
    </w:p>
    <w:p w14:paraId="77DB7586">
      <w:pPr>
        <w:pStyle w:val="35"/>
        <w:tabs>
          <w:tab w:val="right" w:leader="dot" w:pos="9060"/>
        </w:tabs>
        <w:spacing w:line="360" w:lineRule="auto"/>
        <w:rPr>
          <w:color w:val="auto"/>
          <w:sz w:val="28"/>
          <w:szCs w:val="28"/>
        </w:rPr>
      </w:pPr>
      <w:r>
        <w:rPr>
          <w:color w:val="auto"/>
          <w:sz w:val="28"/>
          <w:szCs w:val="28"/>
        </w:rPr>
        <w:fldChar w:fldCharType="begin"/>
      </w:r>
      <w:r>
        <w:rPr>
          <w:color w:val="auto"/>
          <w:sz w:val="28"/>
          <w:szCs w:val="28"/>
        </w:rPr>
        <w:instrText xml:space="preserve"> TOC \o "1-3" \h \z \u </w:instrText>
      </w:r>
      <w:r>
        <w:rPr>
          <w:color w:val="auto"/>
          <w:sz w:val="28"/>
          <w:szCs w:val="28"/>
        </w:rPr>
        <w:fldChar w:fldCharType="separate"/>
      </w:r>
      <w:r>
        <w:rPr>
          <w:color w:val="auto"/>
        </w:rPr>
        <w:fldChar w:fldCharType="begin"/>
      </w:r>
      <w:r>
        <w:rPr>
          <w:color w:val="auto"/>
        </w:rPr>
        <w:instrText xml:space="preserve"> HYPERLINK \l "_Toc90288696" </w:instrText>
      </w:r>
      <w:r>
        <w:rPr>
          <w:color w:val="auto"/>
        </w:rPr>
        <w:fldChar w:fldCharType="separate"/>
      </w:r>
      <w:r>
        <w:rPr>
          <w:rStyle w:val="59"/>
          <w:rFonts w:hint="eastAsia" w:ascii="宋体" w:hAnsi="宋体"/>
          <w:b/>
          <w:color w:val="auto"/>
          <w:sz w:val="28"/>
          <w:szCs w:val="28"/>
        </w:rPr>
        <w:t>第一章</w:t>
      </w:r>
      <w:r>
        <w:rPr>
          <w:rStyle w:val="59"/>
          <w:rFonts w:ascii="宋体" w:hAnsi="宋体"/>
          <w:color w:val="auto"/>
          <w:sz w:val="28"/>
          <w:szCs w:val="28"/>
        </w:rPr>
        <w:t xml:space="preserve">  </w:t>
      </w:r>
      <w:r>
        <w:rPr>
          <w:rStyle w:val="59"/>
          <w:rFonts w:hint="eastAsia" w:ascii="宋体" w:hAnsi="宋体"/>
          <w:b/>
          <w:color w:val="auto"/>
          <w:sz w:val="28"/>
          <w:szCs w:val="28"/>
        </w:rPr>
        <w:t>公开招标公告</w:t>
      </w:r>
      <w:r>
        <w:rPr>
          <w:color w:val="auto"/>
          <w:sz w:val="28"/>
          <w:szCs w:val="28"/>
        </w:rPr>
        <w:tab/>
      </w:r>
      <w:r>
        <w:rPr>
          <w:color w:val="auto"/>
          <w:sz w:val="28"/>
          <w:szCs w:val="28"/>
        </w:rPr>
        <w:fldChar w:fldCharType="begin"/>
      </w:r>
      <w:r>
        <w:rPr>
          <w:color w:val="auto"/>
          <w:sz w:val="28"/>
          <w:szCs w:val="28"/>
        </w:rPr>
        <w:instrText xml:space="preserve"> PAGEREF _Toc90288696 \h </w:instrText>
      </w:r>
      <w:r>
        <w:rPr>
          <w:color w:val="auto"/>
          <w:sz w:val="28"/>
          <w:szCs w:val="28"/>
        </w:rPr>
        <w:fldChar w:fldCharType="separate"/>
      </w:r>
      <w:r>
        <w:rPr>
          <w:color w:val="auto"/>
          <w:sz w:val="28"/>
          <w:szCs w:val="28"/>
        </w:rPr>
        <w:t>3</w:t>
      </w:r>
      <w:r>
        <w:rPr>
          <w:color w:val="auto"/>
          <w:sz w:val="28"/>
          <w:szCs w:val="28"/>
        </w:rPr>
        <w:fldChar w:fldCharType="end"/>
      </w:r>
      <w:r>
        <w:rPr>
          <w:color w:val="auto"/>
          <w:sz w:val="28"/>
          <w:szCs w:val="28"/>
        </w:rPr>
        <w:fldChar w:fldCharType="end"/>
      </w:r>
    </w:p>
    <w:p w14:paraId="3938992E">
      <w:pPr>
        <w:pStyle w:val="35"/>
        <w:tabs>
          <w:tab w:val="right" w:leader="dot" w:pos="9060"/>
        </w:tabs>
        <w:spacing w:line="360" w:lineRule="auto"/>
        <w:rPr>
          <w:color w:val="auto"/>
          <w:sz w:val="28"/>
          <w:szCs w:val="28"/>
        </w:rPr>
      </w:pPr>
      <w:r>
        <w:rPr>
          <w:color w:val="auto"/>
        </w:rPr>
        <w:fldChar w:fldCharType="begin"/>
      </w:r>
      <w:r>
        <w:rPr>
          <w:color w:val="auto"/>
        </w:rPr>
        <w:instrText xml:space="preserve"> HYPERLINK \l "_Toc90288697" </w:instrText>
      </w:r>
      <w:r>
        <w:rPr>
          <w:color w:val="auto"/>
        </w:rPr>
        <w:fldChar w:fldCharType="separate"/>
      </w:r>
      <w:r>
        <w:rPr>
          <w:rStyle w:val="59"/>
          <w:rFonts w:hint="eastAsia" w:ascii="宋体" w:hAnsi="宋体"/>
          <w:b/>
          <w:color w:val="auto"/>
          <w:sz w:val="28"/>
          <w:szCs w:val="28"/>
        </w:rPr>
        <w:t>第二章</w:t>
      </w:r>
      <w:r>
        <w:rPr>
          <w:rStyle w:val="59"/>
          <w:rFonts w:ascii="宋体" w:hAnsi="宋体"/>
          <w:b/>
          <w:color w:val="auto"/>
          <w:sz w:val="28"/>
          <w:szCs w:val="28"/>
        </w:rPr>
        <w:t xml:space="preserve">  </w:t>
      </w:r>
      <w:r>
        <w:rPr>
          <w:rStyle w:val="59"/>
          <w:rFonts w:hint="eastAsia" w:ascii="宋体" w:hAnsi="宋体"/>
          <w:b/>
          <w:color w:val="auto"/>
          <w:sz w:val="28"/>
          <w:szCs w:val="28"/>
        </w:rPr>
        <w:t>投标人须知</w:t>
      </w:r>
      <w:r>
        <w:rPr>
          <w:color w:val="auto"/>
          <w:sz w:val="28"/>
          <w:szCs w:val="28"/>
        </w:rPr>
        <w:tab/>
      </w:r>
      <w:r>
        <w:rPr>
          <w:rFonts w:hint="eastAsia"/>
          <w:color w:val="auto"/>
          <w:sz w:val="28"/>
          <w:szCs w:val="28"/>
        </w:rPr>
        <w:t>6</w:t>
      </w:r>
      <w:r>
        <w:rPr>
          <w:rFonts w:hint="eastAsia"/>
          <w:color w:val="auto"/>
          <w:sz w:val="28"/>
          <w:szCs w:val="28"/>
        </w:rPr>
        <w:fldChar w:fldCharType="end"/>
      </w:r>
    </w:p>
    <w:p w14:paraId="4B594B28">
      <w:pPr>
        <w:pStyle w:val="35"/>
        <w:tabs>
          <w:tab w:val="right" w:leader="dot" w:pos="9060"/>
        </w:tabs>
        <w:spacing w:line="360" w:lineRule="auto"/>
        <w:rPr>
          <w:color w:val="auto"/>
          <w:sz w:val="28"/>
          <w:szCs w:val="28"/>
        </w:rPr>
      </w:pPr>
      <w:r>
        <w:rPr>
          <w:color w:val="auto"/>
        </w:rPr>
        <w:fldChar w:fldCharType="begin"/>
      </w:r>
      <w:r>
        <w:rPr>
          <w:color w:val="auto"/>
        </w:rPr>
        <w:instrText xml:space="preserve"> HYPERLINK \l "_Toc90288706" </w:instrText>
      </w:r>
      <w:r>
        <w:rPr>
          <w:color w:val="auto"/>
        </w:rPr>
        <w:fldChar w:fldCharType="separate"/>
      </w:r>
      <w:r>
        <w:rPr>
          <w:rStyle w:val="59"/>
          <w:rFonts w:hint="eastAsia" w:ascii="宋体" w:hAnsi="宋体"/>
          <w:b/>
          <w:color w:val="auto"/>
          <w:sz w:val="28"/>
          <w:szCs w:val="28"/>
        </w:rPr>
        <w:t>第三章　货物采购需求</w:t>
      </w:r>
      <w:r>
        <w:rPr>
          <w:color w:val="auto"/>
          <w:sz w:val="28"/>
          <w:szCs w:val="28"/>
        </w:rPr>
        <w:tab/>
      </w:r>
      <w:r>
        <w:rPr>
          <w:rFonts w:hint="eastAsia"/>
          <w:color w:val="auto"/>
          <w:sz w:val="28"/>
          <w:szCs w:val="28"/>
        </w:rPr>
        <w:t>2</w:t>
      </w:r>
      <w:r>
        <w:rPr>
          <w:rFonts w:hint="eastAsia"/>
          <w:color w:val="auto"/>
          <w:sz w:val="28"/>
          <w:szCs w:val="28"/>
        </w:rPr>
        <w:fldChar w:fldCharType="end"/>
      </w:r>
      <w:r>
        <w:rPr>
          <w:rFonts w:hint="eastAsia"/>
          <w:color w:val="auto"/>
          <w:sz w:val="28"/>
          <w:szCs w:val="28"/>
        </w:rPr>
        <w:t>7</w:t>
      </w:r>
    </w:p>
    <w:p w14:paraId="3BA52861">
      <w:pPr>
        <w:pStyle w:val="35"/>
        <w:tabs>
          <w:tab w:val="right" w:leader="dot" w:pos="9060"/>
        </w:tabs>
        <w:spacing w:line="360" w:lineRule="auto"/>
        <w:rPr>
          <w:color w:val="auto"/>
          <w:sz w:val="28"/>
          <w:szCs w:val="28"/>
        </w:rPr>
      </w:pPr>
      <w:r>
        <w:rPr>
          <w:color w:val="auto"/>
        </w:rPr>
        <w:fldChar w:fldCharType="begin"/>
      </w:r>
      <w:r>
        <w:rPr>
          <w:color w:val="auto"/>
        </w:rPr>
        <w:instrText xml:space="preserve"> HYPERLINK \l "_Toc90288707" </w:instrText>
      </w:r>
      <w:r>
        <w:rPr>
          <w:color w:val="auto"/>
        </w:rPr>
        <w:fldChar w:fldCharType="separate"/>
      </w:r>
      <w:r>
        <w:rPr>
          <w:rStyle w:val="59"/>
          <w:rFonts w:hint="eastAsia" w:ascii="宋体" w:hAnsi="宋体"/>
          <w:b/>
          <w:color w:val="auto"/>
          <w:sz w:val="28"/>
          <w:szCs w:val="28"/>
        </w:rPr>
        <w:t>第四章</w:t>
      </w:r>
      <w:r>
        <w:rPr>
          <w:rStyle w:val="59"/>
          <w:rFonts w:ascii="宋体" w:hAnsi="宋体"/>
          <w:b/>
          <w:color w:val="auto"/>
          <w:sz w:val="28"/>
          <w:szCs w:val="28"/>
        </w:rPr>
        <w:t xml:space="preserve">  </w:t>
      </w:r>
      <w:r>
        <w:rPr>
          <w:rStyle w:val="59"/>
          <w:rFonts w:hint="eastAsia" w:ascii="宋体" w:hAnsi="宋体"/>
          <w:b/>
          <w:color w:val="auto"/>
          <w:sz w:val="28"/>
          <w:szCs w:val="28"/>
        </w:rPr>
        <w:t>评标办法</w:t>
      </w:r>
      <w:r>
        <w:rPr>
          <w:color w:val="auto"/>
          <w:sz w:val="28"/>
          <w:szCs w:val="28"/>
        </w:rPr>
        <w:tab/>
      </w:r>
      <w:r>
        <w:rPr>
          <w:rFonts w:hint="eastAsia"/>
          <w:color w:val="auto"/>
          <w:sz w:val="28"/>
          <w:szCs w:val="28"/>
        </w:rPr>
        <w:t>3</w:t>
      </w:r>
      <w:r>
        <w:rPr>
          <w:rFonts w:hint="eastAsia"/>
          <w:color w:val="auto"/>
          <w:sz w:val="28"/>
          <w:szCs w:val="28"/>
        </w:rPr>
        <w:fldChar w:fldCharType="end"/>
      </w:r>
      <w:r>
        <w:rPr>
          <w:rFonts w:hint="eastAsia"/>
          <w:color w:val="auto"/>
          <w:sz w:val="28"/>
          <w:szCs w:val="28"/>
        </w:rPr>
        <w:t>3</w:t>
      </w:r>
    </w:p>
    <w:p w14:paraId="4A0AEBD4">
      <w:pPr>
        <w:pStyle w:val="35"/>
        <w:tabs>
          <w:tab w:val="right" w:leader="dot" w:pos="9060"/>
        </w:tabs>
        <w:spacing w:line="360" w:lineRule="auto"/>
        <w:rPr>
          <w:color w:val="auto"/>
          <w:sz w:val="28"/>
          <w:szCs w:val="28"/>
        </w:rPr>
      </w:pPr>
      <w:r>
        <w:rPr>
          <w:color w:val="auto"/>
        </w:rPr>
        <w:fldChar w:fldCharType="begin"/>
      </w:r>
      <w:r>
        <w:rPr>
          <w:color w:val="auto"/>
        </w:rPr>
        <w:instrText xml:space="preserve"> HYPERLINK \l "_Toc90288708" </w:instrText>
      </w:r>
      <w:r>
        <w:rPr>
          <w:color w:val="auto"/>
        </w:rPr>
        <w:fldChar w:fldCharType="separate"/>
      </w:r>
      <w:r>
        <w:rPr>
          <w:rStyle w:val="59"/>
          <w:rFonts w:hint="eastAsia" w:hAnsi="宋体"/>
          <w:b/>
          <w:color w:val="auto"/>
          <w:sz w:val="28"/>
          <w:szCs w:val="28"/>
        </w:rPr>
        <w:t>第五章</w:t>
      </w:r>
      <w:r>
        <w:rPr>
          <w:rStyle w:val="59"/>
          <w:rFonts w:hAnsi="宋体"/>
          <w:b/>
          <w:color w:val="auto"/>
          <w:sz w:val="28"/>
          <w:szCs w:val="28"/>
        </w:rPr>
        <w:t xml:space="preserve">  </w:t>
      </w:r>
      <w:r>
        <w:rPr>
          <w:rStyle w:val="59"/>
          <w:rFonts w:hint="eastAsia" w:hAnsi="宋体"/>
          <w:b/>
          <w:color w:val="auto"/>
          <w:sz w:val="28"/>
          <w:szCs w:val="28"/>
        </w:rPr>
        <w:t>合同主要条款及格式</w:t>
      </w:r>
      <w:r>
        <w:rPr>
          <w:color w:val="auto"/>
          <w:sz w:val="28"/>
          <w:szCs w:val="28"/>
        </w:rPr>
        <w:tab/>
      </w:r>
      <w:r>
        <w:rPr>
          <w:rFonts w:hint="eastAsia"/>
          <w:color w:val="auto"/>
          <w:sz w:val="28"/>
          <w:szCs w:val="28"/>
        </w:rPr>
        <w:t>3</w:t>
      </w:r>
      <w:r>
        <w:rPr>
          <w:rFonts w:hint="eastAsia"/>
          <w:color w:val="auto"/>
          <w:sz w:val="28"/>
          <w:szCs w:val="28"/>
        </w:rPr>
        <w:fldChar w:fldCharType="end"/>
      </w:r>
      <w:r>
        <w:rPr>
          <w:rFonts w:hint="eastAsia"/>
          <w:color w:val="auto"/>
          <w:sz w:val="28"/>
          <w:szCs w:val="28"/>
        </w:rPr>
        <w:t>6</w:t>
      </w:r>
    </w:p>
    <w:p w14:paraId="2005EEA5">
      <w:pPr>
        <w:pStyle w:val="35"/>
        <w:tabs>
          <w:tab w:val="right" w:leader="dot" w:pos="9060"/>
        </w:tabs>
        <w:spacing w:line="360" w:lineRule="auto"/>
        <w:rPr>
          <w:color w:val="auto"/>
          <w:sz w:val="28"/>
          <w:szCs w:val="28"/>
        </w:rPr>
      </w:pPr>
      <w:r>
        <w:rPr>
          <w:color w:val="auto"/>
        </w:rPr>
        <w:fldChar w:fldCharType="begin"/>
      </w:r>
      <w:r>
        <w:rPr>
          <w:color w:val="auto"/>
        </w:rPr>
        <w:instrText xml:space="preserve"> HYPERLINK \l "_Toc90288709" </w:instrText>
      </w:r>
      <w:r>
        <w:rPr>
          <w:color w:val="auto"/>
        </w:rPr>
        <w:fldChar w:fldCharType="separate"/>
      </w:r>
      <w:r>
        <w:rPr>
          <w:rStyle w:val="59"/>
          <w:rFonts w:hint="eastAsia" w:ascii="宋体" w:hAnsi="宋体"/>
          <w:b/>
          <w:color w:val="auto"/>
          <w:sz w:val="28"/>
          <w:szCs w:val="28"/>
        </w:rPr>
        <w:t>第六章</w:t>
      </w:r>
      <w:r>
        <w:rPr>
          <w:rStyle w:val="59"/>
          <w:rFonts w:ascii="宋体" w:hAnsi="宋体"/>
          <w:b/>
          <w:color w:val="auto"/>
          <w:sz w:val="28"/>
          <w:szCs w:val="28"/>
        </w:rPr>
        <w:t xml:space="preserve">  </w:t>
      </w:r>
      <w:r>
        <w:rPr>
          <w:rStyle w:val="59"/>
          <w:rFonts w:hint="eastAsia" w:ascii="宋体" w:hAnsi="宋体"/>
          <w:b/>
          <w:color w:val="auto"/>
          <w:sz w:val="28"/>
          <w:szCs w:val="28"/>
        </w:rPr>
        <w:t>投标文件格式</w:t>
      </w:r>
      <w:r>
        <w:rPr>
          <w:color w:val="auto"/>
          <w:sz w:val="28"/>
          <w:szCs w:val="28"/>
        </w:rPr>
        <w:tab/>
      </w:r>
      <w:r>
        <w:rPr>
          <w:rFonts w:hint="eastAsia"/>
          <w:color w:val="auto"/>
          <w:sz w:val="28"/>
          <w:szCs w:val="28"/>
        </w:rPr>
        <w:t>4</w:t>
      </w:r>
      <w:r>
        <w:rPr>
          <w:rFonts w:hint="eastAsia"/>
          <w:color w:val="auto"/>
          <w:sz w:val="28"/>
          <w:szCs w:val="28"/>
        </w:rPr>
        <w:fldChar w:fldCharType="end"/>
      </w:r>
      <w:r>
        <w:rPr>
          <w:rFonts w:hint="eastAsia"/>
          <w:color w:val="auto"/>
          <w:sz w:val="28"/>
          <w:szCs w:val="28"/>
        </w:rPr>
        <w:t>1</w:t>
      </w:r>
    </w:p>
    <w:p w14:paraId="1EA1067C">
      <w:pPr>
        <w:pStyle w:val="35"/>
        <w:tabs>
          <w:tab w:val="right" w:leader="dot" w:pos="9060"/>
        </w:tabs>
        <w:spacing w:line="360" w:lineRule="auto"/>
        <w:rPr>
          <w:color w:val="auto"/>
          <w:sz w:val="28"/>
          <w:szCs w:val="28"/>
        </w:rPr>
      </w:pPr>
    </w:p>
    <w:p w14:paraId="22829505">
      <w:pPr>
        <w:spacing w:line="360" w:lineRule="auto"/>
        <w:rPr>
          <w:color w:val="auto"/>
        </w:rPr>
      </w:pPr>
      <w:r>
        <w:rPr>
          <w:color w:val="auto"/>
          <w:sz w:val="28"/>
          <w:szCs w:val="28"/>
        </w:rPr>
        <w:fldChar w:fldCharType="end"/>
      </w:r>
    </w:p>
    <w:p w14:paraId="069BAFB8">
      <w:pPr>
        <w:pStyle w:val="232"/>
        <w:ind w:firstLine="480"/>
        <w:rPr>
          <w:rFonts w:ascii="Times New Roman"/>
          <w:color w:val="auto"/>
        </w:rPr>
      </w:pPr>
    </w:p>
    <w:p w14:paraId="1DB0E396">
      <w:pPr>
        <w:rPr>
          <w:color w:val="auto"/>
        </w:rPr>
      </w:pPr>
    </w:p>
    <w:p w14:paraId="2617BEBF">
      <w:pPr>
        <w:pStyle w:val="232"/>
        <w:ind w:firstLine="480"/>
        <w:rPr>
          <w:rFonts w:ascii="Times New Roman"/>
          <w:color w:val="auto"/>
        </w:rPr>
      </w:pPr>
    </w:p>
    <w:p w14:paraId="77FD6346">
      <w:pPr>
        <w:rPr>
          <w:color w:val="auto"/>
        </w:rPr>
      </w:pPr>
    </w:p>
    <w:p w14:paraId="4ED675FB">
      <w:pPr>
        <w:pStyle w:val="232"/>
        <w:ind w:firstLine="480"/>
        <w:rPr>
          <w:rFonts w:ascii="Times New Roman"/>
          <w:color w:val="auto"/>
        </w:rPr>
      </w:pPr>
    </w:p>
    <w:p w14:paraId="1478FA46">
      <w:pPr>
        <w:rPr>
          <w:color w:val="auto"/>
        </w:rPr>
      </w:pPr>
    </w:p>
    <w:p w14:paraId="00260BFA">
      <w:pPr>
        <w:pStyle w:val="232"/>
        <w:ind w:firstLine="480"/>
        <w:rPr>
          <w:rFonts w:ascii="Times New Roman"/>
          <w:color w:val="auto"/>
        </w:rPr>
      </w:pPr>
    </w:p>
    <w:p w14:paraId="4EA6204E">
      <w:pPr>
        <w:pStyle w:val="2"/>
        <w:spacing w:before="480"/>
        <w:jc w:val="center"/>
        <w:rPr>
          <w:rFonts w:hint="eastAsia" w:ascii="宋体" w:hAnsi="宋体"/>
          <w:color w:val="auto"/>
        </w:rPr>
      </w:pPr>
      <w:bookmarkStart w:id="0" w:name="_Toc90288696"/>
      <w:r>
        <w:rPr>
          <w:rFonts w:hint="eastAsia" w:ascii="宋体" w:hAnsi="宋体"/>
          <w:b/>
          <w:color w:val="auto"/>
        </w:rPr>
        <w:br w:type="page"/>
      </w:r>
      <w:r>
        <w:rPr>
          <w:rFonts w:hint="eastAsia" w:ascii="宋体" w:hAnsi="宋体"/>
          <w:b/>
          <w:color w:val="auto"/>
        </w:rPr>
        <w:t>第一章</w:t>
      </w:r>
      <w:r>
        <w:rPr>
          <w:rFonts w:hint="eastAsia" w:ascii="宋体" w:hAnsi="宋体"/>
          <w:color w:val="auto"/>
        </w:rPr>
        <w:t xml:space="preserve">  </w:t>
      </w:r>
      <w:r>
        <w:rPr>
          <w:rFonts w:hint="eastAsia" w:ascii="宋体" w:hAnsi="宋体"/>
          <w:b/>
          <w:color w:val="auto"/>
        </w:rPr>
        <w:t>公开招标公告</w:t>
      </w:r>
      <w:bookmarkEnd w:id="0"/>
    </w:p>
    <w:tbl>
      <w:tblPr>
        <w:tblStyle w:val="50"/>
        <w:tblpPr w:leftFromText="180" w:rightFromText="180" w:vertAnchor="text" w:tblpX="526" w:tblpY="28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0"/>
      </w:tblGrid>
      <w:tr w14:paraId="3FB5B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trPr>
        <w:tc>
          <w:tcPr>
            <w:tcW w:w="8930" w:type="dxa"/>
          </w:tcPr>
          <w:p w14:paraId="563229CD">
            <w:pPr>
              <w:pStyle w:val="237"/>
              <w:spacing w:line="360" w:lineRule="exact"/>
              <w:ind w:firstLine="0" w:firstLineChars="0"/>
              <w:rPr>
                <w:rFonts w:hint="eastAsia" w:ascii="宋体" w:hAnsi="宋体"/>
                <w:color w:val="auto"/>
                <w:szCs w:val="21"/>
              </w:rPr>
            </w:pPr>
            <w:r>
              <w:rPr>
                <w:rFonts w:hint="eastAsia" w:ascii="宋体" w:hAnsi="宋体"/>
                <w:color w:val="auto"/>
                <w:szCs w:val="21"/>
              </w:rPr>
              <w:t>项目概况：</w:t>
            </w:r>
          </w:p>
          <w:p w14:paraId="5D7A810D">
            <w:pPr>
              <w:pStyle w:val="237"/>
              <w:spacing w:line="360" w:lineRule="exact"/>
              <w:ind w:firstLine="420"/>
              <w:rPr>
                <w:rFonts w:hint="eastAsia" w:ascii="宋体" w:hAnsi="宋体"/>
                <w:color w:val="auto"/>
                <w:szCs w:val="21"/>
              </w:rPr>
            </w:pPr>
            <w:r>
              <w:rPr>
                <w:rFonts w:hint="eastAsia" w:ascii="宋体" w:hAnsi="宋体"/>
                <w:color w:val="auto"/>
                <w:szCs w:val="21"/>
                <w:u w:val="single"/>
              </w:rPr>
              <w:t>桂林市第二技工学校高技能人才培训基地建设项目设备采购</w:t>
            </w:r>
            <w:r>
              <w:rPr>
                <w:rFonts w:hint="eastAsia" w:ascii="宋体" w:hAnsi="宋体"/>
                <w:color w:val="auto"/>
                <w:szCs w:val="21"/>
              </w:rPr>
              <w:t>潜在投标人应在https://login.gcy.zfcg.gxzf.gov.cn（</w:t>
            </w:r>
            <w:r>
              <w:rPr>
                <w:color w:val="auto"/>
              </w:rPr>
              <w:fldChar w:fldCharType="begin"/>
            </w:r>
            <w:r>
              <w:rPr>
                <w:color w:val="auto"/>
              </w:rPr>
              <w:instrText xml:space="preserve"> HYPERLINK "http://www.zcygov.cn（政采云平台）获取招标文件电子版，并2023年月" </w:instrText>
            </w:r>
            <w:r>
              <w:rPr>
                <w:color w:val="auto"/>
              </w:rPr>
              <w:fldChar w:fldCharType="separate"/>
            </w:r>
            <w:r>
              <w:rPr>
                <w:rFonts w:hint="eastAsia" w:ascii="宋体" w:hAnsi="宋体"/>
                <w:color w:val="auto"/>
                <w:szCs w:val="21"/>
              </w:rPr>
              <w:t>广西政府采购云平台）获取招标文件电子版，并2025年</w:t>
            </w:r>
            <w:r>
              <w:rPr>
                <w:rFonts w:hint="eastAsia" w:ascii="宋体" w:hAnsi="宋体"/>
                <w:color w:val="auto"/>
                <w:szCs w:val="21"/>
                <w:lang w:val="en-US" w:eastAsia="zh-CN"/>
              </w:rPr>
              <w:t>7</w:t>
            </w:r>
            <w:r>
              <w:rPr>
                <w:rFonts w:hint="eastAsia" w:ascii="宋体" w:hAnsi="宋体"/>
                <w:color w:val="auto"/>
                <w:szCs w:val="21"/>
              </w:rPr>
              <w:t>月</w:t>
            </w:r>
            <w:r>
              <w:rPr>
                <w:rFonts w:hint="eastAsia" w:ascii="宋体" w:hAnsi="宋体"/>
                <w:color w:val="auto"/>
                <w:szCs w:val="21"/>
              </w:rPr>
              <w:fldChar w:fldCharType="end"/>
            </w:r>
            <w:r>
              <w:rPr>
                <w:rFonts w:hint="eastAsia" w:ascii="宋体" w:hAnsi="宋体"/>
                <w:color w:val="auto"/>
                <w:szCs w:val="21"/>
                <w:lang w:val="en-US" w:eastAsia="zh-CN"/>
              </w:rPr>
              <w:t>30</w:t>
            </w:r>
            <w:r>
              <w:rPr>
                <w:rFonts w:hint="eastAsia" w:ascii="宋体" w:hAnsi="宋体"/>
                <w:color w:val="auto"/>
                <w:szCs w:val="21"/>
              </w:rPr>
              <w:t>日09时30 分（北京时间）前通过“广西政府采购云”平台在线提交投标文件。</w:t>
            </w:r>
          </w:p>
        </w:tc>
      </w:tr>
    </w:tbl>
    <w:p w14:paraId="39841079">
      <w:pPr>
        <w:pStyle w:val="237"/>
        <w:spacing w:line="420" w:lineRule="exact"/>
        <w:ind w:firstLine="422"/>
        <w:rPr>
          <w:rFonts w:hint="eastAsia" w:ascii="宋体" w:hAnsi="宋体"/>
          <w:b/>
          <w:color w:val="auto"/>
          <w:szCs w:val="21"/>
        </w:rPr>
      </w:pPr>
      <w:r>
        <w:rPr>
          <w:rFonts w:hint="eastAsia" w:ascii="宋体" w:hAnsi="宋体"/>
          <w:b/>
          <w:color w:val="auto"/>
          <w:szCs w:val="21"/>
        </w:rPr>
        <w:t>一、项目基本情况</w:t>
      </w:r>
    </w:p>
    <w:p w14:paraId="1A78CA86">
      <w:pPr>
        <w:pStyle w:val="237"/>
        <w:spacing w:line="420" w:lineRule="exact"/>
        <w:ind w:firstLine="420"/>
        <w:rPr>
          <w:rFonts w:hint="eastAsia" w:ascii="宋体" w:hAnsi="宋体"/>
          <w:color w:val="auto"/>
          <w:szCs w:val="21"/>
        </w:rPr>
      </w:pPr>
      <w:r>
        <w:rPr>
          <w:rFonts w:hint="eastAsia" w:ascii="宋体" w:hAnsi="宋体"/>
          <w:color w:val="auto"/>
          <w:szCs w:val="21"/>
        </w:rPr>
        <w:t>项目编号：</w:t>
      </w:r>
      <w:r>
        <w:rPr>
          <w:color w:val="auto"/>
        </w:rPr>
        <w:fldChar w:fldCharType="begin"/>
      </w:r>
      <w:r>
        <w:rPr>
          <w:color w:val="auto"/>
        </w:rPr>
        <w:instrText xml:space="preserve"> HYPERLINK "https://www.gcy.zfcg.gxzf.gov.cn/project-center/_procurement_/project-result-detail/7178423727570288644" \t "https://www.gcy.zfcg.gxzf.gov.cn/project-center/_procurement_/self-project/_blank" </w:instrText>
      </w:r>
      <w:r>
        <w:rPr>
          <w:color w:val="auto"/>
        </w:rPr>
        <w:fldChar w:fldCharType="separate"/>
      </w:r>
      <w:r>
        <w:rPr>
          <w:rFonts w:hint="eastAsia" w:ascii="宋体" w:hAnsi="宋体"/>
          <w:color w:val="auto"/>
          <w:szCs w:val="21"/>
        </w:rPr>
        <w:t>GLZC2025-G1-990248-GXSC</w:t>
      </w:r>
      <w:r>
        <w:rPr>
          <w:rFonts w:hint="eastAsia" w:ascii="宋体" w:hAnsi="宋体"/>
          <w:color w:val="auto"/>
          <w:szCs w:val="21"/>
        </w:rPr>
        <w:fldChar w:fldCharType="end"/>
      </w:r>
    </w:p>
    <w:p w14:paraId="26FE44FB">
      <w:pPr>
        <w:pStyle w:val="237"/>
        <w:spacing w:line="420" w:lineRule="exact"/>
        <w:ind w:firstLine="420"/>
        <w:rPr>
          <w:rFonts w:hint="eastAsia" w:ascii="宋体" w:hAnsi="宋体"/>
          <w:color w:val="auto"/>
          <w:szCs w:val="21"/>
        </w:rPr>
      </w:pPr>
      <w:r>
        <w:rPr>
          <w:rFonts w:hint="eastAsia" w:ascii="宋体" w:hAnsi="宋体"/>
          <w:color w:val="auto"/>
          <w:szCs w:val="21"/>
        </w:rPr>
        <w:t xml:space="preserve">项目名称：桂林市第二技工学校高技能人才培训基地建设项目设备采购      </w:t>
      </w:r>
    </w:p>
    <w:p w14:paraId="03A923E9">
      <w:pPr>
        <w:pStyle w:val="237"/>
        <w:spacing w:line="420" w:lineRule="exact"/>
        <w:ind w:firstLine="420"/>
        <w:rPr>
          <w:rFonts w:hint="eastAsia" w:ascii="宋体" w:hAnsi="宋体"/>
          <w:color w:val="auto"/>
          <w:szCs w:val="21"/>
        </w:rPr>
      </w:pPr>
      <w:r>
        <w:rPr>
          <w:rFonts w:hint="eastAsia" w:ascii="宋体" w:hAnsi="宋体"/>
          <w:color w:val="auto"/>
          <w:szCs w:val="21"/>
        </w:rPr>
        <w:t>预算总金额（元）：1013415.00</w:t>
      </w:r>
    </w:p>
    <w:p w14:paraId="0AD34324">
      <w:pPr>
        <w:pStyle w:val="237"/>
        <w:spacing w:line="420" w:lineRule="exact"/>
        <w:ind w:firstLine="420"/>
        <w:rPr>
          <w:rFonts w:hint="eastAsia" w:ascii="宋体" w:hAnsi="宋体"/>
          <w:b/>
          <w:color w:val="auto"/>
          <w:szCs w:val="21"/>
        </w:rPr>
      </w:pPr>
      <w:r>
        <w:rPr>
          <w:rFonts w:hint="eastAsia" w:ascii="宋体" w:hAnsi="宋体"/>
          <w:color w:val="auto"/>
          <w:szCs w:val="21"/>
        </w:rPr>
        <w:t>最高限价：（如有）：/</w:t>
      </w:r>
    </w:p>
    <w:p w14:paraId="65C376F8">
      <w:pPr>
        <w:pStyle w:val="237"/>
        <w:spacing w:line="420" w:lineRule="exact"/>
        <w:ind w:firstLine="422"/>
        <w:rPr>
          <w:rFonts w:hint="eastAsia" w:ascii="宋体" w:hAnsi="宋体"/>
          <w:color w:val="auto"/>
          <w:szCs w:val="21"/>
        </w:rPr>
      </w:pPr>
      <w:r>
        <w:rPr>
          <w:rFonts w:hint="eastAsia" w:ascii="宋体" w:hAnsi="宋体"/>
          <w:b/>
          <w:color w:val="auto"/>
          <w:szCs w:val="21"/>
        </w:rPr>
        <w:t>采购需求：</w:t>
      </w:r>
      <w:r>
        <w:rPr>
          <w:rFonts w:ascii="宋体" w:hAnsi="宋体"/>
          <w:color w:val="auto"/>
          <w:szCs w:val="21"/>
        </w:rPr>
        <w:t>简要规格描述或项目基本概况介绍、用途</w:t>
      </w:r>
    </w:p>
    <w:tbl>
      <w:tblPr>
        <w:tblStyle w:val="50"/>
        <w:tblW w:w="96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75"/>
        <w:gridCol w:w="894"/>
        <w:gridCol w:w="893"/>
        <w:gridCol w:w="4295"/>
      </w:tblGrid>
      <w:tr w14:paraId="79466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3402" w:type="dxa"/>
            <w:tcBorders>
              <w:top w:val="single" w:color="auto" w:sz="4" w:space="0"/>
              <w:left w:val="single" w:color="auto" w:sz="4" w:space="0"/>
              <w:bottom w:val="single" w:color="auto" w:sz="4" w:space="0"/>
              <w:right w:val="single" w:color="auto" w:sz="4" w:space="0"/>
            </w:tcBorders>
            <w:vAlign w:val="center"/>
          </w:tcPr>
          <w:p w14:paraId="16B7FF75">
            <w:pPr>
              <w:spacing w:line="360" w:lineRule="exact"/>
              <w:jc w:val="center"/>
              <w:rPr>
                <w:rFonts w:hint="eastAsia" w:ascii="宋体" w:hAnsi="宋体" w:cs="宋体"/>
                <w:b/>
                <w:color w:val="auto"/>
              </w:rPr>
            </w:pPr>
            <w:r>
              <w:rPr>
                <w:rFonts w:hint="eastAsia" w:ascii="宋体" w:hAnsi="宋体" w:cs="宋体"/>
                <w:b/>
                <w:color w:val="auto"/>
              </w:rPr>
              <w:t>标的采购名称</w:t>
            </w:r>
          </w:p>
        </w:tc>
        <w:tc>
          <w:tcPr>
            <w:tcW w:w="851" w:type="dxa"/>
            <w:tcBorders>
              <w:top w:val="single" w:color="auto" w:sz="4" w:space="0"/>
              <w:left w:val="single" w:color="auto" w:sz="4" w:space="0"/>
              <w:bottom w:val="single" w:color="auto" w:sz="4" w:space="0"/>
              <w:right w:val="single" w:color="auto" w:sz="4" w:space="0"/>
            </w:tcBorders>
            <w:vAlign w:val="center"/>
          </w:tcPr>
          <w:p w14:paraId="2BCFEC8B">
            <w:pPr>
              <w:spacing w:line="360" w:lineRule="exact"/>
              <w:jc w:val="center"/>
              <w:rPr>
                <w:rFonts w:hint="eastAsia" w:ascii="宋体" w:hAnsi="宋体" w:cs="宋体"/>
                <w:b/>
                <w:color w:val="auto"/>
              </w:rPr>
            </w:pPr>
            <w:r>
              <w:rPr>
                <w:rFonts w:hint="eastAsia" w:ascii="宋体" w:hAnsi="宋体" w:cs="宋体"/>
                <w:b/>
                <w:color w:val="auto"/>
              </w:rPr>
              <w:t>数量</w:t>
            </w:r>
          </w:p>
        </w:tc>
        <w:tc>
          <w:tcPr>
            <w:tcW w:w="850" w:type="dxa"/>
            <w:tcBorders>
              <w:top w:val="single" w:color="auto" w:sz="4" w:space="0"/>
              <w:left w:val="single" w:color="auto" w:sz="4" w:space="0"/>
              <w:bottom w:val="single" w:color="auto" w:sz="4" w:space="0"/>
              <w:right w:val="single" w:color="auto" w:sz="4" w:space="0"/>
            </w:tcBorders>
            <w:vAlign w:val="center"/>
          </w:tcPr>
          <w:p w14:paraId="62B25D72">
            <w:pPr>
              <w:spacing w:line="360" w:lineRule="exact"/>
              <w:jc w:val="center"/>
              <w:rPr>
                <w:rFonts w:hint="eastAsia" w:ascii="宋体" w:hAnsi="宋体" w:cs="宋体"/>
                <w:b/>
                <w:color w:val="auto"/>
              </w:rPr>
            </w:pPr>
            <w:r>
              <w:rPr>
                <w:rFonts w:hint="eastAsia" w:ascii="宋体" w:hAnsi="宋体" w:cs="宋体"/>
                <w:b/>
                <w:color w:val="auto"/>
              </w:rPr>
              <w:t>单位</w:t>
            </w:r>
          </w:p>
        </w:tc>
        <w:tc>
          <w:tcPr>
            <w:tcW w:w="4087" w:type="dxa"/>
            <w:tcBorders>
              <w:top w:val="single" w:color="auto" w:sz="4" w:space="0"/>
              <w:left w:val="single" w:color="auto" w:sz="4" w:space="0"/>
              <w:bottom w:val="single" w:color="auto" w:sz="4" w:space="0"/>
              <w:right w:val="single" w:color="auto" w:sz="4" w:space="0"/>
            </w:tcBorders>
            <w:vAlign w:val="center"/>
          </w:tcPr>
          <w:p w14:paraId="6FB7CD28">
            <w:pPr>
              <w:spacing w:line="360" w:lineRule="exact"/>
              <w:jc w:val="center"/>
              <w:rPr>
                <w:rFonts w:hint="eastAsia" w:ascii="宋体" w:hAnsi="宋体" w:cs="宋体"/>
                <w:b/>
                <w:color w:val="auto"/>
              </w:rPr>
            </w:pPr>
            <w:r>
              <w:rPr>
                <w:rFonts w:hint="eastAsia" w:ascii="宋体" w:hAnsi="宋体" w:cs="宋体"/>
                <w:b/>
                <w:color w:val="auto"/>
              </w:rPr>
              <w:t>简要技术需求或货物要求</w:t>
            </w:r>
          </w:p>
        </w:tc>
      </w:tr>
      <w:tr w14:paraId="0DC86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3402" w:type="dxa"/>
            <w:tcBorders>
              <w:top w:val="single" w:color="auto" w:sz="4" w:space="0"/>
              <w:left w:val="single" w:color="auto" w:sz="4" w:space="0"/>
              <w:bottom w:val="single" w:color="auto" w:sz="4" w:space="0"/>
              <w:right w:val="single" w:color="auto" w:sz="4" w:space="0"/>
            </w:tcBorders>
            <w:vAlign w:val="center"/>
          </w:tcPr>
          <w:p w14:paraId="1C589C7B">
            <w:pPr>
              <w:spacing w:line="320" w:lineRule="exact"/>
              <w:jc w:val="center"/>
              <w:rPr>
                <w:rFonts w:hint="eastAsia" w:ascii="宋体" w:hAnsi="宋体" w:cs="宋体"/>
                <w:color w:val="auto"/>
                <w:szCs w:val="21"/>
              </w:rPr>
            </w:pPr>
            <w:r>
              <w:rPr>
                <w:rFonts w:hint="eastAsia" w:ascii="宋体" w:hAnsi="宋体"/>
                <w:color w:val="auto"/>
                <w:szCs w:val="21"/>
              </w:rPr>
              <w:t xml:space="preserve">桂林市第二技工学校高技能人才培训基地建设项目设备采购   </w:t>
            </w:r>
          </w:p>
        </w:tc>
        <w:tc>
          <w:tcPr>
            <w:tcW w:w="851" w:type="dxa"/>
            <w:tcBorders>
              <w:top w:val="single" w:color="auto" w:sz="4" w:space="0"/>
              <w:left w:val="single" w:color="auto" w:sz="4" w:space="0"/>
              <w:bottom w:val="single" w:color="auto" w:sz="4" w:space="0"/>
              <w:right w:val="single" w:color="auto" w:sz="4" w:space="0"/>
            </w:tcBorders>
            <w:vAlign w:val="center"/>
          </w:tcPr>
          <w:p w14:paraId="0E77E564">
            <w:pPr>
              <w:spacing w:line="320" w:lineRule="exact"/>
              <w:jc w:val="center"/>
              <w:rPr>
                <w:rFonts w:hint="eastAsia" w:ascii="宋体" w:hAnsi="宋体" w:cs="宋体"/>
                <w:color w:val="auto"/>
                <w:szCs w:val="21"/>
              </w:rPr>
            </w:pPr>
            <w:r>
              <w:rPr>
                <w:rFonts w:hint="eastAsia" w:ascii="宋体" w:hAnsi="宋体" w:cs="宋体"/>
                <w:color w:val="auto"/>
                <w:szCs w:val="21"/>
              </w:rPr>
              <w:t>1</w:t>
            </w:r>
          </w:p>
        </w:tc>
        <w:tc>
          <w:tcPr>
            <w:tcW w:w="850" w:type="dxa"/>
            <w:tcBorders>
              <w:top w:val="single" w:color="auto" w:sz="4" w:space="0"/>
              <w:left w:val="single" w:color="auto" w:sz="4" w:space="0"/>
              <w:bottom w:val="single" w:color="auto" w:sz="4" w:space="0"/>
              <w:right w:val="single" w:color="auto" w:sz="4" w:space="0"/>
            </w:tcBorders>
            <w:vAlign w:val="center"/>
          </w:tcPr>
          <w:p w14:paraId="28A7E47A">
            <w:pPr>
              <w:adjustRightInd w:val="0"/>
              <w:snapToGrid w:val="0"/>
              <w:spacing w:line="320" w:lineRule="exact"/>
              <w:jc w:val="center"/>
              <w:rPr>
                <w:rFonts w:hint="eastAsia" w:ascii="宋体" w:hAnsi="宋体"/>
                <w:color w:val="auto"/>
                <w:szCs w:val="21"/>
              </w:rPr>
            </w:pPr>
            <w:r>
              <w:rPr>
                <w:rFonts w:hint="eastAsia" w:ascii="宋体" w:hAnsi="宋体"/>
                <w:color w:val="auto"/>
                <w:szCs w:val="21"/>
              </w:rPr>
              <w:t>项</w:t>
            </w:r>
          </w:p>
        </w:tc>
        <w:tc>
          <w:tcPr>
            <w:tcW w:w="4087" w:type="dxa"/>
            <w:tcBorders>
              <w:top w:val="single" w:color="auto" w:sz="4" w:space="0"/>
              <w:left w:val="single" w:color="auto" w:sz="4" w:space="0"/>
              <w:right w:val="single" w:color="auto" w:sz="4" w:space="0"/>
            </w:tcBorders>
            <w:vAlign w:val="center"/>
          </w:tcPr>
          <w:p w14:paraId="4BF4EA2C">
            <w:pPr>
              <w:spacing w:line="340" w:lineRule="exact"/>
              <w:jc w:val="center"/>
              <w:rPr>
                <w:rFonts w:hint="eastAsia" w:ascii="宋体" w:hAnsi="宋体" w:cs="宋体"/>
                <w:color w:val="auto"/>
                <w:kern w:val="0"/>
                <w:szCs w:val="21"/>
              </w:rPr>
            </w:pPr>
            <w:r>
              <w:rPr>
                <w:rFonts w:ascii="宋体" w:hAnsi="宋体" w:cs="宋体"/>
                <w:color w:val="auto"/>
                <w:kern w:val="0"/>
                <w:szCs w:val="21"/>
              </w:rPr>
              <w:t>具体内容详见第三章《</w:t>
            </w:r>
            <w:r>
              <w:rPr>
                <w:rFonts w:hint="eastAsia" w:ascii="宋体" w:hAnsi="宋体" w:cs="宋体"/>
                <w:color w:val="auto"/>
                <w:kern w:val="0"/>
                <w:szCs w:val="21"/>
              </w:rPr>
              <w:t>货物采购需求</w:t>
            </w:r>
            <w:r>
              <w:rPr>
                <w:rFonts w:ascii="宋体" w:hAnsi="宋体" w:cs="宋体"/>
                <w:color w:val="auto"/>
                <w:kern w:val="0"/>
                <w:szCs w:val="21"/>
              </w:rPr>
              <w:t>》</w:t>
            </w:r>
          </w:p>
        </w:tc>
      </w:tr>
    </w:tbl>
    <w:p w14:paraId="5C7AE98F">
      <w:pPr>
        <w:pStyle w:val="237"/>
        <w:spacing w:line="420" w:lineRule="exact"/>
        <w:ind w:firstLine="420"/>
        <w:rPr>
          <w:rFonts w:hint="eastAsia" w:ascii="宋体" w:hAnsi="宋体"/>
          <w:color w:val="auto"/>
          <w:szCs w:val="21"/>
          <w:u w:val="single"/>
        </w:rPr>
      </w:pPr>
      <w:r>
        <w:rPr>
          <w:rFonts w:hint="eastAsia" w:ascii="宋体" w:hAnsi="宋体"/>
          <w:color w:val="auto"/>
          <w:szCs w:val="21"/>
        </w:rPr>
        <w:t>合同履行期限：</w:t>
      </w:r>
      <w:r>
        <w:rPr>
          <w:rFonts w:hint="eastAsia" w:ascii="宋体" w:hAnsi="宋体" w:cs="宋体"/>
          <w:color w:val="auto"/>
          <w:szCs w:val="21"/>
        </w:rPr>
        <w:t>自签订合同之日起20个日历日内全部安装调试合格并交付使用。</w:t>
      </w:r>
      <w:r>
        <w:rPr>
          <w:rFonts w:hint="eastAsia" w:ascii="宋体" w:hAnsi="宋体"/>
          <w:color w:val="auto"/>
          <w:szCs w:val="21"/>
        </w:rPr>
        <w:t xml:space="preserve">                </w:t>
      </w:r>
    </w:p>
    <w:p w14:paraId="725EF1F5">
      <w:pPr>
        <w:pStyle w:val="237"/>
        <w:spacing w:line="420" w:lineRule="exact"/>
        <w:ind w:firstLine="420"/>
        <w:rPr>
          <w:rFonts w:hint="eastAsia" w:ascii="宋体" w:hAnsi="宋体"/>
          <w:color w:val="auto"/>
          <w:szCs w:val="21"/>
        </w:rPr>
      </w:pPr>
      <w:r>
        <w:rPr>
          <w:rFonts w:hint="eastAsia" w:ascii="宋体" w:hAnsi="宋体"/>
          <w:color w:val="auto"/>
          <w:szCs w:val="21"/>
        </w:rPr>
        <w:t>本标项</w:t>
      </w:r>
      <w:r>
        <w:rPr>
          <w:rFonts w:hint="eastAsia" w:ascii="宋体" w:hAnsi="宋体"/>
          <w:color w:val="auto"/>
          <w:szCs w:val="21"/>
          <w:u w:val="single"/>
        </w:rPr>
        <w:t xml:space="preserve"> 否 </w:t>
      </w:r>
      <w:r>
        <w:rPr>
          <w:rFonts w:hint="eastAsia" w:ascii="宋体" w:hAnsi="宋体"/>
          <w:color w:val="auto"/>
          <w:szCs w:val="21"/>
        </w:rPr>
        <w:t xml:space="preserve">接受联合体投标。 </w:t>
      </w:r>
    </w:p>
    <w:p w14:paraId="3F752A22">
      <w:pPr>
        <w:pStyle w:val="237"/>
        <w:spacing w:line="420" w:lineRule="exact"/>
        <w:ind w:firstLine="422"/>
        <w:rPr>
          <w:rFonts w:hint="eastAsia" w:ascii="宋体" w:hAnsi="宋体"/>
          <w:b/>
          <w:color w:val="auto"/>
          <w:szCs w:val="21"/>
        </w:rPr>
      </w:pPr>
      <w:r>
        <w:rPr>
          <w:rFonts w:hint="eastAsia" w:ascii="宋体" w:hAnsi="宋体"/>
          <w:b/>
          <w:color w:val="auto"/>
          <w:szCs w:val="21"/>
        </w:rPr>
        <w:t>二、申请人的资格要求：</w:t>
      </w:r>
    </w:p>
    <w:p w14:paraId="0CDE2402">
      <w:pPr>
        <w:pStyle w:val="237"/>
        <w:spacing w:line="420" w:lineRule="exact"/>
        <w:ind w:firstLine="420"/>
        <w:rPr>
          <w:rFonts w:hint="eastAsia" w:ascii="宋体" w:hAnsi="宋体"/>
          <w:color w:val="auto"/>
          <w:szCs w:val="21"/>
        </w:rPr>
      </w:pPr>
      <w:r>
        <w:rPr>
          <w:rFonts w:hint="eastAsia" w:ascii="宋体" w:hAnsi="宋体"/>
          <w:color w:val="auto"/>
          <w:szCs w:val="21"/>
        </w:rPr>
        <w:t>1.满足《中华人民共和国政府采购法》第二十二条规定；</w:t>
      </w:r>
    </w:p>
    <w:p w14:paraId="41182968">
      <w:pPr>
        <w:pStyle w:val="237"/>
        <w:spacing w:line="420" w:lineRule="exact"/>
        <w:ind w:firstLine="420"/>
        <w:rPr>
          <w:rFonts w:hint="eastAsia" w:ascii="宋体" w:hAnsi="宋体"/>
          <w:color w:val="auto"/>
          <w:szCs w:val="21"/>
        </w:rPr>
      </w:pPr>
      <w:r>
        <w:rPr>
          <w:rFonts w:hint="eastAsia" w:ascii="宋体" w:hAnsi="宋体"/>
          <w:color w:val="auto"/>
          <w:szCs w:val="21"/>
        </w:rPr>
        <w:t>2.落实政府采购政策需满足的资格要求：</w:t>
      </w:r>
      <w:r>
        <w:rPr>
          <w:rFonts w:hint="eastAsia" w:ascii="宋体" w:hAnsi="宋体" w:cs="宋体"/>
          <w:color w:val="auto"/>
          <w:szCs w:val="21"/>
        </w:rPr>
        <w:t>无；</w:t>
      </w:r>
    </w:p>
    <w:p w14:paraId="56F95BF6">
      <w:pPr>
        <w:pStyle w:val="237"/>
        <w:spacing w:line="420" w:lineRule="exact"/>
        <w:ind w:firstLine="420"/>
        <w:rPr>
          <w:rFonts w:hint="eastAsia" w:ascii="宋体" w:hAnsi="宋体"/>
          <w:color w:val="auto"/>
          <w:szCs w:val="21"/>
        </w:rPr>
      </w:pPr>
      <w:r>
        <w:rPr>
          <w:rFonts w:hint="eastAsia" w:ascii="宋体" w:hAnsi="宋体"/>
          <w:color w:val="auto"/>
          <w:szCs w:val="21"/>
        </w:rPr>
        <w:t>3.本项目的特定资格要求：无。</w:t>
      </w:r>
    </w:p>
    <w:p w14:paraId="3749DCC3">
      <w:pPr>
        <w:pStyle w:val="237"/>
        <w:spacing w:line="420" w:lineRule="exact"/>
        <w:ind w:firstLine="422"/>
        <w:rPr>
          <w:rFonts w:hint="eastAsia" w:ascii="宋体" w:hAnsi="宋体"/>
          <w:b/>
          <w:color w:val="auto"/>
          <w:szCs w:val="21"/>
        </w:rPr>
      </w:pPr>
      <w:r>
        <w:rPr>
          <w:rFonts w:hint="eastAsia" w:ascii="宋体" w:hAnsi="宋体"/>
          <w:b/>
          <w:color w:val="auto"/>
          <w:szCs w:val="21"/>
        </w:rPr>
        <w:t>三、获取招标文件：</w:t>
      </w:r>
    </w:p>
    <w:p w14:paraId="27A6EA00">
      <w:pPr>
        <w:pStyle w:val="237"/>
        <w:spacing w:line="420" w:lineRule="exact"/>
        <w:ind w:firstLine="420"/>
        <w:rPr>
          <w:rFonts w:hint="eastAsia" w:ascii="宋体" w:hAnsi="宋体"/>
          <w:bCs/>
          <w:color w:val="auto"/>
          <w:szCs w:val="21"/>
        </w:rPr>
      </w:pPr>
      <w:r>
        <w:rPr>
          <w:rFonts w:hint="eastAsia" w:ascii="宋体" w:hAnsi="宋体"/>
          <w:bCs/>
          <w:color w:val="auto"/>
          <w:szCs w:val="21"/>
        </w:rPr>
        <w:t>招标文件获取时间：2025年</w:t>
      </w:r>
      <w:r>
        <w:rPr>
          <w:rFonts w:hint="eastAsia" w:ascii="宋体" w:hAnsi="宋体"/>
          <w:bCs/>
          <w:color w:val="auto"/>
          <w:szCs w:val="21"/>
          <w:lang w:val="en-US" w:eastAsia="zh-CN"/>
        </w:rPr>
        <w:t>7</w:t>
      </w:r>
      <w:r>
        <w:rPr>
          <w:rFonts w:hint="eastAsia" w:ascii="宋体" w:hAnsi="宋体"/>
          <w:bCs/>
          <w:color w:val="auto"/>
          <w:szCs w:val="21"/>
        </w:rPr>
        <w:t>月</w:t>
      </w:r>
      <w:r>
        <w:rPr>
          <w:rFonts w:hint="eastAsia" w:ascii="宋体" w:hAnsi="宋体"/>
          <w:bCs/>
          <w:color w:val="auto"/>
          <w:szCs w:val="21"/>
          <w:lang w:val="en-US" w:eastAsia="zh-CN"/>
        </w:rPr>
        <w:t>9</w:t>
      </w:r>
      <w:r>
        <w:rPr>
          <w:rFonts w:hint="eastAsia" w:ascii="宋体" w:hAnsi="宋体"/>
          <w:bCs/>
          <w:color w:val="auto"/>
          <w:szCs w:val="21"/>
        </w:rPr>
        <w:t>日至202</w:t>
      </w:r>
      <w:r>
        <w:rPr>
          <w:rFonts w:hint="eastAsia" w:ascii="宋体" w:hAnsi="宋体"/>
          <w:bCs/>
          <w:color w:val="auto"/>
          <w:szCs w:val="21"/>
          <w:lang w:val="en-US" w:eastAsia="zh-CN"/>
        </w:rPr>
        <w:t>5</w:t>
      </w:r>
      <w:r>
        <w:rPr>
          <w:rFonts w:hint="eastAsia" w:ascii="宋体" w:hAnsi="宋体"/>
          <w:bCs/>
          <w:color w:val="auto"/>
          <w:szCs w:val="21"/>
        </w:rPr>
        <w:t>年</w:t>
      </w:r>
      <w:r>
        <w:rPr>
          <w:rFonts w:hint="eastAsia" w:ascii="宋体" w:hAnsi="宋体"/>
          <w:bCs/>
          <w:color w:val="auto"/>
          <w:szCs w:val="21"/>
          <w:lang w:val="en-US" w:eastAsia="zh-CN"/>
        </w:rPr>
        <w:t>7</w:t>
      </w:r>
      <w:r>
        <w:rPr>
          <w:rFonts w:hint="eastAsia" w:ascii="宋体" w:hAnsi="宋体"/>
          <w:bCs/>
          <w:color w:val="auto"/>
          <w:szCs w:val="21"/>
        </w:rPr>
        <w:t>月3</w:t>
      </w:r>
      <w:r>
        <w:rPr>
          <w:rFonts w:hint="eastAsia" w:ascii="宋体" w:hAnsi="宋体"/>
          <w:bCs/>
          <w:color w:val="auto"/>
          <w:szCs w:val="21"/>
          <w:lang w:val="en-US" w:eastAsia="zh-CN"/>
        </w:rPr>
        <w:t>0</w:t>
      </w:r>
      <w:r>
        <w:rPr>
          <w:rFonts w:hint="eastAsia" w:ascii="宋体" w:hAnsi="宋体"/>
          <w:bCs/>
          <w:color w:val="auto"/>
          <w:szCs w:val="21"/>
        </w:rPr>
        <w:t>日9时30分。</w:t>
      </w:r>
    </w:p>
    <w:p w14:paraId="496BCE94">
      <w:pPr>
        <w:pStyle w:val="237"/>
        <w:spacing w:line="420" w:lineRule="exact"/>
        <w:ind w:firstLine="420"/>
        <w:rPr>
          <w:rFonts w:hint="eastAsia" w:ascii="宋体" w:hAnsi="宋体"/>
          <w:bCs/>
          <w:color w:val="auto"/>
          <w:szCs w:val="21"/>
        </w:rPr>
      </w:pPr>
      <w:r>
        <w:rPr>
          <w:rFonts w:hint="eastAsia" w:ascii="宋体" w:hAnsi="宋体"/>
          <w:bCs/>
          <w:color w:val="auto"/>
          <w:szCs w:val="21"/>
        </w:rPr>
        <w:t>地点（网址）：“广西政府采购云”平台（https://login.gcy.zfcg.gxzf.gov.cn）</w:t>
      </w:r>
    </w:p>
    <w:p w14:paraId="47E0CFAB">
      <w:pPr>
        <w:pStyle w:val="237"/>
        <w:spacing w:line="420" w:lineRule="exact"/>
        <w:ind w:firstLine="420"/>
        <w:rPr>
          <w:rFonts w:hint="eastAsia" w:ascii="宋体" w:hAnsi="宋体"/>
          <w:bCs/>
          <w:color w:val="auto"/>
          <w:szCs w:val="21"/>
        </w:rPr>
      </w:pPr>
      <w:r>
        <w:rPr>
          <w:rFonts w:hint="eastAsia" w:ascii="宋体" w:hAnsi="宋体"/>
          <w:bCs/>
          <w:color w:val="auto"/>
          <w:szCs w:val="21"/>
        </w:rPr>
        <w:t>方式：投标人登录广西政府采购云平台https://login.gcy.zfcg.gxzf.gov.cn在线申请获取招标文件（进入“项目采购”应用，在获取招标文件菜单中选择项目，申请获取招标文件） </w:t>
      </w:r>
    </w:p>
    <w:p w14:paraId="168BAD0A">
      <w:pPr>
        <w:pStyle w:val="237"/>
        <w:spacing w:line="420" w:lineRule="exact"/>
        <w:ind w:firstLine="420"/>
        <w:rPr>
          <w:rFonts w:hint="eastAsia" w:ascii="宋体" w:hAnsi="宋体"/>
          <w:bCs/>
          <w:color w:val="auto"/>
          <w:szCs w:val="21"/>
        </w:rPr>
      </w:pPr>
      <w:r>
        <w:rPr>
          <w:rFonts w:hint="eastAsia" w:ascii="宋体" w:hAnsi="宋体"/>
          <w:bCs/>
          <w:color w:val="auto"/>
          <w:szCs w:val="21"/>
        </w:rPr>
        <w:t>售价（元）：0</w:t>
      </w:r>
    </w:p>
    <w:p w14:paraId="077A0AEA">
      <w:pPr>
        <w:pStyle w:val="237"/>
        <w:spacing w:line="420" w:lineRule="exact"/>
        <w:ind w:firstLine="422"/>
        <w:rPr>
          <w:rFonts w:hint="eastAsia" w:ascii="宋体" w:hAnsi="宋体"/>
          <w:b/>
          <w:color w:val="auto"/>
          <w:szCs w:val="21"/>
        </w:rPr>
      </w:pPr>
      <w:r>
        <w:rPr>
          <w:rFonts w:hint="eastAsia" w:ascii="宋体" w:hAnsi="宋体"/>
          <w:b/>
          <w:color w:val="auto"/>
          <w:szCs w:val="21"/>
        </w:rPr>
        <w:t>四、提交投标文件截止时间、开标时间和地点</w:t>
      </w:r>
    </w:p>
    <w:p w14:paraId="700161E9">
      <w:pPr>
        <w:tabs>
          <w:tab w:val="left" w:pos="7200"/>
        </w:tabs>
        <w:spacing w:line="372" w:lineRule="auto"/>
        <w:ind w:firstLine="420" w:firstLineChars="200"/>
        <w:rPr>
          <w:rFonts w:hint="eastAsia" w:ascii="宋体" w:hAnsi="宋体"/>
          <w:color w:val="auto"/>
          <w:szCs w:val="21"/>
        </w:rPr>
      </w:pPr>
      <w:r>
        <w:rPr>
          <w:rFonts w:hint="eastAsia" w:ascii="宋体" w:hAnsi="宋体"/>
          <w:color w:val="auto"/>
          <w:szCs w:val="21"/>
        </w:rPr>
        <w:t>投标截止时间：</w:t>
      </w:r>
      <w:r>
        <w:rPr>
          <w:rFonts w:hint="eastAsia" w:ascii="宋体" w:hAnsi="宋体" w:cs="宋体"/>
          <w:color w:val="auto"/>
          <w:szCs w:val="21"/>
        </w:rPr>
        <w:t>2025年</w:t>
      </w:r>
      <w:r>
        <w:rPr>
          <w:rFonts w:hint="eastAsia" w:ascii="宋体" w:hAnsi="宋体" w:cs="宋体"/>
          <w:color w:val="auto"/>
          <w:szCs w:val="21"/>
          <w:lang w:val="en-US" w:eastAsia="zh-CN"/>
        </w:rPr>
        <w:t>7</w:t>
      </w:r>
      <w:r>
        <w:rPr>
          <w:rFonts w:hint="eastAsia" w:ascii="宋体" w:hAnsi="宋体" w:cs="宋体"/>
          <w:color w:val="auto"/>
          <w:szCs w:val="21"/>
        </w:rPr>
        <w:t xml:space="preserve">月 </w:t>
      </w:r>
      <w:r>
        <w:rPr>
          <w:rFonts w:hint="eastAsia" w:ascii="宋体" w:hAnsi="宋体" w:cs="宋体"/>
          <w:color w:val="auto"/>
          <w:szCs w:val="21"/>
          <w:lang w:val="en-US" w:eastAsia="zh-CN"/>
        </w:rPr>
        <w:t>30</w:t>
      </w:r>
      <w:r>
        <w:rPr>
          <w:rFonts w:hint="eastAsia" w:ascii="宋体" w:hAnsi="宋体" w:cs="宋体"/>
          <w:color w:val="auto"/>
          <w:szCs w:val="21"/>
        </w:rPr>
        <w:t xml:space="preserve"> 日9时30分</w:t>
      </w:r>
      <w:r>
        <w:rPr>
          <w:rFonts w:hint="eastAsia" w:ascii="宋体" w:hAnsi="宋体" w:cs="宋体"/>
          <w:color w:val="auto"/>
          <w:spacing w:val="1"/>
          <w:szCs w:val="21"/>
        </w:rPr>
        <w:t>（北京时间）</w:t>
      </w:r>
      <w:r>
        <w:rPr>
          <w:rFonts w:hint="eastAsia" w:ascii="宋体" w:hAnsi="宋体"/>
          <w:color w:val="auto"/>
          <w:szCs w:val="21"/>
        </w:rPr>
        <w:t>。</w:t>
      </w:r>
    </w:p>
    <w:p w14:paraId="00161C9D">
      <w:pPr>
        <w:spacing w:line="372" w:lineRule="auto"/>
        <w:ind w:firstLine="424" w:firstLineChars="200"/>
        <w:rPr>
          <w:rFonts w:hint="eastAsia" w:ascii="宋体" w:hAnsi="宋体" w:cs="宋体"/>
          <w:color w:val="auto"/>
          <w:spacing w:val="1"/>
          <w:szCs w:val="21"/>
        </w:rPr>
      </w:pPr>
      <w:r>
        <w:rPr>
          <w:rFonts w:hint="eastAsia" w:ascii="宋体" w:hAnsi="宋体" w:cs="宋体"/>
          <w:color w:val="auto"/>
          <w:spacing w:val="1"/>
          <w:szCs w:val="21"/>
        </w:rPr>
        <w:t>投标地点：通过“</w:t>
      </w:r>
      <w:r>
        <w:rPr>
          <w:rFonts w:hint="eastAsia" w:ascii="宋体" w:hAnsi="宋体" w:cs="宋体"/>
          <w:color w:val="auto"/>
          <w:szCs w:val="21"/>
        </w:rPr>
        <w:t>广西政府采购云</w:t>
      </w:r>
      <w:r>
        <w:rPr>
          <w:rFonts w:hint="eastAsia" w:ascii="宋体" w:hAnsi="宋体" w:cs="宋体"/>
          <w:color w:val="auto"/>
          <w:spacing w:val="1"/>
          <w:szCs w:val="21"/>
        </w:rPr>
        <w:t>”平台在线投标。</w:t>
      </w:r>
    </w:p>
    <w:p w14:paraId="6B5454FA">
      <w:pPr>
        <w:spacing w:line="372" w:lineRule="auto"/>
        <w:ind w:firstLine="424" w:firstLineChars="200"/>
        <w:rPr>
          <w:rFonts w:hint="eastAsia" w:ascii="宋体" w:hAnsi="宋体" w:cs="宋体"/>
          <w:color w:val="auto"/>
          <w:spacing w:val="1"/>
          <w:szCs w:val="21"/>
        </w:rPr>
      </w:pPr>
      <w:r>
        <w:rPr>
          <w:rFonts w:hint="eastAsia" w:ascii="宋体" w:hAnsi="宋体" w:cs="宋体"/>
          <w:color w:val="auto"/>
          <w:spacing w:val="1"/>
          <w:szCs w:val="21"/>
        </w:rPr>
        <w:t xml:space="preserve">开标时间：2025年 </w:t>
      </w:r>
      <w:r>
        <w:rPr>
          <w:rFonts w:hint="eastAsia" w:ascii="宋体" w:hAnsi="宋体" w:cs="宋体"/>
          <w:color w:val="auto"/>
          <w:spacing w:val="1"/>
          <w:szCs w:val="21"/>
          <w:lang w:val="en-US" w:eastAsia="zh-CN"/>
        </w:rPr>
        <w:t>7</w:t>
      </w:r>
      <w:r>
        <w:rPr>
          <w:rFonts w:hint="eastAsia" w:ascii="宋体" w:hAnsi="宋体" w:cs="宋体"/>
          <w:color w:val="auto"/>
          <w:spacing w:val="1"/>
          <w:szCs w:val="21"/>
        </w:rPr>
        <w:t xml:space="preserve"> 月 </w:t>
      </w:r>
      <w:r>
        <w:rPr>
          <w:rFonts w:hint="eastAsia" w:ascii="宋体" w:hAnsi="宋体" w:cs="宋体"/>
          <w:color w:val="auto"/>
          <w:spacing w:val="1"/>
          <w:szCs w:val="21"/>
          <w:lang w:val="en-US" w:eastAsia="zh-CN"/>
        </w:rPr>
        <w:t>30</w:t>
      </w:r>
      <w:r>
        <w:rPr>
          <w:rFonts w:hint="eastAsia" w:ascii="宋体" w:hAnsi="宋体" w:cs="宋体"/>
          <w:color w:val="auto"/>
          <w:spacing w:val="1"/>
          <w:szCs w:val="21"/>
        </w:rPr>
        <w:t xml:space="preserve"> 日上午09时30分（北京时间）；</w:t>
      </w:r>
    </w:p>
    <w:p w14:paraId="1D4CDF87">
      <w:pPr>
        <w:spacing w:line="372" w:lineRule="auto"/>
        <w:ind w:firstLine="424" w:firstLineChars="200"/>
        <w:rPr>
          <w:rFonts w:hint="eastAsia" w:ascii="宋体" w:hAnsi="宋体" w:cs="宋体"/>
          <w:color w:val="auto"/>
          <w:spacing w:val="1"/>
          <w:szCs w:val="21"/>
        </w:rPr>
      </w:pPr>
      <w:r>
        <w:rPr>
          <w:rFonts w:hint="eastAsia" w:ascii="宋体" w:hAnsi="宋体" w:cs="宋体"/>
          <w:color w:val="auto"/>
          <w:spacing w:val="1"/>
          <w:szCs w:val="21"/>
        </w:rPr>
        <w:t>开标地点：</w:t>
      </w:r>
      <w:r>
        <w:rPr>
          <w:rFonts w:hint="eastAsia" w:ascii="宋体" w:hAnsi="宋体" w:cs="宋体"/>
          <w:bCs/>
          <w:color w:val="auto"/>
        </w:rPr>
        <w:t>通过“广西政府采购云”平台在线解密、开标。</w:t>
      </w:r>
    </w:p>
    <w:p w14:paraId="2928041A">
      <w:pPr>
        <w:pStyle w:val="237"/>
        <w:spacing w:line="420" w:lineRule="exact"/>
        <w:ind w:firstLine="422"/>
        <w:rPr>
          <w:rFonts w:hint="eastAsia" w:ascii="宋体" w:hAnsi="宋体"/>
          <w:color w:val="auto"/>
          <w:szCs w:val="21"/>
        </w:rPr>
      </w:pPr>
      <w:r>
        <w:rPr>
          <w:rFonts w:hint="eastAsia" w:ascii="宋体" w:hAnsi="宋体"/>
          <w:b/>
          <w:color w:val="auto"/>
          <w:szCs w:val="21"/>
        </w:rPr>
        <w:t>五、公告期限：</w:t>
      </w:r>
    </w:p>
    <w:p w14:paraId="7F322CE9">
      <w:pPr>
        <w:pStyle w:val="237"/>
        <w:spacing w:line="420" w:lineRule="exact"/>
        <w:ind w:firstLine="420"/>
        <w:rPr>
          <w:rFonts w:hint="eastAsia" w:ascii="宋体" w:hAnsi="宋体"/>
          <w:color w:val="auto"/>
          <w:szCs w:val="21"/>
        </w:rPr>
      </w:pPr>
      <w:r>
        <w:rPr>
          <w:rFonts w:hint="eastAsia" w:ascii="宋体" w:hAnsi="宋体"/>
          <w:color w:val="auto"/>
          <w:szCs w:val="21"/>
        </w:rPr>
        <w:t>自本公告发布之日起5个工作日。</w:t>
      </w:r>
    </w:p>
    <w:p w14:paraId="42F1F42F">
      <w:pPr>
        <w:pStyle w:val="237"/>
        <w:spacing w:line="420" w:lineRule="exact"/>
        <w:ind w:firstLine="422"/>
        <w:rPr>
          <w:rFonts w:hint="eastAsia" w:ascii="宋体" w:hAnsi="宋体"/>
          <w:b/>
          <w:color w:val="auto"/>
          <w:szCs w:val="21"/>
        </w:rPr>
      </w:pPr>
      <w:r>
        <w:rPr>
          <w:rFonts w:hint="eastAsia" w:ascii="宋体" w:hAnsi="宋体"/>
          <w:b/>
          <w:color w:val="auto"/>
          <w:szCs w:val="21"/>
        </w:rPr>
        <w:t>六、其他补充事宜：</w:t>
      </w:r>
    </w:p>
    <w:p w14:paraId="57318D8F">
      <w:pPr>
        <w:spacing w:line="420" w:lineRule="exact"/>
        <w:ind w:firstLine="420" w:firstLineChars="200"/>
        <w:rPr>
          <w:color w:val="auto"/>
        </w:rPr>
      </w:pPr>
      <w:r>
        <w:rPr>
          <w:rFonts w:hint="eastAsia" w:asciiTheme="minorEastAsia" w:hAnsiTheme="minorEastAsia" w:eastAsiaTheme="minorEastAsia" w:cstheme="minorEastAsia"/>
          <w:color w:val="auto"/>
          <w:szCs w:val="21"/>
          <w:shd w:val="clear" w:color="auto" w:fill="FFFFFF"/>
        </w:rPr>
        <w:t>1.信息公告发布媒体：</w:t>
      </w:r>
      <w:r>
        <w:rPr>
          <w:rFonts w:hint="eastAsia" w:ascii="宋体" w:hAnsi="宋体" w:cs="宋体"/>
          <w:color w:val="auto"/>
          <w:szCs w:val="21"/>
        </w:rPr>
        <w:t>本项目信息发布媒体：http://www.ccgp.gov.cn（中国政府采购网）、http://www.ccgp-guangxi.gov.cn/（广西壮族自治区政府采购网）、桂林市政府采购网（zfcg.czj.guilin.gov.cn）。</w:t>
      </w:r>
    </w:p>
    <w:p w14:paraId="231082AA">
      <w:pPr>
        <w:wordWrap w:val="0"/>
        <w:spacing w:line="372" w:lineRule="auto"/>
        <w:ind w:firstLine="420" w:firstLineChars="200"/>
        <w:rPr>
          <w:rFonts w:hint="eastAsia" w:ascii="宋体" w:hAnsi="宋体" w:cs="宋体"/>
          <w:color w:val="auto"/>
          <w:kern w:val="0"/>
          <w:szCs w:val="21"/>
        </w:rPr>
      </w:pPr>
      <w:r>
        <w:rPr>
          <w:rFonts w:hint="eastAsia" w:asciiTheme="minorEastAsia" w:hAnsiTheme="minorEastAsia" w:eastAsiaTheme="minorEastAsia" w:cstheme="minorEastAsia"/>
          <w:color w:val="auto"/>
          <w:szCs w:val="21"/>
          <w:shd w:val="clear" w:color="auto" w:fill="FFFFFF"/>
        </w:rPr>
        <w:t>2.投标人认为招标文件使自己的合法权益受到损害的，应当在本项目公告期限届满之日起七个工作日内以书面形式向采购代理机构提出质疑；投标人认为招标过程或中标结果使自己的合法权益受到损害的，应当在各采购程序环节结束之日或中标公告期限届满之日起七个工作日内，以书面形式向采购代理机构提出质疑（“质疑函”格式见附表1）。否则，采购代理机构有权拒收。</w:t>
      </w:r>
      <w:r>
        <w:rPr>
          <w:rFonts w:hint="eastAsia" w:asciiTheme="minorEastAsia" w:hAnsiTheme="minorEastAsia" w:eastAsiaTheme="minorEastAsia" w:cstheme="minorEastAsia"/>
          <w:color w:val="auto"/>
          <w:szCs w:val="21"/>
          <w:shd w:val="clear" w:color="auto" w:fill="FFFFFF"/>
        </w:rPr>
        <w:br w:type="textWrapping"/>
      </w:r>
      <w:r>
        <w:rPr>
          <w:rFonts w:hint="eastAsia" w:asciiTheme="minorEastAsia" w:hAnsiTheme="minorEastAsia" w:eastAsiaTheme="minorEastAsia" w:cstheme="minorEastAsia"/>
          <w:color w:val="auto"/>
          <w:szCs w:val="21"/>
          <w:shd w:val="clear" w:color="auto" w:fill="FFFFFF"/>
        </w:rPr>
        <w:t>3.本项目需要落实的政府采购政策</w:t>
      </w:r>
      <w:r>
        <w:rPr>
          <w:rFonts w:hint="eastAsia" w:asciiTheme="minorEastAsia" w:hAnsiTheme="minorEastAsia" w:eastAsiaTheme="minorEastAsia" w:cstheme="minorEastAsia"/>
          <w:color w:val="auto"/>
          <w:szCs w:val="21"/>
          <w:shd w:val="clear" w:color="auto" w:fill="FFFFFF"/>
        </w:rPr>
        <w:br w:type="textWrapping"/>
      </w:r>
      <w:r>
        <w:rPr>
          <w:rFonts w:hint="eastAsia" w:asciiTheme="minorEastAsia" w:hAnsiTheme="minorEastAsia" w:eastAsiaTheme="minorEastAsia" w:cstheme="minorEastAsia"/>
          <w:color w:val="auto"/>
          <w:szCs w:val="21"/>
          <w:shd w:val="clear" w:color="auto" w:fill="FFFFFF"/>
        </w:rPr>
        <w:t>（1）政府采购促进中小企业发展。</w:t>
      </w:r>
      <w:r>
        <w:rPr>
          <w:rFonts w:hint="eastAsia" w:asciiTheme="minorEastAsia" w:hAnsiTheme="minorEastAsia" w:eastAsiaTheme="minorEastAsia" w:cstheme="minorEastAsia"/>
          <w:color w:val="auto"/>
          <w:szCs w:val="21"/>
          <w:shd w:val="clear" w:color="auto" w:fill="FFFFFF"/>
        </w:rPr>
        <w:br w:type="textWrapping"/>
      </w:r>
      <w:r>
        <w:rPr>
          <w:rFonts w:hint="eastAsia" w:asciiTheme="minorEastAsia" w:hAnsiTheme="minorEastAsia" w:eastAsiaTheme="minorEastAsia" w:cstheme="minorEastAsia"/>
          <w:color w:val="auto"/>
          <w:szCs w:val="21"/>
          <w:shd w:val="clear" w:color="auto" w:fill="FFFFFF"/>
        </w:rPr>
        <w:t>（2）政府采购支持监狱企业发展。</w:t>
      </w:r>
      <w:r>
        <w:rPr>
          <w:rFonts w:hint="eastAsia" w:asciiTheme="minorEastAsia" w:hAnsiTheme="minorEastAsia" w:eastAsiaTheme="minorEastAsia" w:cstheme="minorEastAsia"/>
          <w:color w:val="auto"/>
          <w:szCs w:val="21"/>
          <w:shd w:val="clear" w:color="auto" w:fill="FFFFFF"/>
        </w:rPr>
        <w:br w:type="textWrapping"/>
      </w:r>
      <w:r>
        <w:rPr>
          <w:rFonts w:hint="eastAsia" w:asciiTheme="minorEastAsia" w:hAnsiTheme="minorEastAsia" w:eastAsiaTheme="minorEastAsia" w:cstheme="minorEastAsia"/>
          <w:color w:val="auto"/>
          <w:szCs w:val="21"/>
          <w:shd w:val="clear" w:color="auto" w:fill="FFFFFF"/>
        </w:rPr>
        <w:t>（3）政府采购促进残疾人就业政策。</w:t>
      </w:r>
      <w:r>
        <w:rPr>
          <w:rFonts w:hint="eastAsia" w:asciiTheme="minorEastAsia" w:hAnsiTheme="minorEastAsia" w:eastAsiaTheme="minorEastAsia" w:cstheme="minorEastAsia"/>
          <w:color w:val="auto"/>
          <w:szCs w:val="21"/>
          <w:shd w:val="clear" w:color="auto" w:fill="FFFFFF"/>
        </w:rPr>
        <w:br w:type="textWrapping"/>
      </w:r>
      <w:r>
        <w:rPr>
          <w:rFonts w:hint="eastAsia" w:asciiTheme="minorEastAsia" w:hAnsiTheme="minorEastAsia" w:eastAsiaTheme="minorEastAsia" w:cstheme="minorEastAsia"/>
          <w:color w:val="auto"/>
          <w:szCs w:val="21"/>
          <w:shd w:val="clear" w:color="auto" w:fill="FFFFFF"/>
        </w:rPr>
        <w:t>（4）优先采购节能产品、环境标志产品。</w:t>
      </w:r>
      <w:r>
        <w:rPr>
          <w:rFonts w:hint="eastAsia" w:asciiTheme="minorEastAsia" w:hAnsiTheme="minorEastAsia" w:eastAsiaTheme="minorEastAsia" w:cstheme="minorEastAsia"/>
          <w:color w:val="auto"/>
          <w:szCs w:val="21"/>
          <w:shd w:val="clear" w:color="auto" w:fill="FFFFFF"/>
        </w:rPr>
        <w:br w:type="textWrapping"/>
      </w:r>
      <w:r>
        <w:rPr>
          <w:rFonts w:hint="eastAsia" w:asciiTheme="minorEastAsia" w:hAnsiTheme="minorEastAsia" w:eastAsiaTheme="minorEastAsia" w:cstheme="minorEastAsia"/>
          <w:color w:val="auto"/>
          <w:szCs w:val="21"/>
          <w:shd w:val="clear" w:color="auto" w:fill="FFFFFF"/>
        </w:rPr>
        <w:t>（5）政府采购支持采用本国产品的政策。</w:t>
      </w:r>
      <w:r>
        <w:rPr>
          <w:rFonts w:hint="eastAsia" w:asciiTheme="minorEastAsia" w:hAnsiTheme="minorEastAsia" w:eastAsiaTheme="minorEastAsia" w:cstheme="minorEastAsia"/>
          <w:color w:val="auto"/>
          <w:szCs w:val="21"/>
          <w:shd w:val="clear" w:color="auto" w:fill="FFFFFF"/>
        </w:rPr>
        <w:br w:type="textWrapping"/>
      </w:r>
      <w:r>
        <w:rPr>
          <w:rFonts w:hint="eastAsia" w:asciiTheme="minorEastAsia" w:hAnsiTheme="minorEastAsia" w:eastAsiaTheme="minorEastAsia" w:cstheme="minorEastAsia"/>
          <w:color w:val="auto"/>
          <w:szCs w:val="21"/>
          <w:shd w:val="clear" w:color="auto" w:fill="FFFFFF"/>
        </w:rPr>
        <w:t>4.</w:t>
      </w:r>
      <w:r>
        <w:rPr>
          <w:rFonts w:ascii="宋体" w:hAnsi="宋体" w:cs="宋体"/>
          <w:color w:val="auto"/>
          <w:spacing w:val="8"/>
          <w:position w:val="1"/>
          <w:szCs w:val="21"/>
        </w:rPr>
        <w:t>本项目所属行业：</w:t>
      </w:r>
      <w:r>
        <w:rPr>
          <w:rFonts w:hint="eastAsia" w:ascii="宋体" w:hAnsi="宋体" w:cs="宋体"/>
          <w:color w:val="auto"/>
          <w:spacing w:val="8"/>
          <w:position w:val="1"/>
          <w:szCs w:val="21"/>
        </w:rPr>
        <w:t>工业</w:t>
      </w:r>
      <w:r>
        <w:rPr>
          <w:rFonts w:ascii="宋体" w:hAnsi="宋体" w:cs="宋体"/>
          <w:color w:val="auto"/>
          <w:spacing w:val="8"/>
          <w:position w:val="1"/>
          <w:szCs w:val="21"/>
        </w:rPr>
        <w:t>。</w:t>
      </w:r>
      <w:r>
        <w:rPr>
          <w:rFonts w:hint="eastAsia" w:asciiTheme="minorEastAsia" w:hAnsiTheme="minorEastAsia" w:eastAsiaTheme="minorEastAsia" w:cstheme="minorEastAsia"/>
          <w:color w:val="auto"/>
          <w:szCs w:val="21"/>
          <w:shd w:val="clear" w:color="auto" w:fill="FFFFFF"/>
        </w:rPr>
        <w:br w:type="textWrapping"/>
      </w:r>
      <w:r>
        <w:rPr>
          <w:rFonts w:hint="eastAsia" w:asciiTheme="minorEastAsia" w:hAnsiTheme="minorEastAsia" w:eastAsiaTheme="minorEastAsia" w:cstheme="minorEastAsia"/>
          <w:color w:val="auto"/>
          <w:szCs w:val="21"/>
          <w:shd w:val="clear" w:color="auto" w:fill="FFFFFF"/>
        </w:rPr>
        <w:t>5.资格条件特别说明：</w:t>
      </w:r>
      <w:r>
        <w:rPr>
          <w:rFonts w:hint="eastAsia" w:asciiTheme="minorEastAsia" w:hAnsiTheme="minorEastAsia" w:eastAsiaTheme="minorEastAsia" w:cstheme="minorEastAsia"/>
          <w:color w:val="auto"/>
          <w:szCs w:val="21"/>
          <w:shd w:val="clear" w:color="auto" w:fill="FFFFFF"/>
        </w:rPr>
        <w:br w:type="textWrapping"/>
      </w:r>
      <w:r>
        <w:rPr>
          <w:rFonts w:hint="eastAsia" w:asciiTheme="minorEastAsia" w:hAnsiTheme="minorEastAsia" w:eastAsiaTheme="minorEastAsia" w:cstheme="minorEastAsia"/>
          <w:color w:val="auto"/>
          <w:szCs w:val="21"/>
          <w:shd w:val="clear" w:color="auto" w:fill="FFFFFF"/>
        </w:rPr>
        <w:t>（1）单位负责人为同一人或者存在直接控股、管理关系的不同投标人，不得参加同一合同项下的政府采购活动。为本项目提供过整体设计、规范编制或者项目管理、监理、检测等服务的投标人，不得再参加本项目上述服务以外的其他采购活动；</w:t>
      </w:r>
      <w:r>
        <w:rPr>
          <w:rFonts w:hint="eastAsia" w:asciiTheme="minorEastAsia" w:hAnsiTheme="minorEastAsia" w:eastAsiaTheme="minorEastAsia" w:cstheme="minorEastAsia"/>
          <w:color w:val="auto"/>
          <w:szCs w:val="21"/>
          <w:shd w:val="clear" w:color="auto" w:fill="FFFFFF"/>
        </w:rPr>
        <w:br w:type="textWrapping"/>
      </w:r>
      <w:r>
        <w:rPr>
          <w:rFonts w:hint="eastAsia" w:asciiTheme="minorEastAsia" w:hAnsiTheme="minorEastAsia" w:eastAsiaTheme="minorEastAsia" w:cstheme="minorEastAsia"/>
          <w:color w:val="auto"/>
          <w:szCs w:val="21"/>
          <w:shd w:val="clear" w:color="auto" w:fill="FFFFFF"/>
        </w:rPr>
        <w:t>（2）对在“信用中国”网站(www.creditchina.gov.cn) 、中国政府采购网(www.ccgp.gov.cn)被列入失信被执行人、重大税收违法案件当事人名单、政府采购严重违法失信行为记录名单及其他不符合《中华人民共和国政府采购法》第二十二条规定条件的投标人，不得参与政府采购活动。</w:t>
      </w:r>
      <w:r>
        <w:rPr>
          <w:rFonts w:hint="eastAsia" w:asciiTheme="minorEastAsia" w:hAnsiTheme="minorEastAsia" w:eastAsiaTheme="minorEastAsia" w:cstheme="minorEastAsia"/>
          <w:color w:val="auto"/>
          <w:szCs w:val="21"/>
          <w:shd w:val="clear" w:color="auto" w:fill="FFFFFF"/>
        </w:rPr>
        <w:br w:type="textWrapping"/>
      </w:r>
      <w:r>
        <w:rPr>
          <w:rFonts w:hint="eastAsia" w:asciiTheme="minorEastAsia" w:hAnsiTheme="minorEastAsia" w:eastAsiaTheme="minorEastAsia" w:cstheme="minorEastAsia"/>
          <w:color w:val="auto"/>
          <w:szCs w:val="21"/>
          <w:shd w:val="clear" w:color="auto" w:fill="FFFFFF"/>
        </w:rPr>
        <w:t>6.</w:t>
      </w:r>
      <w:r>
        <w:rPr>
          <w:rFonts w:hint="eastAsia" w:ascii="宋体" w:hAnsi="宋体" w:cs="宋体"/>
          <w:color w:val="auto"/>
          <w:szCs w:val="21"/>
          <w:shd w:val="clear" w:color="auto" w:fill="FFFFFF"/>
        </w:rPr>
        <w:t>“广西政府采购云”平台电子投标相关事宜说明：</w:t>
      </w:r>
      <w:r>
        <w:rPr>
          <w:rFonts w:hint="eastAsia" w:ascii="宋体" w:hAnsi="宋体" w:cs="宋体"/>
          <w:color w:val="auto"/>
          <w:szCs w:val="21"/>
          <w:shd w:val="clear" w:color="auto" w:fill="FFFFFF"/>
        </w:rPr>
        <w:br w:type="textWrapping"/>
      </w:r>
      <w:r>
        <w:rPr>
          <w:rFonts w:hint="eastAsia" w:ascii="宋体" w:hAnsi="宋体" w:cs="宋体"/>
          <w:color w:val="auto"/>
          <w:szCs w:val="21"/>
          <w:shd w:val="clear" w:color="auto" w:fill="FFFFFF"/>
        </w:rPr>
        <w:t>（1）本项目实行全流程电子化采购，投标人通过“广西政府采购云”平台参与电子投标，并应做好以下相关准备工作：①在“广西政府采购云”平台注册成为正式投标人（操作方法详见广西壮族自治区政府采购网—办事服务—办事指南）；②完成CA证书申领和绑定（费用由投标人自行承担，办理流程详见广西壮族自治区政府采购网—办事服务—下载专区，完成CA证书办理预计一周左右，建议投标人尽快办理）；③下载“广西壮族自治区全流程电子招投标项目管理系统--投标人客户端”（操作方法详见广西壮族自治区政府采购网—办事服务—下载专区，以下称“广西政府采购云电子投标客户端”）并安装成功，投标人应当在提交投标文件截止时间前在“广西政府采购云”平台完成的身份认证，确保能够对相关数据电文进行加密和使用电子签章；④自备计算机和网络设备并确保能接入互联网（费用由投标人自行承担，设备确保可进行视频通话和读取广西政府采购云CA证书）。因投标人未做好相关准备工作等自身原因导致无法参加本项目电子投标或投标失败的，造成的一切后果，由投标人自行承担。</w:t>
      </w:r>
      <w:r>
        <w:rPr>
          <w:rFonts w:hint="eastAsia" w:ascii="宋体" w:hAnsi="宋体" w:cs="宋体"/>
          <w:color w:val="auto"/>
          <w:szCs w:val="21"/>
          <w:shd w:val="clear" w:color="auto" w:fill="FFFFFF"/>
        </w:rPr>
        <w:br w:type="textWrapping"/>
      </w:r>
      <w:r>
        <w:rPr>
          <w:rFonts w:hint="eastAsia" w:ascii="宋体" w:hAnsi="宋体" w:cs="宋体"/>
          <w:color w:val="auto"/>
          <w:szCs w:val="21"/>
          <w:shd w:val="clear" w:color="auto" w:fill="FFFFFF"/>
        </w:rPr>
        <w:t>（2）电子投标具体操作流程参考《政府采购项目电子交易管理操作指南-投标人》（详见桂林市政府采购网—采购资讯—重要通知）；如遇平台技术问题详询95763。</w:t>
      </w:r>
      <w:r>
        <w:rPr>
          <w:rFonts w:hint="eastAsia" w:ascii="宋体" w:hAnsi="宋体" w:cs="宋体"/>
          <w:color w:val="auto"/>
          <w:szCs w:val="21"/>
          <w:shd w:val="clear" w:color="auto" w:fill="FFFFFF"/>
        </w:rPr>
        <w:br w:type="textWrapping"/>
      </w:r>
      <w:r>
        <w:rPr>
          <w:rFonts w:hint="eastAsia" w:ascii="宋体" w:hAnsi="宋体" w:cs="宋体"/>
          <w:color w:val="auto"/>
          <w:szCs w:val="21"/>
          <w:shd w:val="clear" w:color="auto" w:fill="FFFFFF"/>
        </w:rPr>
        <w:t>（3）电子投标文件的制作、加密、提交、解密等相关事宜详见第二章 “投标人须知”。</w:t>
      </w:r>
    </w:p>
    <w:p w14:paraId="4B7173D2">
      <w:pPr>
        <w:pStyle w:val="237"/>
        <w:spacing w:line="420" w:lineRule="exact"/>
        <w:ind w:firstLine="422"/>
        <w:rPr>
          <w:rFonts w:hint="eastAsia" w:ascii="宋体" w:hAnsi="宋体"/>
          <w:b/>
          <w:color w:val="auto"/>
          <w:szCs w:val="21"/>
        </w:rPr>
      </w:pPr>
      <w:r>
        <w:rPr>
          <w:rFonts w:hint="eastAsia" w:ascii="宋体" w:hAnsi="宋体"/>
          <w:b/>
          <w:color w:val="auto"/>
          <w:szCs w:val="21"/>
        </w:rPr>
        <w:t>七、对本次招标提出询问，请按以下方式联系</w:t>
      </w:r>
    </w:p>
    <w:p w14:paraId="5A7524BE">
      <w:pPr>
        <w:widowControl/>
        <w:spacing w:line="420" w:lineRule="exact"/>
        <w:jc w:val="left"/>
        <w:rPr>
          <w:rFonts w:hint="eastAsia" w:ascii="宋体" w:hAnsi="宋体"/>
          <w:color w:val="auto"/>
          <w:szCs w:val="21"/>
        </w:rPr>
      </w:pPr>
      <w:r>
        <w:rPr>
          <w:rFonts w:hint="eastAsia" w:ascii="宋体" w:hAnsi="宋体"/>
          <w:color w:val="auto"/>
          <w:szCs w:val="21"/>
        </w:rPr>
        <w:t xml:space="preserve">    1.采购人信息</w:t>
      </w:r>
    </w:p>
    <w:p w14:paraId="5B0F649D">
      <w:pPr>
        <w:spacing w:line="420" w:lineRule="exact"/>
        <w:ind w:firstLine="424" w:firstLineChars="202"/>
        <w:rPr>
          <w:rFonts w:hint="eastAsia" w:ascii="宋体" w:hAnsi="宋体"/>
          <w:color w:val="auto"/>
          <w:szCs w:val="21"/>
        </w:rPr>
      </w:pPr>
      <w:r>
        <w:rPr>
          <w:rFonts w:hint="eastAsia" w:ascii="宋体" w:hAnsi="宋体"/>
          <w:color w:val="auto"/>
          <w:szCs w:val="21"/>
        </w:rPr>
        <w:t>名 称：桂林市第二技工学校</w:t>
      </w:r>
    </w:p>
    <w:p w14:paraId="7893C1D5">
      <w:pPr>
        <w:spacing w:line="420" w:lineRule="exact"/>
        <w:ind w:firstLine="405" w:firstLineChars="193"/>
        <w:rPr>
          <w:rFonts w:hint="eastAsia" w:ascii="宋体" w:hAnsi="宋体"/>
          <w:color w:val="auto"/>
          <w:szCs w:val="21"/>
        </w:rPr>
      </w:pPr>
      <w:r>
        <w:rPr>
          <w:rFonts w:ascii="宋体" w:hAnsi="宋体"/>
          <w:color w:val="auto"/>
          <w:szCs w:val="21"/>
        </w:rPr>
        <w:t>地址：</w:t>
      </w:r>
      <w:r>
        <w:rPr>
          <w:rFonts w:hint="eastAsia" w:ascii="宋体" w:hAnsi="宋体" w:cs="宋体"/>
          <w:color w:val="auto"/>
          <w:szCs w:val="21"/>
        </w:rPr>
        <w:t>桂林市象山区象塘路266号</w:t>
      </w:r>
    </w:p>
    <w:p w14:paraId="578010AC">
      <w:pPr>
        <w:spacing w:line="420" w:lineRule="exact"/>
        <w:ind w:firstLine="405" w:firstLineChars="193"/>
        <w:rPr>
          <w:rFonts w:hint="eastAsia" w:ascii="宋体" w:hAnsi="宋体"/>
          <w:color w:val="auto"/>
          <w:szCs w:val="21"/>
        </w:rPr>
      </w:pPr>
      <w:r>
        <w:rPr>
          <w:rFonts w:hint="eastAsia" w:ascii="宋体" w:hAnsi="宋体"/>
          <w:color w:val="auto"/>
          <w:szCs w:val="21"/>
        </w:rPr>
        <w:t>项目联系人： 温美清</w:t>
      </w:r>
    </w:p>
    <w:p w14:paraId="670C7FE8">
      <w:pPr>
        <w:spacing w:line="420" w:lineRule="exact"/>
        <w:ind w:firstLine="405" w:firstLineChars="193"/>
        <w:rPr>
          <w:rFonts w:hint="eastAsia" w:ascii="宋体" w:hAnsi="宋体"/>
          <w:color w:val="auto"/>
          <w:szCs w:val="21"/>
        </w:rPr>
      </w:pPr>
      <w:r>
        <w:rPr>
          <w:rFonts w:hint="eastAsia" w:ascii="宋体" w:hAnsi="宋体"/>
          <w:color w:val="auto"/>
          <w:szCs w:val="21"/>
        </w:rPr>
        <w:t>项目联系方式</w:t>
      </w:r>
      <w:r>
        <w:rPr>
          <w:rFonts w:ascii="宋体" w:hAnsi="宋体"/>
          <w:color w:val="auto"/>
          <w:szCs w:val="21"/>
        </w:rPr>
        <w:t>：</w:t>
      </w:r>
      <w:r>
        <w:rPr>
          <w:rFonts w:hint="eastAsia" w:ascii="宋体" w:hAnsi="宋体"/>
          <w:color w:val="auto"/>
          <w:szCs w:val="21"/>
        </w:rPr>
        <w:t xml:space="preserve"> 19167567097</w:t>
      </w:r>
    </w:p>
    <w:p w14:paraId="6593D6EC">
      <w:pPr>
        <w:spacing w:line="420" w:lineRule="exact"/>
        <w:ind w:firstLine="424" w:firstLineChars="202"/>
        <w:jc w:val="left"/>
        <w:rPr>
          <w:rFonts w:hint="eastAsia" w:ascii="宋体" w:hAnsi="宋体"/>
          <w:color w:val="auto"/>
          <w:szCs w:val="21"/>
        </w:rPr>
      </w:pPr>
      <w:r>
        <w:rPr>
          <w:rFonts w:hint="eastAsia" w:ascii="宋体" w:hAnsi="宋体"/>
          <w:color w:val="auto"/>
          <w:szCs w:val="21"/>
        </w:rPr>
        <w:t>2.采购代理机构信息</w:t>
      </w:r>
    </w:p>
    <w:p w14:paraId="73A90E4C">
      <w:pPr>
        <w:spacing w:line="420" w:lineRule="exact"/>
        <w:ind w:firstLine="424" w:firstLineChars="202"/>
        <w:rPr>
          <w:rFonts w:hint="eastAsia" w:ascii="宋体" w:hAnsi="宋体"/>
          <w:color w:val="auto"/>
          <w:szCs w:val="21"/>
        </w:rPr>
      </w:pPr>
      <w:r>
        <w:rPr>
          <w:rFonts w:hint="eastAsia" w:ascii="宋体" w:hAnsi="宋体"/>
          <w:color w:val="auto"/>
          <w:szCs w:val="21"/>
        </w:rPr>
        <w:t>名 称：</w:t>
      </w:r>
      <w:r>
        <w:rPr>
          <w:rFonts w:hint="eastAsia" w:ascii="宋体" w:hAnsi="宋体" w:cs="宋体"/>
          <w:color w:val="auto"/>
          <w:szCs w:val="22"/>
          <w:lang w:val="zh-CN" w:bidi="zh-CN"/>
        </w:rPr>
        <w:t>广西晟昌工程科技有限责任公司</w:t>
      </w:r>
    </w:p>
    <w:p w14:paraId="37966F66">
      <w:pPr>
        <w:spacing w:line="420" w:lineRule="exact"/>
        <w:ind w:firstLine="424" w:firstLineChars="202"/>
        <w:rPr>
          <w:rFonts w:hint="eastAsia" w:ascii="宋体" w:hAnsi="宋体"/>
          <w:color w:val="auto"/>
          <w:szCs w:val="21"/>
        </w:rPr>
      </w:pPr>
      <w:r>
        <w:rPr>
          <w:rFonts w:hint="eastAsia" w:ascii="宋体" w:hAnsi="宋体"/>
          <w:color w:val="auto"/>
          <w:szCs w:val="21"/>
        </w:rPr>
        <w:t>地 址：</w:t>
      </w:r>
      <w:r>
        <w:rPr>
          <w:rFonts w:hint="eastAsia" w:ascii="宋体" w:hAnsi="宋体" w:cs="宋体"/>
          <w:color w:val="auto"/>
          <w:kern w:val="0"/>
          <w:szCs w:val="21"/>
        </w:rPr>
        <w:t>桂林市临桂区临桂镇老街（原桂林市旺山化工有限责任公司内）</w:t>
      </w:r>
    </w:p>
    <w:p w14:paraId="213C6436">
      <w:pPr>
        <w:spacing w:line="400" w:lineRule="exact"/>
        <w:ind w:firstLine="420" w:firstLineChars="200"/>
        <w:rPr>
          <w:rFonts w:hint="eastAsia" w:ascii="宋体" w:hAnsi="宋体" w:cs="宋体"/>
          <w:color w:val="auto"/>
          <w:kern w:val="0"/>
        </w:rPr>
      </w:pPr>
      <w:r>
        <w:rPr>
          <w:rFonts w:hint="eastAsia" w:ascii="宋体" w:hAnsi="宋体" w:cs="宋体"/>
          <w:color w:val="auto"/>
        </w:rPr>
        <w:t>联系方式：0773-5889288</w:t>
      </w:r>
    </w:p>
    <w:p w14:paraId="24DD4263">
      <w:pPr>
        <w:spacing w:line="400" w:lineRule="exact"/>
        <w:ind w:firstLine="420" w:firstLineChars="200"/>
        <w:rPr>
          <w:rFonts w:hint="eastAsia" w:ascii="宋体" w:hAnsi="宋体" w:cs="宋体"/>
          <w:color w:val="auto"/>
          <w:kern w:val="0"/>
        </w:rPr>
      </w:pPr>
      <w:r>
        <w:rPr>
          <w:rFonts w:hint="eastAsia" w:ascii="宋体" w:hAnsi="宋体" w:cs="宋体"/>
          <w:color w:val="auto"/>
          <w:kern w:val="0"/>
        </w:rPr>
        <w:t>3.项目联系方式</w:t>
      </w:r>
    </w:p>
    <w:p w14:paraId="5748907A">
      <w:pPr>
        <w:pStyle w:val="27"/>
        <w:spacing w:line="400" w:lineRule="exact"/>
        <w:ind w:firstLine="420" w:firstLineChars="200"/>
        <w:rPr>
          <w:rFonts w:hint="eastAsia" w:hAnsi="宋体" w:cs="宋体"/>
          <w:color w:val="auto"/>
        </w:rPr>
      </w:pPr>
      <w:r>
        <w:rPr>
          <w:rFonts w:hint="eastAsia" w:hAnsi="宋体" w:cs="宋体"/>
          <w:color w:val="auto"/>
        </w:rPr>
        <w:t>项目联系人：李华、</w:t>
      </w:r>
      <w:r>
        <w:rPr>
          <w:rFonts w:hint="eastAsia" w:hAnsi="宋体" w:cs="宋体"/>
          <w:color w:val="auto"/>
          <w:szCs w:val="24"/>
        </w:rPr>
        <w:t>李冬春</w:t>
      </w:r>
    </w:p>
    <w:p w14:paraId="15DB8139">
      <w:pPr>
        <w:spacing w:line="420" w:lineRule="exact"/>
        <w:ind w:firstLine="424" w:firstLineChars="202"/>
        <w:rPr>
          <w:rFonts w:hint="eastAsia" w:ascii="宋体" w:hAnsi="宋体" w:cs="宋体"/>
          <w:color w:val="auto"/>
        </w:rPr>
      </w:pPr>
      <w:r>
        <w:rPr>
          <w:rFonts w:hint="eastAsia" w:ascii="宋体" w:hAnsi="宋体" w:cs="宋体"/>
          <w:color w:val="auto"/>
        </w:rPr>
        <w:t>电　　话：0773-5889288</w:t>
      </w:r>
    </w:p>
    <w:p w14:paraId="20F92693">
      <w:pPr>
        <w:spacing w:line="420" w:lineRule="exact"/>
        <w:ind w:firstLine="424" w:firstLineChars="202"/>
        <w:rPr>
          <w:rFonts w:hint="eastAsia" w:ascii="宋体" w:hAnsi="宋体"/>
          <w:color w:val="auto"/>
          <w:szCs w:val="21"/>
        </w:rPr>
      </w:pPr>
      <w:r>
        <w:rPr>
          <w:rFonts w:hint="eastAsia" w:ascii="宋体" w:hAnsi="宋体" w:cs="宋体"/>
          <w:color w:val="auto"/>
        </w:rPr>
        <w:t xml:space="preserve"> 　</w:t>
      </w:r>
      <w:r>
        <w:rPr>
          <w:rFonts w:hint="eastAsia" w:ascii="宋体" w:hAnsi="宋体"/>
          <w:color w:val="auto"/>
          <w:szCs w:val="21"/>
        </w:rPr>
        <w:t xml:space="preserve"> </w:t>
      </w:r>
    </w:p>
    <w:p w14:paraId="11499817">
      <w:pPr>
        <w:spacing w:line="420" w:lineRule="exact"/>
        <w:ind w:firstLine="424" w:firstLineChars="202"/>
        <w:rPr>
          <w:rFonts w:hint="eastAsia" w:ascii="宋体" w:hAnsi="宋体"/>
          <w:color w:val="auto"/>
          <w:szCs w:val="21"/>
        </w:rPr>
      </w:pPr>
      <w:r>
        <w:rPr>
          <w:rFonts w:hint="eastAsia" w:ascii="宋体" w:hAnsi="宋体" w:cs="宋体"/>
          <w:color w:val="auto"/>
          <w:szCs w:val="21"/>
        </w:rPr>
        <w:t xml:space="preserve">  </w:t>
      </w:r>
    </w:p>
    <w:p w14:paraId="4F5C7728">
      <w:pPr>
        <w:spacing w:line="420" w:lineRule="exact"/>
        <w:ind w:firstLine="2730" w:firstLineChars="1300"/>
        <w:jc w:val="center"/>
        <w:rPr>
          <w:rFonts w:hint="eastAsia" w:ascii="宋体" w:hAnsi="宋体"/>
          <w:color w:val="auto"/>
          <w:szCs w:val="21"/>
        </w:rPr>
      </w:pPr>
      <w:r>
        <w:rPr>
          <w:rFonts w:hint="eastAsia" w:ascii="宋体" w:hAnsi="宋体"/>
          <w:color w:val="auto"/>
          <w:szCs w:val="21"/>
        </w:rPr>
        <w:t xml:space="preserve">                              </w:t>
      </w:r>
      <w:r>
        <w:rPr>
          <w:rFonts w:hint="eastAsia" w:ascii="宋体" w:hAnsi="宋体"/>
          <w:color w:val="auto"/>
          <w:szCs w:val="21"/>
          <w:lang w:val="zh-CN"/>
        </w:rPr>
        <w:t>广西晟昌工程科技有限责任公司</w:t>
      </w:r>
      <w:r>
        <w:rPr>
          <w:rFonts w:hint="eastAsia" w:ascii="宋体" w:hAnsi="宋体"/>
          <w:color w:val="auto"/>
          <w:szCs w:val="21"/>
        </w:rPr>
        <w:t xml:space="preserve">   </w:t>
      </w:r>
    </w:p>
    <w:p w14:paraId="29541A57">
      <w:pPr>
        <w:spacing w:line="420" w:lineRule="exact"/>
        <w:ind w:firstLine="2730" w:firstLineChars="1300"/>
        <w:jc w:val="center"/>
        <w:rPr>
          <w:color w:val="auto"/>
        </w:rPr>
      </w:pPr>
      <w:r>
        <w:rPr>
          <w:rFonts w:hint="eastAsia" w:ascii="宋体" w:hAnsi="宋体"/>
          <w:color w:val="auto"/>
          <w:szCs w:val="21"/>
        </w:rPr>
        <w:t xml:space="preserve">                              2025年 </w:t>
      </w:r>
      <w:r>
        <w:rPr>
          <w:rFonts w:hint="eastAsia" w:ascii="宋体" w:hAnsi="宋体"/>
          <w:color w:val="auto"/>
          <w:szCs w:val="21"/>
          <w:lang w:val="en-US" w:eastAsia="zh-CN"/>
        </w:rPr>
        <w:t>7</w:t>
      </w:r>
      <w:r>
        <w:rPr>
          <w:rFonts w:hint="eastAsia" w:ascii="宋体" w:hAnsi="宋体"/>
          <w:color w:val="auto"/>
          <w:szCs w:val="21"/>
        </w:rPr>
        <w:t xml:space="preserve"> 月 </w:t>
      </w:r>
      <w:r>
        <w:rPr>
          <w:rFonts w:hint="eastAsia" w:ascii="宋体" w:hAnsi="宋体"/>
          <w:color w:val="auto"/>
          <w:szCs w:val="21"/>
          <w:lang w:val="en-US" w:eastAsia="zh-CN"/>
        </w:rPr>
        <w:t>9</w:t>
      </w:r>
      <w:r>
        <w:rPr>
          <w:rFonts w:hint="eastAsia" w:ascii="宋体" w:hAnsi="宋体"/>
          <w:color w:val="auto"/>
          <w:szCs w:val="21"/>
        </w:rPr>
        <w:t xml:space="preserve"> 日</w:t>
      </w:r>
    </w:p>
    <w:p w14:paraId="1A834929">
      <w:pPr>
        <w:pStyle w:val="2"/>
        <w:spacing w:before="480"/>
        <w:jc w:val="center"/>
        <w:rPr>
          <w:rFonts w:hint="eastAsia" w:ascii="宋体" w:hAnsi="宋体"/>
          <w:b/>
          <w:color w:val="auto"/>
        </w:rPr>
      </w:pPr>
      <w:bookmarkStart w:id="1" w:name="_Toc90288697"/>
      <w:r>
        <w:rPr>
          <w:rFonts w:hint="eastAsia" w:ascii="宋体" w:hAnsi="宋体"/>
          <w:b/>
          <w:color w:val="auto"/>
        </w:rPr>
        <w:br w:type="page"/>
      </w:r>
      <w:r>
        <w:rPr>
          <w:rFonts w:hint="eastAsia" w:ascii="宋体" w:hAnsi="宋体"/>
          <w:b/>
          <w:color w:val="auto"/>
        </w:rPr>
        <w:t>第二章  投标人须知</w:t>
      </w:r>
      <w:bookmarkEnd w:id="1"/>
    </w:p>
    <w:p w14:paraId="399A5D4C">
      <w:pPr>
        <w:tabs>
          <w:tab w:val="left" w:pos="1065"/>
          <w:tab w:val="center" w:pos="4411"/>
        </w:tabs>
        <w:spacing w:line="440" w:lineRule="atLeast"/>
        <w:jc w:val="center"/>
        <w:rPr>
          <w:rFonts w:hint="eastAsia" w:ascii="宋体" w:hAnsi="宋体"/>
          <w:b/>
          <w:color w:val="auto"/>
          <w:sz w:val="24"/>
        </w:rPr>
      </w:pPr>
      <w:r>
        <w:rPr>
          <w:rFonts w:hint="eastAsia" w:ascii="宋体" w:hAnsi="宋体"/>
          <w:b/>
          <w:color w:val="auto"/>
          <w:sz w:val="24"/>
        </w:rPr>
        <w:t>投 标 人 须 知 前 附 表</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992"/>
        <w:gridCol w:w="1418"/>
        <w:gridCol w:w="6521"/>
      </w:tblGrid>
      <w:tr w14:paraId="5B01E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75" w:type="dxa"/>
            <w:vAlign w:val="center"/>
          </w:tcPr>
          <w:p w14:paraId="71F9F74F">
            <w:pPr>
              <w:spacing w:line="380" w:lineRule="exact"/>
              <w:jc w:val="center"/>
              <w:rPr>
                <w:rFonts w:hint="eastAsia" w:ascii="宋体" w:hAnsi="宋体"/>
                <w:color w:val="auto"/>
                <w:szCs w:val="21"/>
              </w:rPr>
            </w:pPr>
            <w:r>
              <w:rPr>
                <w:rFonts w:hint="eastAsia" w:ascii="宋体" w:hAnsi="宋体"/>
                <w:color w:val="auto"/>
                <w:szCs w:val="21"/>
              </w:rPr>
              <w:t>序号</w:t>
            </w:r>
          </w:p>
        </w:tc>
        <w:tc>
          <w:tcPr>
            <w:tcW w:w="992" w:type="dxa"/>
            <w:vAlign w:val="center"/>
          </w:tcPr>
          <w:p w14:paraId="1D919593">
            <w:pPr>
              <w:spacing w:line="380" w:lineRule="exact"/>
              <w:jc w:val="center"/>
              <w:rPr>
                <w:rFonts w:hint="eastAsia" w:ascii="宋体" w:hAnsi="宋体"/>
                <w:color w:val="auto"/>
                <w:szCs w:val="21"/>
              </w:rPr>
            </w:pPr>
            <w:r>
              <w:rPr>
                <w:rFonts w:hint="eastAsia" w:ascii="宋体" w:hAnsi="宋体"/>
                <w:color w:val="auto"/>
                <w:szCs w:val="21"/>
              </w:rPr>
              <w:t>条款号</w:t>
            </w:r>
          </w:p>
        </w:tc>
        <w:tc>
          <w:tcPr>
            <w:tcW w:w="1418" w:type="dxa"/>
            <w:vAlign w:val="center"/>
          </w:tcPr>
          <w:p w14:paraId="7523F640">
            <w:pPr>
              <w:spacing w:line="380" w:lineRule="exact"/>
              <w:jc w:val="center"/>
              <w:rPr>
                <w:rFonts w:hint="eastAsia" w:ascii="宋体" w:hAnsi="宋体"/>
                <w:color w:val="auto"/>
                <w:szCs w:val="21"/>
              </w:rPr>
            </w:pPr>
            <w:r>
              <w:rPr>
                <w:rFonts w:hint="eastAsia" w:ascii="宋体" w:hAnsi="宋体"/>
                <w:color w:val="auto"/>
                <w:szCs w:val="21"/>
              </w:rPr>
              <w:t>条款名称</w:t>
            </w:r>
          </w:p>
        </w:tc>
        <w:tc>
          <w:tcPr>
            <w:tcW w:w="6521" w:type="dxa"/>
            <w:vAlign w:val="center"/>
          </w:tcPr>
          <w:p w14:paraId="7FAAEAE2">
            <w:pPr>
              <w:spacing w:line="380" w:lineRule="exact"/>
              <w:jc w:val="center"/>
              <w:rPr>
                <w:rFonts w:hint="eastAsia" w:ascii="宋体" w:hAnsi="宋体"/>
                <w:color w:val="auto"/>
                <w:szCs w:val="21"/>
              </w:rPr>
            </w:pPr>
            <w:r>
              <w:rPr>
                <w:rFonts w:hint="eastAsia" w:ascii="宋体" w:hAnsi="宋体"/>
                <w:color w:val="auto"/>
                <w:szCs w:val="21"/>
              </w:rPr>
              <w:t>内容、要求</w:t>
            </w:r>
          </w:p>
        </w:tc>
      </w:tr>
      <w:tr w14:paraId="503B4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675" w:type="dxa"/>
            <w:vAlign w:val="center"/>
          </w:tcPr>
          <w:p w14:paraId="730F562F">
            <w:pPr>
              <w:spacing w:line="380" w:lineRule="exact"/>
              <w:jc w:val="center"/>
              <w:rPr>
                <w:rFonts w:hint="eastAsia" w:ascii="宋体" w:hAnsi="宋体"/>
                <w:color w:val="auto"/>
                <w:szCs w:val="21"/>
              </w:rPr>
            </w:pPr>
            <w:r>
              <w:rPr>
                <w:rFonts w:hint="eastAsia" w:ascii="宋体" w:hAnsi="宋体"/>
                <w:color w:val="auto"/>
                <w:szCs w:val="21"/>
              </w:rPr>
              <w:t>1</w:t>
            </w:r>
          </w:p>
        </w:tc>
        <w:tc>
          <w:tcPr>
            <w:tcW w:w="992" w:type="dxa"/>
            <w:vAlign w:val="center"/>
          </w:tcPr>
          <w:p w14:paraId="2E6A2DEE">
            <w:pPr>
              <w:spacing w:line="380" w:lineRule="exact"/>
              <w:jc w:val="center"/>
              <w:rPr>
                <w:rFonts w:hint="eastAsia" w:ascii="宋体" w:hAnsi="宋体"/>
                <w:color w:val="auto"/>
                <w:szCs w:val="21"/>
              </w:rPr>
            </w:pPr>
            <w:r>
              <w:rPr>
                <w:rFonts w:hint="eastAsia" w:ascii="宋体" w:hAnsi="宋体"/>
                <w:color w:val="auto"/>
                <w:szCs w:val="21"/>
              </w:rPr>
              <w:t>1</w:t>
            </w:r>
          </w:p>
        </w:tc>
        <w:tc>
          <w:tcPr>
            <w:tcW w:w="1418" w:type="dxa"/>
            <w:vAlign w:val="center"/>
          </w:tcPr>
          <w:p w14:paraId="3A70C9D2">
            <w:pPr>
              <w:spacing w:line="380" w:lineRule="exact"/>
              <w:jc w:val="center"/>
              <w:rPr>
                <w:rFonts w:hint="eastAsia" w:ascii="宋体" w:hAnsi="宋体"/>
                <w:color w:val="auto"/>
                <w:szCs w:val="21"/>
              </w:rPr>
            </w:pPr>
            <w:r>
              <w:rPr>
                <w:rFonts w:hint="eastAsia" w:ascii="宋体" w:hAnsi="宋体"/>
                <w:color w:val="auto"/>
                <w:szCs w:val="21"/>
              </w:rPr>
              <w:t>项目名称及项目编号</w:t>
            </w:r>
          </w:p>
        </w:tc>
        <w:tc>
          <w:tcPr>
            <w:tcW w:w="6521" w:type="dxa"/>
            <w:vAlign w:val="center"/>
          </w:tcPr>
          <w:p w14:paraId="13FB4646">
            <w:pPr>
              <w:spacing w:line="380" w:lineRule="exact"/>
              <w:rPr>
                <w:rFonts w:hint="eastAsia" w:ascii="宋体" w:hAnsi="宋体"/>
                <w:color w:val="auto"/>
                <w:szCs w:val="21"/>
              </w:rPr>
            </w:pPr>
            <w:r>
              <w:rPr>
                <w:rFonts w:hint="eastAsia" w:ascii="宋体" w:hAnsi="宋体"/>
                <w:color w:val="auto"/>
                <w:szCs w:val="21"/>
              </w:rPr>
              <w:t>项目名称：桂林市第二技工学校高技能人才培训基地建设项目设备采购</w:t>
            </w:r>
          </w:p>
          <w:p w14:paraId="29C39BC3">
            <w:pPr>
              <w:spacing w:line="380" w:lineRule="exact"/>
              <w:rPr>
                <w:rFonts w:hint="eastAsia" w:ascii="宋体" w:hAnsi="宋体"/>
                <w:color w:val="auto"/>
                <w:szCs w:val="21"/>
              </w:rPr>
            </w:pPr>
            <w:r>
              <w:rPr>
                <w:rFonts w:hint="eastAsia" w:ascii="宋体" w:hAnsi="宋体"/>
                <w:color w:val="auto"/>
                <w:szCs w:val="21"/>
              </w:rPr>
              <w:t xml:space="preserve">项目编号： </w:t>
            </w:r>
            <w:r>
              <w:rPr>
                <w:color w:val="auto"/>
              </w:rPr>
              <w:fldChar w:fldCharType="begin"/>
            </w:r>
            <w:r>
              <w:rPr>
                <w:color w:val="auto"/>
              </w:rPr>
              <w:instrText xml:space="preserve"> HYPERLINK "https://www.gcy.zfcg.gxzf.gov.cn/project-center/_procurement_/project-result-detail/7178423727570288644" \t "https://www.gcy.zfcg.gxzf.gov.cn/project-center/_procurement_/self-project/_blank" </w:instrText>
            </w:r>
            <w:r>
              <w:rPr>
                <w:color w:val="auto"/>
              </w:rPr>
              <w:fldChar w:fldCharType="separate"/>
            </w:r>
            <w:r>
              <w:rPr>
                <w:rFonts w:hint="eastAsia" w:ascii="宋体" w:hAnsi="宋体"/>
                <w:color w:val="auto"/>
                <w:szCs w:val="21"/>
              </w:rPr>
              <w:t>GLZC2025-G1-990248-GXSC</w:t>
            </w:r>
            <w:r>
              <w:rPr>
                <w:rFonts w:hint="eastAsia" w:ascii="宋体" w:hAnsi="宋体"/>
                <w:color w:val="auto"/>
                <w:szCs w:val="21"/>
              </w:rPr>
              <w:fldChar w:fldCharType="end"/>
            </w:r>
          </w:p>
        </w:tc>
      </w:tr>
      <w:tr w14:paraId="178FC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675" w:type="dxa"/>
            <w:vAlign w:val="center"/>
          </w:tcPr>
          <w:p w14:paraId="0C4839A0">
            <w:pPr>
              <w:spacing w:line="380" w:lineRule="exact"/>
              <w:jc w:val="center"/>
              <w:rPr>
                <w:rFonts w:hint="eastAsia" w:ascii="宋体" w:hAnsi="宋体"/>
                <w:color w:val="auto"/>
                <w:szCs w:val="21"/>
              </w:rPr>
            </w:pPr>
            <w:r>
              <w:rPr>
                <w:rFonts w:hint="eastAsia" w:ascii="宋体" w:hAnsi="宋体"/>
                <w:color w:val="auto"/>
                <w:szCs w:val="21"/>
              </w:rPr>
              <w:t>2</w:t>
            </w:r>
          </w:p>
        </w:tc>
        <w:tc>
          <w:tcPr>
            <w:tcW w:w="992" w:type="dxa"/>
            <w:vAlign w:val="center"/>
          </w:tcPr>
          <w:p w14:paraId="49D76D9D">
            <w:pPr>
              <w:spacing w:line="380" w:lineRule="exact"/>
              <w:jc w:val="center"/>
              <w:rPr>
                <w:rFonts w:hint="eastAsia" w:ascii="宋体" w:hAnsi="宋体"/>
                <w:color w:val="auto"/>
                <w:szCs w:val="21"/>
              </w:rPr>
            </w:pPr>
            <w:r>
              <w:rPr>
                <w:rFonts w:hint="eastAsia" w:ascii="宋体" w:hAnsi="宋体"/>
                <w:color w:val="auto"/>
                <w:szCs w:val="21"/>
              </w:rPr>
              <w:t>5</w:t>
            </w:r>
          </w:p>
        </w:tc>
        <w:tc>
          <w:tcPr>
            <w:tcW w:w="1418" w:type="dxa"/>
            <w:vAlign w:val="center"/>
          </w:tcPr>
          <w:p w14:paraId="68950C9B">
            <w:pPr>
              <w:spacing w:line="380" w:lineRule="exact"/>
              <w:jc w:val="center"/>
              <w:rPr>
                <w:rFonts w:hint="eastAsia" w:ascii="宋体" w:hAnsi="宋体"/>
                <w:color w:val="auto"/>
                <w:szCs w:val="21"/>
              </w:rPr>
            </w:pPr>
            <w:r>
              <w:rPr>
                <w:rFonts w:hint="eastAsia" w:ascii="宋体" w:hAnsi="宋体"/>
                <w:color w:val="auto"/>
                <w:szCs w:val="21"/>
              </w:rPr>
              <w:t>投标人资格</w:t>
            </w:r>
          </w:p>
        </w:tc>
        <w:tc>
          <w:tcPr>
            <w:tcW w:w="6521" w:type="dxa"/>
            <w:vAlign w:val="center"/>
          </w:tcPr>
          <w:p w14:paraId="391177B7">
            <w:pPr>
              <w:spacing w:line="380" w:lineRule="exact"/>
              <w:rPr>
                <w:rFonts w:hint="eastAsia" w:ascii="宋体" w:hAnsi="宋体"/>
                <w:color w:val="auto"/>
                <w:szCs w:val="21"/>
              </w:rPr>
            </w:pPr>
            <w:r>
              <w:rPr>
                <w:rFonts w:hint="eastAsia" w:ascii="宋体" w:hAnsi="宋体"/>
                <w:color w:val="auto"/>
                <w:szCs w:val="21"/>
              </w:rPr>
              <w:t>5.1满足《中华人民共和国政府采购法》第二十二条规定；</w:t>
            </w:r>
          </w:p>
          <w:p w14:paraId="6E2A866A">
            <w:pPr>
              <w:spacing w:line="380" w:lineRule="exact"/>
              <w:rPr>
                <w:rFonts w:hint="eastAsia" w:ascii="宋体" w:hAnsi="宋体"/>
                <w:color w:val="auto"/>
                <w:szCs w:val="21"/>
              </w:rPr>
            </w:pPr>
            <w:r>
              <w:rPr>
                <w:rFonts w:hint="eastAsia" w:ascii="宋体" w:hAnsi="宋体"/>
                <w:color w:val="auto"/>
                <w:szCs w:val="21"/>
              </w:rPr>
              <w:t>5.2落实政府采购政策需满足的资格要求：</w:t>
            </w:r>
            <w:r>
              <w:rPr>
                <w:rFonts w:hint="eastAsia" w:ascii="宋体" w:hAnsi="宋体" w:cs="宋体"/>
                <w:color w:val="auto"/>
                <w:szCs w:val="21"/>
              </w:rPr>
              <w:t>无</w:t>
            </w:r>
            <w:r>
              <w:rPr>
                <w:rFonts w:hint="eastAsia" w:ascii="宋体" w:hAnsi="宋体"/>
                <w:color w:val="auto"/>
                <w:szCs w:val="21"/>
              </w:rPr>
              <w:t>；</w:t>
            </w:r>
          </w:p>
          <w:p w14:paraId="70736FAA">
            <w:pPr>
              <w:spacing w:line="380" w:lineRule="exact"/>
              <w:rPr>
                <w:rFonts w:hint="eastAsia" w:ascii="宋体" w:hAnsi="宋体"/>
                <w:color w:val="auto"/>
                <w:szCs w:val="21"/>
              </w:rPr>
            </w:pPr>
            <w:r>
              <w:rPr>
                <w:rFonts w:hint="eastAsia" w:ascii="宋体" w:hAnsi="宋体"/>
                <w:color w:val="auto"/>
                <w:szCs w:val="21"/>
              </w:rPr>
              <w:t>5.3本项目的特定资格要求：无。</w:t>
            </w:r>
          </w:p>
        </w:tc>
      </w:tr>
      <w:tr w14:paraId="2A5D5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4" w:hRule="atLeast"/>
        </w:trPr>
        <w:tc>
          <w:tcPr>
            <w:tcW w:w="675" w:type="dxa"/>
            <w:vAlign w:val="center"/>
          </w:tcPr>
          <w:p w14:paraId="00EADFCF">
            <w:pPr>
              <w:spacing w:line="380" w:lineRule="exact"/>
              <w:jc w:val="center"/>
              <w:rPr>
                <w:rFonts w:hint="eastAsia" w:ascii="宋体" w:hAnsi="宋体"/>
                <w:color w:val="auto"/>
                <w:szCs w:val="21"/>
              </w:rPr>
            </w:pPr>
            <w:r>
              <w:rPr>
                <w:rFonts w:hint="eastAsia" w:ascii="宋体" w:hAnsi="宋体"/>
                <w:color w:val="auto"/>
                <w:szCs w:val="21"/>
              </w:rPr>
              <w:t>3</w:t>
            </w:r>
          </w:p>
        </w:tc>
        <w:tc>
          <w:tcPr>
            <w:tcW w:w="992" w:type="dxa"/>
            <w:vAlign w:val="center"/>
          </w:tcPr>
          <w:p w14:paraId="4D98C963">
            <w:pPr>
              <w:spacing w:line="380" w:lineRule="exact"/>
              <w:jc w:val="center"/>
              <w:rPr>
                <w:rFonts w:hint="eastAsia" w:ascii="宋体" w:hAnsi="宋体"/>
                <w:color w:val="auto"/>
                <w:szCs w:val="21"/>
              </w:rPr>
            </w:pPr>
            <w:r>
              <w:rPr>
                <w:rFonts w:hint="eastAsia" w:ascii="宋体" w:hAnsi="宋体"/>
                <w:color w:val="auto"/>
                <w:szCs w:val="21"/>
              </w:rPr>
              <w:t>6</w:t>
            </w:r>
          </w:p>
        </w:tc>
        <w:tc>
          <w:tcPr>
            <w:tcW w:w="1418" w:type="dxa"/>
            <w:vAlign w:val="center"/>
          </w:tcPr>
          <w:p w14:paraId="7972B5DA">
            <w:pPr>
              <w:spacing w:line="380" w:lineRule="exact"/>
              <w:jc w:val="center"/>
              <w:rPr>
                <w:rFonts w:hint="eastAsia" w:ascii="宋体" w:hAnsi="宋体"/>
                <w:color w:val="auto"/>
                <w:position w:val="-2"/>
                <w:szCs w:val="21"/>
              </w:rPr>
            </w:pPr>
            <w:r>
              <w:rPr>
                <w:rFonts w:hint="eastAsia" w:ascii="宋体" w:hAnsi="宋体"/>
                <w:color w:val="auto"/>
                <w:szCs w:val="21"/>
              </w:rPr>
              <w:t>参与电子投标的准备工作及投标费用</w:t>
            </w:r>
          </w:p>
        </w:tc>
        <w:tc>
          <w:tcPr>
            <w:tcW w:w="6521" w:type="dxa"/>
            <w:vAlign w:val="center"/>
          </w:tcPr>
          <w:p w14:paraId="40B75E29">
            <w:pPr>
              <w:snapToGrid w:val="0"/>
              <w:spacing w:line="380" w:lineRule="exact"/>
              <w:rPr>
                <w:rFonts w:hint="eastAsia" w:ascii="宋体" w:hAnsi="宋体"/>
                <w:color w:val="auto"/>
                <w:szCs w:val="21"/>
              </w:rPr>
            </w:pPr>
            <w:r>
              <w:rPr>
                <w:rFonts w:hint="eastAsia" w:ascii="宋体" w:hAnsi="宋体"/>
                <w:color w:val="auto"/>
                <w:szCs w:val="21"/>
              </w:rPr>
              <w:t>6.1参与电子投标的准备工作</w:t>
            </w:r>
          </w:p>
          <w:p w14:paraId="55A42F5F">
            <w:pPr>
              <w:snapToGrid w:val="0"/>
              <w:spacing w:line="380" w:lineRule="exact"/>
              <w:rPr>
                <w:rFonts w:hint="eastAsia" w:ascii="宋体" w:hAnsi="宋体"/>
                <w:color w:val="auto"/>
                <w:szCs w:val="21"/>
              </w:rPr>
            </w:pPr>
            <w:r>
              <w:rPr>
                <w:rFonts w:hint="eastAsia" w:ascii="宋体" w:hAnsi="宋体"/>
                <w:color w:val="auto"/>
                <w:szCs w:val="21"/>
              </w:rPr>
              <w:t>6.1.1本项目实行全流程电子化采购，投标人通过“广西政府采购云”平台参与电子投标，并应做好以下相关准备工作：①在“广西政府采购云”平台注册成为正式投标人（操作方法详见广西壮族自治区政府采购网—办事服务—下载专区-广西政府采购云投标人入驻指南）；②完成CA证书申领和绑定（费用由投标人自行承担，办理流程详见广西壮族自治区政府采购网—办事服务—下载专区-广西政府采购云CA证书办理操作指南。完成CA证书办理预计一周左右，建议投标人尽快办理）；③下载“广西壮族自治区全流程电子招投标项目管理系统--投标人客户端”（操作方法详见广西壮族自治区政府采购网—办事服务—下载专区-广西壮族自治区全流程电子招投标项目管理系统--投标人客户端，以下称“广西政府采购云电子投标客户端”）并安装成功，投标人应当在提交投标文件截止时间前在“广西政府采购云”平台完成身份认证，确保能够对相关数据电文进行加密和使用电子签章；④自备计算机和网络设备并确保能接入互联网（费用由投标人自行承担，设备确保可进行视频通话和读取广西政府采购云CA证书）。因投标人未做好相关准备工作等自身原因导致无法参加本项目电子投标或投标失败的，造成的一切后果，由投标人自行承担。</w:t>
            </w:r>
          </w:p>
          <w:p w14:paraId="16BA3F9B">
            <w:pPr>
              <w:snapToGrid w:val="0"/>
              <w:spacing w:line="380" w:lineRule="exact"/>
              <w:rPr>
                <w:rFonts w:hint="eastAsia" w:ascii="宋体" w:hAnsi="宋体"/>
                <w:color w:val="auto"/>
                <w:szCs w:val="21"/>
              </w:rPr>
            </w:pPr>
            <w:r>
              <w:rPr>
                <w:rFonts w:hint="eastAsia" w:ascii="宋体" w:hAnsi="宋体"/>
                <w:color w:val="auto"/>
                <w:szCs w:val="21"/>
              </w:rPr>
              <w:t>6.1.2</w:t>
            </w:r>
            <w:r>
              <w:rPr>
                <w:rFonts w:hint="eastAsia" w:ascii="宋体" w:hAnsi="宋体" w:cs="宋体"/>
                <w:color w:val="auto"/>
                <w:szCs w:val="21"/>
                <w:shd w:val="clear" w:color="auto" w:fill="FFFFFF"/>
              </w:rPr>
              <w:t>电子投标具体操作流程参考《政府采购项目电子交易管理操作指南-投标人》（详见桂林市政府采购网—采购资讯—重要通知）；如遇平台技术问题详询95763。</w:t>
            </w:r>
          </w:p>
          <w:p w14:paraId="0226ECF6">
            <w:pPr>
              <w:spacing w:line="380" w:lineRule="exact"/>
              <w:rPr>
                <w:rFonts w:hint="eastAsia" w:ascii="宋体" w:hAnsi="宋体"/>
                <w:color w:val="auto"/>
                <w:szCs w:val="21"/>
              </w:rPr>
            </w:pPr>
            <w:r>
              <w:rPr>
                <w:rFonts w:hint="eastAsia" w:ascii="宋体" w:hAnsi="宋体"/>
                <w:color w:val="auto"/>
                <w:szCs w:val="21"/>
              </w:rPr>
              <w:t>6.2投标费用：不论投标结果如何，均应自行承担所有与投标有关的全部费用。</w:t>
            </w:r>
          </w:p>
        </w:tc>
      </w:tr>
      <w:tr w14:paraId="5C236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1" w:hRule="atLeast"/>
        </w:trPr>
        <w:tc>
          <w:tcPr>
            <w:tcW w:w="675" w:type="dxa"/>
            <w:vAlign w:val="center"/>
          </w:tcPr>
          <w:p w14:paraId="58D56695">
            <w:pPr>
              <w:spacing w:line="380" w:lineRule="exact"/>
              <w:jc w:val="center"/>
              <w:rPr>
                <w:rFonts w:hint="eastAsia" w:ascii="宋体" w:hAnsi="宋体"/>
                <w:color w:val="auto"/>
                <w:szCs w:val="21"/>
              </w:rPr>
            </w:pPr>
            <w:r>
              <w:rPr>
                <w:rFonts w:hint="eastAsia" w:ascii="宋体" w:hAnsi="宋体"/>
                <w:color w:val="auto"/>
                <w:szCs w:val="21"/>
              </w:rPr>
              <w:t>4</w:t>
            </w:r>
          </w:p>
        </w:tc>
        <w:tc>
          <w:tcPr>
            <w:tcW w:w="992" w:type="dxa"/>
            <w:vAlign w:val="center"/>
          </w:tcPr>
          <w:p w14:paraId="0DCD3AC6">
            <w:pPr>
              <w:spacing w:line="380" w:lineRule="exact"/>
              <w:jc w:val="center"/>
              <w:rPr>
                <w:rFonts w:hint="eastAsia" w:ascii="宋体" w:hAnsi="宋体"/>
                <w:color w:val="auto"/>
                <w:position w:val="-2"/>
                <w:szCs w:val="21"/>
              </w:rPr>
            </w:pPr>
            <w:r>
              <w:rPr>
                <w:rFonts w:hint="eastAsia" w:ascii="宋体" w:hAnsi="宋体"/>
                <w:color w:val="auto"/>
                <w:position w:val="-2"/>
                <w:szCs w:val="21"/>
              </w:rPr>
              <w:t>15</w:t>
            </w:r>
          </w:p>
        </w:tc>
        <w:tc>
          <w:tcPr>
            <w:tcW w:w="1418" w:type="dxa"/>
            <w:vAlign w:val="center"/>
          </w:tcPr>
          <w:p w14:paraId="15546CD6">
            <w:pPr>
              <w:spacing w:line="380" w:lineRule="exact"/>
              <w:jc w:val="center"/>
              <w:rPr>
                <w:rFonts w:hint="eastAsia" w:ascii="宋体" w:hAnsi="宋体"/>
                <w:color w:val="auto"/>
                <w:szCs w:val="21"/>
              </w:rPr>
            </w:pPr>
            <w:r>
              <w:rPr>
                <w:rFonts w:hint="eastAsia" w:ascii="宋体" w:hAnsi="宋体"/>
                <w:color w:val="auto"/>
                <w:szCs w:val="21"/>
              </w:rPr>
              <w:t>采购预算金额及投标报价</w:t>
            </w:r>
          </w:p>
        </w:tc>
        <w:tc>
          <w:tcPr>
            <w:tcW w:w="6521" w:type="dxa"/>
            <w:vAlign w:val="center"/>
          </w:tcPr>
          <w:p w14:paraId="62E01C57">
            <w:pPr>
              <w:snapToGrid w:val="0"/>
              <w:spacing w:line="380" w:lineRule="exact"/>
              <w:rPr>
                <w:rFonts w:hint="eastAsia" w:ascii="宋体" w:hAnsi="宋体"/>
                <w:b/>
                <w:color w:val="auto"/>
                <w:szCs w:val="21"/>
              </w:rPr>
            </w:pPr>
            <w:r>
              <w:rPr>
                <w:rFonts w:hint="eastAsia" w:ascii="宋体" w:hAnsi="宋体"/>
                <w:color w:val="auto"/>
                <w:szCs w:val="21"/>
              </w:rPr>
              <w:t>15.1项目采购预算金额（人民币）：</w:t>
            </w:r>
            <w:r>
              <w:rPr>
                <w:rFonts w:hint="eastAsia" w:ascii="宋体" w:hAnsi="宋体"/>
                <w:color w:val="auto"/>
                <w:szCs w:val="21"/>
                <w:u w:val="single"/>
              </w:rPr>
              <w:t>1013415.00</w:t>
            </w:r>
            <w:r>
              <w:rPr>
                <w:rFonts w:hint="eastAsia" w:ascii="宋体" w:hAnsi="宋体" w:cs="Arial"/>
                <w:bCs/>
                <w:color w:val="auto"/>
                <w:szCs w:val="21"/>
                <w:u w:val="single"/>
              </w:rPr>
              <w:t>元</w:t>
            </w:r>
            <w:r>
              <w:rPr>
                <w:rFonts w:hint="eastAsia" w:ascii="宋体" w:hAnsi="宋体"/>
                <w:color w:val="auto"/>
                <w:szCs w:val="21"/>
                <w:u w:val="single"/>
              </w:rPr>
              <w:t xml:space="preserve"> </w:t>
            </w:r>
            <w:r>
              <w:rPr>
                <w:rFonts w:hint="eastAsia" w:ascii="宋体" w:hAnsi="宋体"/>
                <w:color w:val="auto"/>
                <w:szCs w:val="21"/>
              </w:rPr>
              <w:t>，投标报价超出采购预算金额的，作投标无效处理。</w:t>
            </w:r>
            <w:r>
              <w:rPr>
                <w:rFonts w:hint="eastAsia" w:ascii="宋体" w:hAnsi="宋体"/>
                <w:b/>
                <w:color w:val="auto"/>
                <w:szCs w:val="21"/>
              </w:rPr>
              <w:t>投标人的报价明显低于其他通过符合性审查投标人的报价，有可能影响产品质量或者不能诚信履约的，其应当在评标现场合理的时间内提供书面说明，必要时提交相关证明材料；投标人不能证明其报价合理性的，评标委员会将其作为无效投标处理。</w:t>
            </w:r>
          </w:p>
          <w:p w14:paraId="4AAC2433">
            <w:pPr>
              <w:snapToGrid w:val="0"/>
              <w:spacing w:line="380" w:lineRule="exact"/>
              <w:rPr>
                <w:rFonts w:hint="eastAsia" w:ascii="宋体" w:hAnsi="宋体"/>
                <w:color w:val="auto"/>
                <w:szCs w:val="21"/>
              </w:rPr>
            </w:pPr>
            <w:r>
              <w:rPr>
                <w:rFonts w:hint="eastAsia" w:ascii="宋体" w:hAnsi="宋体"/>
                <w:color w:val="auto"/>
                <w:szCs w:val="21"/>
              </w:rPr>
              <w:t>15.2投标报价</w:t>
            </w:r>
          </w:p>
          <w:p w14:paraId="48F59643">
            <w:pPr>
              <w:snapToGrid w:val="0"/>
              <w:spacing w:line="380" w:lineRule="exact"/>
              <w:rPr>
                <w:rFonts w:hint="eastAsia" w:ascii="宋体" w:hAnsi="宋体"/>
                <w:color w:val="auto"/>
                <w:szCs w:val="21"/>
              </w:rPr>
            </w:pPr>
            <w:r>
              <w:rPr>
                <w:rFonts w:hint="eastAsia" w:ascii="宋体" w:hAnsi="宋体"/>
                <w:color w:val="auto"/>
                <w:szCs w:val="21"/>
              </w:rPr>
              <w:t>15.2.1投标报价必须按招标文件中第六章“投标文件（格式）”填写，投标报价超过采购预算金额的，投标文件按无效处理。</w:t>
            </w:r>
          </w:p>
          <w:p w14:paraId="10926B19">
            <w:pPr>
              <w:spacing w:line="380" w:lineRule="exact"/>
              <w:rPr>
                <w:rFonts w:hint="eastAsia" w:ascii="宋体" w:hAnsi="宋体"/>
                <w:color w:val="auto"/>
                <w:szCs w:val="21"/>
              </w:rPr>
            </w:pPr>
            <w:r>
              <w:rPr>
                <w:rFonts w:hint="eastAsia" w:ascii="宋体" w:hAnsi="宋体"/>
                <w:color w:val="auto"/>
                <w:szCs w:val="21"/>
              </w:rPr>
              <w:t>15.2.2投标人必须就《货物采购需求》中所有货物和服务内容作完整唯一报价，否则，其投标将被拒绝；投标文件只允许有一个报价，有选择的或有条件的报价将不予接受。</w:t>
            </w:r>
          </w:p>
        </w:tc>
      </w:tr>
      <w:tr w14:paraId="1A6F5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75" w:type="dxa"/>
            <w:vAlign w:val="center"/>
          </w:tcPr>
          <w:p w14:paraId="544CD1FB">
            <w:pPr>
              <w:spacing w:line="380" w:lineRule="exact"/>
              <w:jc w:val="center"/>
              <w:rPr>
                <w:rFonts w:hint="eastAsia" w:ascii="宋体" w:hAnsi="宋体"/>
                <w:color w:val="auto"/>
                <w:szCs w:val="21"/>
              </w:rPr>
            </w:pPr>
            <w:r>
              <w:rPr>
                <w:rFonts w:hint="eastAsia" w:ascii="宋体" w:hAnsi="宋体"/>
                <w:color w:val="auto"/>
                <w:szCs w:val="21"/>
              </w:rPr>
              <w:t>5</w:t>
            </w:r>
          </w:p>
        </w:tc>
        <w:tc>
          <w:tcPr>
            <w:tcW w:w="992" w:type="dxa"/>
            <w:vAlign w:val="center"/>
          </w:tcPr>
          <w:p w14:paraId="22205EA1">
            <w:pPr>
              <w:spacing w:line="380" w:lineRule="exact"/>
              <w:jc w:val="center"/>
              <w:rPr>
                <w:rFonts w:hint="eastAsia" w:ascii="宋体" w:hAnsi="宋体"/>
                <w:color w:val="auto"/>
                <w:szCs w:val="21"/>
              </w:rPr>
            </w:pPr>
            <w:r>
              <w:rPr>
                <w:rFonts w:hint="eastAsia" w:ascii="宋体" w:hAnsi="宋体"/>
                <w:color w:val="auto"/>
                <w:szCs w:val="21"/>
              </w:rPr>
              <w:t>16.1</w:t>
            </w:r>
          </w:p>
        </w:tc>
        <w:tc>
          <w:tcPr>
            <w:tcW w:w="1418" w:type="dxa"/>
            <w:vAlign w:val="center"/>
          </w:tcPr>
          <w:p w14:paraId="4EDB152A">
            <w:pPr>
              <w:spacing w:line="380" w:lineRule="exact"/>
              <w:jc w:val="center"/>
              <w:rPr>
                <w:rFonts w:hint="eastAsia" w:ascii="宋体" w:hAnsi="宋体"/>
                <w:color w:val="auto"/>
                <w:szCs w:val="21"/>
              </w:rPr>
            </w:pPr>
            <w:r>
              <w:rPr>
                <w:rFonts w:hint="eastAsia" w:ascii="宋体" w:hAnsi="宋体"/>
                <w:color w:val="auto"/>
                <w:szCs w:val="21"/>
              </w:rPr>
              <w:t>投标有效期</w:t>
            </w:r>
          </w:p>
        </w:tc>
        <w:tc>
          <w:tcPr>
            <w:tcW w:w="6521" w:type="dxa"/>
            <w:vAlign w:val="center"/>
          </w:tcPr>
          <w:p w14:paraId="45C7BB75">
            <w:pPr>
              <w:spacing w:line="380" w:lineRule="exact"/>
              <w:rPr>
                <w:rFonts w:hint="eastAsia" w:ascii="宋体" w:hAnsi="宋体"/>
                <w:color w:val="auto"/>
                <w:szCs w:val="21"/>
              </w:rPr>
            </w:pPr>
            <w:r>
              <w:rPr>
                <w:rFonts w:hint="eastAsia" w:ascii="宋体" w:hAnsi="宋体" w:cs="宋体"/>
                <w:color w:val="auto"/>
                <w:szCs w:val="21"/>
              </w:rPr>
              <w:t>投标截止时间之日起90天。</w:t>
            </w:r>
          </w:p>
        </w:tc>
      </w:tr>
      <w:tr w14:paraId="1A6AE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75" w:type="dxa"/>
            <w:vAlign w:val="center"/>
          </w:tcPr>
          <w:p w14:paraId="3B87CF07">
            <w:pPr>
              <w:spacing w:line="380" w:lineRule="exact"/>
              <w:jc w:val="center"/>
              <w:rPr>
                <w:rFonts w:hint="eastAsia" w:ascii="宋体" w:hAnsi="宋体"/>
                <w:color w:val="auto"/>
                <w:szCs w:val="21"/>
              </w:rPr>
            </w:pPr>
            <w:r>
              <w:rPr>
                <w:rFonts w:hint="eastAsia" w:ascii="宋体" w:hAnsi="宋体"/>
                <w:color w:val="auto"/>
                <w:szCs w:val="21"/>
              </w:rPr>
              <w:t>6</w:t>
            </w:r>
          </w:p>
        </w:tc>
        <w:tc>
          <w:tcPr>
            <w:tcW w:w="992" w:type="dxa"/>
            <w:vAlign w:val="center"/>
          </w:tcPr>
          <w:p w14:paraId="641E254B">
            <w:pPr>
              <w:spacing w:line="380" w:lineRule="exact"/>
              <w:jc w:val="center"/>
              <w:rPr>
                <w:rFonts w:hint="eastAsia" w:ascii="宋体" w:hAnsi="宋体"/>
                <w:color w:val="auto"/>
                <w:szCs w:val="21"/>
              </w:rPr>
            </w:pPr>
            <w:r>
              <w:rPr>
                <w:rFonts w:hint="eastAsia" w:ascii="宋体" w:hAnsi="宋体"/>
                <w:color w:val="auto"/>
                <w:szCs w:val="21"/>
              </w:rPr>
              <w:t>17.1</w:t>
            </w:r>
          </w:p>
        </w:tc>
        <w:tc>
          <w:tcPr>
            <w:tcW w:w="1418" w:type="dxa"/>
            <w:vAlign w:val="center"/>
          </w:tcPr>
          <w:p w14:paraId="7389A1B5">
            <w:pPr>
              <w:spacing w:line="380" w:lineRule="exact"/>
              <w:jc w:val="center"/>
              <w:rPr>
                <w:rFonts w:hint="eastAsia" w:ascii="宋体" w:hAnsi="宋体"/>
                <w:color w:val="auto"/>
                <w:szCs w:val="21"/>
              </w:rPr>
            </w:pPr>
            <w:r>
              <w:rPr>
                <w:rFonts w:hint="eastAsia" w:ascii="宋体" w:hAnsi="宋体"/>
                <w:color w:val="auto"/>
                <w:szCs w:val="21"/>
              </w:rPr>
              <w:t>电子投标文件的制作、加密</w:t>
            </w:r>
          </w:p>
        </w:tc>
        <w:tc>
          <w:tcPr>
            <w:tcW w:w="6521" w:type="dxa"/>
          </w:tcPr>
          <w:p w14:paraId="020D9970">
            <w:pPr>
              <w:snapToGrid w:val="0"/>
              <w:spacing w:line="380" w:lineRule="exact"/>
              <w:rPr>
                <w:rFonts w:hint="eastAsia" w:ascii="宋体" w:hAnsi="宋体"/>
                <w:color w:val="auto"/>
                <w:szCs w:val="21"/>
              </w:rPr>
            </w:pPr>
            <w:r>
              <w:rPr>
                <w:rFonts w:hint="eastAsia" w:ascii="宋体" w:hAnsi="宋体"/>
                <w:color w:val="auto"/>
                <w:szCs w:val="21"/>
              </w:rPr>
              <w:t>17.1.1投标人制作电子投标文件前，必须登陆“广西政府采购云”平台进行招标文件的获取操作。</w:t>
            </w:r>
          </w:p>
          <w:p w14:paraId="5EC41AC1">
            <w:pPr>
              <w:snapToGrid w:val="0"/>
              <w:spacing w:line="380" w:lineRule="exact"/>
              <w:rPr>
                <w:rFonts w:hint="eastAsia" w:ascii="宋体" w:hAnsi="宋体"/>
                <w:color w:val="auto"/>
                <w:szCs w:val="21"/>
              </w:rPr>
            </w:pPr>
            <w:r>
              <w:rPr>
                <w:rFonts w:hint="eastAsia" w:ascii="宋体" w:hAnsi="宋体"/>
                <w:color w:val="auto"/>
                <w:szCs w:val="21"/>
              </w:rPr>
              <w:t>17.1.2投标人下载或获取招标文件后，登录“广西政府采购云平台电子投标客户端”，按照本招标文件规定的投标文件格式、顺序以及“广西政府采购云”平台的要求，通过“广西政府采购云平台电子投标客户端”编制电子投标文件。</w:t>
            </w:r>
          </w:p>
          <w:p w14:paraId="24433961">
            <w:pPr>
              <w:snapToGrid w:val="0"/>
              <w:spacing w:line="380" w:lineRule="exact"/>
              <w:rPr>
                <w:rFonts w:hint="eastAsia" w:ascii="宋体" w:hAnsi="宋体"/>
                <w:color w:val="auto"/>
                <w:szCs w:val="21"/>
              </w:rPr>
            </w:pPr>
            <w:r>
              <w:rPr>
                <w:rFonts w:hint="eastAsia" w:ascii="宋体" w:hAnsi="宋体"/>
                <w:color w:val="auto"/>
                <w:szCs w:val="21"/>
              </w:rPr>
              <w:t>17.1.3投标人应按“广西政府采购云平台电子投标客户端”载明的“标书关联”功能进行电子投标文件相应内容的关联定位，以便评标委员会在评审时点击相应评审项可直接定位到该评审内容；如投标人的电子投标文件未能关联定位相应内容，或者关联定位的内容与该评审项不符，导致评标委员会无法查询并做出对投标人不利的评审，相关后果由投标人自行承担。</w:t>
            </w:r>
          </w:p>
          <w:p w14:paraId="41FD11DC">
            <w:pPr>
              <w:snapToGrid w:val="0"/>
              <w:spacing w:line="380" w:lineRule="exact"/>
              <w:rPr>
                <w:rFonts w:hint="eastAsia" w:ascii="宋体" w:hAnsi="宋体"/>
                <w:color w:val="auto"/>
                <w:szCs w:val="21"/>
              </w:rPr>
            </w:pPr>
            <w:r>
              <w:rPr>
                <w:rFonts w:hint="eastAsia" w:ascii="宋体" w:hAnsi="宋体"/>
                <w:color w:val="auto"/>
                <w:szCs w:val="21"/>
              </w:rPr>
              <w:t>17.1.4电子投标文件不得涂改，若有修改错漏处，须由法定代表人（负责人、自然人）或授权委托代理人通过“广西政府采购云平台电子投标客户端”采用广西政府采购云平台个人CA证书签章，没有办理广西政府采购云平台个人CA证书签章的，在投标文件中响应位置手写签字后扫描或者拍照做成 PDF 的格式上传。因投标文件字迹潦草、表达不清、内容不完整、编排混乱导致投标文件被误读、漏读，或者在按招标文件规定的部位查找不到相关内容的，其不利后果由投标人自行承担。</w:t>
            </w:r>
          </w:p>
          <w:p w14:paraId="24A2F3AC">
            <w:pPr>
              <w:spacing w:line="400" w:lineRule="exact"/>
              <w:rPr>
                <w:rFonts w:hint="eastAsia" w:ascii="宋体" w:hAnsi="宋体"/>
                <w:color w:val="auto"/>
                <w:szCs w:val="21"/>
              </w:rPr>
            </w:pPr>
            <w:r>
              <w:rPr>
                <w:rFonts w:hint="eastAsia" w:ascii="宋体" w:hAnsi="宋体"/>
                <w:color w:val="auto"/>
                <w:szCs w:val="21"/>
              </w:rPr>
              <w:t>17.1.5投标人编制、生成电子投标文件后应当加密投标文件。投标人未按规定编制并加密的投标文件，“广西政府采购云”平台将予以拒收。</w:t>
            </w:r>
          </w:p>
        </w:tc>
      </w:tr>
      <w:tr w14:paraId="1897A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1" w:hRule="atLeast"/>
        </w:trPr>
        <w:tc>
          <w:tcPr>
            <w:tcW w:w="675" w:type="dxa"/>
            <w:vAlign w:val="center"/>
          </w:tcPr>
          <w:p w14:paraId="11AC532A">
            <w:pPr>
              <w:spacing w:line="380" w:lineRule="exact"/>
              <w:jc w:val="center"/>
              <w:rPr>
                <w:rFonts w:hint="eastAsia" w:ascii="宋体" w:hAnsi="宋体"/>
                <w:color w:val="auto"/>
                <w:szCs w:val="21"/>
              </w:rPr>
            </w:pPr>
            <w:r>
              <w:rPr>
                <w:rFonts w:hint="eastAsia" w:ascii="宋体" w:hAnsi="宋体"/>
                <w:color w:val="auto"/>
                <w:szCs w:val="21"/>
              </w:rPr>
              <w:t>7</w:t>
            </w:r>
          </w:p>
        </w:tc>
        <w:tc>
          <w:tcPr>
            <w:tcW w:w="992" w:type="dxa"/>
            <w:vAlign w:val="center"/>
          </w:tcPr>
          <w:p w14:paraId="1AFF2F67">
            <w:pPr>
              <w:spacing w:line="380" w:lineRule="exact"/>
              <w:jc w:val="center"/>
              <w:rPr>
                <w:rFonts w:hint="eastAsia" w:ascii="宋体" w:hAnsi="宋体" w:cs="宋体"/>
                <w:color w:val="auto"/>
                <w:szCs w:val="21"/>
              </w:rPr>
            </w:pPr>
            <w:r>
              <w:rPr>
                <w:rFonts w:hint="eastAsia" w:ascii="宋体" w:hAnsi="宋体" w:cs="宋体"/>
                <w:color w:val="auto"/>
                <w:szCs w:val="21"/>
              </w:rPr>
              <w:t>17.2</w:t>
            </w:r>
          </w:p>
        </w:tc>
        <w:tc>
          <w:tcPr>
            <w:tcW w:w="1418" w:type="dxa"/>
            <w:vAlign w:val="center"/>
          </w:tcPr>
          <w:p w14:paraId="4ACA3E49">
            <w:pPr>
              <w:snapToGrid w:val="0"/>
              <w:spacing w:line="380" w:lineRule="exact"/>
              <w:jc w:val="center"/>
              <w:rPr>
                <w:rFonts w:hint="eastAsia" w:ascii="宋体" w:hAnsi="宋体" w:cs="Arial"/>
                <w:color w:val="auto"/>
                <w:szCs w:val="21"/>
              </w:rPr>
            </w:pPr>
            <w:r>
              <w:rPr>
                <w:rFonts w:hint="eastAsia" w:ascii="宋体" w:hAnsi="宋体" w:cs="Arial"/>
                <w:color w:val="auto"/>
                <w:szCs w:val="21"/>
              </w:rPr>
              <w:t>投标人公章及签字</w:t>
            </w:r>
          </w:p>
        </w:tc>
        <w:tc>
          <w:tcPr>
            <w:tcW w:w="6521" w:type="dxa"/>
            <w:vAlign w:val="center"/>
          </w:tcPr>
          <w:p w14:paraId="4BC45561">
            <w:pPr>
              <w:tabs>
                <w:tab w:val="left" w:pos="1305"/>
              </w:tabs>
              <w:spacing w:line="380" w:lineRule="exact"/>
              <w:rPr>
                <w:rFonts w:hint="eastAsia" w:ascii="宋体" w:hAnsi="宋体"/>
                <w:color w:val="auto"/>
                <w:szCs w:val="21"/>
              </w:rPr>
            </w:pPr>
            <w:r>
              <w:rPr>
                <w:rFonts w:hint="eastAsia" w:ascii="宋体" w:hAnsi="宋体"/>
                <w:color w:val="auto"/>
                <w:szCs w:val="21"/>
              </w:rPr>
              <w:t>17.2.1本招标文件中描述投标人的“公章”是指投标人通过指定电子化政府采购平台办理数字证书（CA认证证书）获得的以法定主体行为名称制作的电子印章。</w:t>
            </w:r>
          </w:p>
          <w:p w14:paraId="460C426E">
            <w:pPr>
              <w:tabs>
                <w:tab w:val="left" w:pos="1305"/>
              </w:tabs>
              <w:spacing w:line="380" w:lineRule="exact"/>
              <w:rPr>
                <w:rFonts w:hint="eastAsia" w:ascii="宋体" w:hAnsi="宋体"/>
                <w:color w:val="auto"/>
                <w:szCs w:val="21"/>
              </w:rPr>
            </w:pPr>
            <w:r>
              <w:rPr>
                <w:rFonts w:hint="eastAsia" w:ascii="宋体" w:hAnsi="宋体"/>
                <w:color w:val="auto"/>
                <w:szCs w:val="21"/>
              </w:rPr>
              <w:t>17.2.2本招标文件中要求投标人对其电子投标文件的相关内容加盖公章的，均指采用CA证书签章。</w:t>
            </w:r>
          </w:p>
          <w:p w14:paraId="5F5D47C8">
            <w:pPr>
              <w:tabs>
                <w:tab w:val="left" w:pos="1305"/>
              </w:tabs>
              <w:spacing w:line="380" w:lineRule="exact"/>
              <w:rPr>
                <w:rFonts w:hint="eastAsia" w:ascii="宋体" w:hAnsi="宋体"/>
                <w:color w:val="auto"/>
                <w:szCs w:val="21"/>
              </w:rPr>
            </w:pPr>
            <w:r>
              <w:rPr>
                <w:rFonts w:hint="eastAsia" w:ascii="宋体" w:hAnsi="宋体"/>
                <w:color w:val="auto"/>
                <w:szCs w:val="21"/>
              </w:rPr>
              <w:t>17.2.3本招标文件中描述投标人的“签字”是指投标人通过指定电子化政府采购平台办理数字证书（CA认证证书）获得的以投标人法定代表人（自负责人、自然人）或者委托代理人姓名制作的个人电子印章或手写签字。没有办理个人CA证书的，可以为手写签字的形式。</w:t>
            </w:r>
          </w:p>
        </w:tc>
      </w:tr>
      <w:tr w14:paraId="542AB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7" w:hRule="atLeast"/>
        </w:trPr>
        <w:tc>
          <w:tcPr>
            <w:tcW w:w="675" w:type="dxa"/>
            <w:vAlign w:val="center"/>
          </w:tcPr>
          <w:p w14:paraId="0D874B89">
            <w:pPr>
              <w:spacing w:line="380" w:lineRule="exact"/>
              <w:jc w:val="center"/>
              <w:rPr>
                <w:rFonts w:hint="eastAsia" w:ascii="宋体" w:hAnsi="宋体"/>
                <w:color w:val="auto"/>
                <w:szCs w:val="21"/>
              </w:rPr>
            </w:pPr>
            <w:r>
              <w:rPr>
                <w:rFonts w:hint="eastAsia" w:ascii="宋体" w:hAnsi="宋体"/>
                <w:color w:val="auto"/>
                <w:szCs w:val="21"/>
              </w:rPr>
              <w:t>8</w:t>
            </w:r>
          </w:p>
        </w:tc>
        <w:tc>
          <w:tcPr>
            <w:tcW w:w="992" w:type="dxa"/>
            <w:vAlign w:val="center"/>
          </w:tcPr>
          <w:p w14:paraId="1A696CE9">
            <w:pPr>
              <w:snapToGrid w:val="0"/>
              <w:spacing w:line="380" w:lineRule="exact"/>
              <w:jc w:val="center"/>
              <w:rPr>
                <w:rFonts w:hint="eastAsia" w:ascii="宋体" w:hAnsi="宋体"/>
                <w:color w:val="auto"/>
                <w:szCs w:val="21"/>
              </w:rPr>
            </w:pPr>
            <w:r>
              <w:rPr>
                <w:rFonts w:hint="eastAsia" w:ascii="宋体" w:hAnsi="宋体"/>
                <w:color w:val="auto"/>
                <w:szCs w:val="21"/>
              </w:rPr>
              <w:t>18</w:t>
            </w:r>
          </w:p>
        </w:tc>
        <w:tc>
          <w:tcPr>
            <w:tcW w:w="1418" w:type="dxa"/>
            <w:vAlign w:val="center"/>
          </w:tcPr>
          <w:p w14:paraId="5983EB94">
            <w:pPr>
              <w:snapToGrid w:val="0"/>
              <w:spacing w:line="380" w:lineRule="exact"/>
              <w:jc w:val="center"/>
              <w:rPr>
                <w:rFonts w:hint="eastAsia" w:ascii="宋体" w:hAnsi="宋体"/>
                <w:color w:val="auto"/>
                <w:szCs w:val="21"/>
              </w:rPr>
            </w:pPr>
            <w:r>
              <w:rPr>
                <w:rFonts w:hint="eastAsia" w:ascii="宋体" w:hAnsi="宋体"/>
                <w:color w:val="auto"/>
                <w:szCs w:val="21"/>
              </w:rPr>
              <w:t>投标文件的补充、修改和撤回</w:t>
            </w:r>
          </w:p>
        </w:tc>
        <w:tc>
          <w:tcPr>
            <w:tcW w:w="6521" w:type="dxa"/>
            <w:vAlign w:val="center"/>
          </w:tcPr>
          <w:p w14:paraId="34F16ACD">
            <w:pPr>
              <w:snapToGrid w:val="0"/>
              <w:spacing w:line="380" w:lineRule="exact"/>
              <w:rPr>
                <w:rFonts w:hint="eastAsia" w:ascii="宋体" w:hAnsi="宋体"/>
                <w:color w:val="auto"/>
                <w:szCs w:val="21"/>
              </w:rPr>
            </w:pPr>
            <w:r>
              <w:rPr>
                <w:rFonts w:hint="eastAsia" w:ascii="宋体" w:hAnsi="宋体"/>
                <w:color w:val="auto"/>
                <w:szCs w:val="21"/>
              </w:rPr>
              <w:t>18.1投标人应当在提交投标文件截止时间前，将生成的电子投标文件上传提交至“广西政府采购云”平台。投标文件提交截止时间前可以补充、修改或撤回电子投标文件，补充、修改电子投标文件的，应当先行撤回原文件，补充、修改后重新传输提交。在投标文件提交截止时间后的投标文件有效期内，投标人不得撤回其投标文件。提交投标文件截止时间前未成功将电子投标文件上传“广西政府采购云”平台的，视为未提交投标文件。</w:t>
            </w:r>
          </w:p>
          <w:p w14:paraId="2C9B12BD">
            <w:pPr>
              <w:snapToGrid w:val="0"/>
              <w:spacing w:line="380" w:lineRule="exact"/>
              <w:rPr>
                <w:rFonts w:hint="eastAsia" w:ascii="宋体" w:hAnsi="宋体"/>
                <w:color w:val="auto"/>
                <w:szCs w:val="21"/>
              </w:rPr>
            </w:pPr>
            <w:r>
              <w:rPr>
                <w:rFonts w:hint="eastAsia" w:ascii="宋体" w:hAnsi="宋体"/>
                <w:color w:val="auto"/>
                <w:szCs w:val="21"/>
              </w:rPr>
              <w:t>18.2在投标文件递交截止时间后的投标文件有效期内，投标人不得撤回其投标文件。</w:t>
            </w:r>
          </w:p>
        </w:tc>
      </w:tr>
      <w:tr w14:paraId="2DA45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675" w:type="dxa"/>
            <w:vAlign w:val="center"/>
          </w:tcPr>
          <w:p w14:paraId="057FDFFC">
            <w:pPr>
              <w:spacing w:line="380" w:lineRule="exact"/>
              <w:jc w:val="center"/>
              <w:rPr>
                <w:rFonts w:hint="eastAsia" w:ascii="宋体" w:hAnsi="宋体"/>
                <w:color w:val="auto"/>
                <w:szCs w:val="21"/>
              </w:rPr>
            </w:pPr>
            <w:r>
              <w:rPr>
                <w:rFonts w:hint="eastAsia" w:ascii="宋体" w:hAnsi="宋体"/>
                <w:color w:val="auto"/>
                <w:szCs w:val="21"/>
              </w:rPr>
              <w:t>9</w:t>
            </w:r>
          </w:p>
        </w:tc>
        <w:tc>
          <w:tcPr>
            <w:tcW w:w="992" w:type="dxa"/>
            <w:vAlign w:val="center"/>
          </w:tcPr>
          <w:p w14:paraId="15C08CE8">
            <w:pPr>
              <w:spacing w:line="380" w:lineRule="exact"/>
              <w:jc w:val="center"/>
              <w:rPr>
                <w:rFonts w:hint="eastAsia" w:ascii="宋体" w:hAnsi="宋体"/>
                <w:color w:val="auto"/>
                <w:position w:val="-2"/>
                <w:szCs w:val="21"/>
              </w:rPr>
            </w:pPr>
            <w:r>
              <w:rPr>
                <w:rFonts w:hint="eastAsia" w:ascii="宋体" w:hAnsi="宋体"/>
                <w:color w:val="auto"/>
                <w:szCs w:val="21"/>
              </w:rPr>
              <w:t>19.1</w:t>
            </w:r>
          </w:p>
        </w:tc>
        <w:tc>
          <w:tcPr>
            <w:tcW w:w="1418" w:type="dxa"/>
            <w:vAlign w:val="center"/>
          </w:tcPr>
          <w:p w14:paraId="16EA6944">
            <w:pPr>
              <w:snapToGrid w:val="0"/>
              <w:spacing w:line="380" w:lineRule="exact"/>
              <w:jc w:val="center"/>
              <w:rPr>
                <w:rFonts w:hint="eastAsia" w:ascii="宋体" w:hAnsi="宋体"/>
                <w:color w:val="auto"/>
                <w:szCs w:val="21"/>
              </w:rPr>
            </w:pPr>
            <w:r>
              <w:rPr>
                <w:rFonts w:hint="eastAsia" w:ascii="宋体" w:hAnsi="宋体"/>
                <w:color w:val="auto"/>
                <w:szCs w:val="21"/>
              </w:rPr>
              <w:t>提交投标文件截止时间、地点</w:t>
            </w:r>
          </w:p>
        </w:tc>
        <w:tc>
          <w:tcPr>
            <w:tcW w:w="6521" w:type="dxa"/>
            <w:vAlign w:val="center"/>
          </w:tcPr>
          <w:p w14:paraId="39D50608">
            <w:pPr>
              <w:snapToGrid w:val="0"/>
              <w:spacing w:line="380" w:lineRule="exact"/>
              <w:rPr>
                <w:rFonts w:hint="eastAsia" w:ascii="宋体" w:hAnsi="宋体"/>
                <w:color w:val="auto"/>
                <w:szCs w:val="21"/>
              </w:rPr>
            </w:pPr>
            <w:r>
              <w:rPr>
                <w:rFonts w:hint="eastAsia" w:ascii="宋体" w:hAnsi="宋体"/>
                <w:color w:val="auto"/>
                <w:szCs w:val="21"/>
              </w:rPr>
              <w:t xml:space="preserve">19.1.1提交投标文件截止时间： 2025年 </w:t>
            </w:r>
            <w:r>
              <w:rPr>
                <w:rFonts w:hint="eastAsia" w:ascii="宋体" w:hAnsi="宋体"/>
                <w:color w:val="auto"/>
                <w:szCs w:val="21"/>
                <w:lang w:val="en-US" w:eastAsia="zh-CN"/>
              </w:rPr>
              <w:t>7</w:t>
            </w:r>
            <w:r>
              <w:rPr>
                <w:rFonts w:hint="eastAsia" w:ascii="宋体" w:hAnsi="宋体"/>
                <w:color w:val="auto"/>
                <w:szCs w:val="21"/>
              </w:rPr>
              <w:t xml:space="preserve"> 月 </w:t>
            </w:r>
            <w:r>
              <w:rPr>
                <w:rFonts w:hint="eastAsia" w:ascii="宋体" w:hAnsi="宋体"/>
                <w:color w:val="auto"/>
                <w:szCs w:val="21"/>
                <w:lang w:val="en-US" w:eastAsia="zh-CN"/>
              </w:rPr>
              <w:t>30</w:t>
            </w:r>
            <w:r>
              <w:rPr>
                <w:rFonts w:hint="eastAsia" w:ascii="宋体" w:hAnsi="宋体"/>
                <w:color w:val="auto"/>
                <w:szCs w:val="21"/>
              </w:rPr>
              <w:t xml:space="preserve"> 日上午09时30分（北京时间）。</w:t>
            </w:r>
          </w:p>
          <w:p w14:paraId="3C5540D1">
            <w:pPr>
              <w:snapToGrid w:val="0"/>
              <w:spacing w:line="380" w:lineRule="exact"/>
              <w:rPr>
                <w:rFonts w:hint="eastAsia" w:ascii="宋体" w:hAnsi="宋体"/>
                <w:color w:val="auto"/>
                <w:szCs w:val="21"/>
              </w:rPr>
            </w:pPr>
            <w:r>
              <w:rPr>
                <w:rFonts w:hint="eastAsia" w:ascii="宋体" w:hAnsi="宋体"/>
                <w:color w:val="auto"/>
                <w:szCs w:val="21"/>
              </w:rPr>
              <w:t>19.1.2地点：通过“广西政府采购云”平台在线提交。</w:t>
            </w:r>
          </w:p>
        </w:tc>
      </w:tr>
      <w:tr w14:paraId="7AACC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675" w:type="dxa"/>
            <w:vAlign w:val="center"/>
          </w:tcPr>
          <w:p w14:paraId="14E730FC">
            <w:pPr>
              <w:spacing w:line="380" w:lineRule="exact"/>
              <w:jc w:val="center"/>
              <w:rPr>
                <w:rFonts w:hint="eastAsia" w:ascii="宋体" w:hAnsi="宋体"/>
                <w:color w:val="auto"/>
                <w:szCs w:val="21"/>
              </w:rPr>
            </w:pPr>
            <w:r>
              <w:rPr>
                <w:rFonts w:hint="eastAsia" w:ascii="宋体" w:hAnsi="宋体"/>
                <w:color w:val="auto"/>
                <w:szCs w:val="21"/>
              </w:rPr>
              <w:t>10</w:t>
            </w:r>
          </w:p>
        </w:tc>
        <w:tc>
          <w:tcPr>
            <w:tcW w:w="992" w:type="dxa"/>
            <w:vAlign w:val="center"/>
          </w:tcPr>
          <w:p w14:paraId="044EF9C2">
            <w:pPr>
              <w:spacing w:line="380" w:lineRule="exact"/>
              <w:jc w:val="center"/>
              <w:rPr>
                <w:rFonts w:hint="eastAsia" w:ascii="宋体" w:hAnsi="宋体"/>
                <w:color w:val="auto"/>
                <w:szCs w:val="21"/>
              </w:rPr>
            </w:pPr>
            <w:r>
              <w:rPr>
                <w:rFonts w:hint="eastAsia" w:ascii="宋体" w:hAnsi="宋体"/>
                <w:color w:val="auto"/>
                <w:szCs w:val="21"/>
              </w:rPr>
              <w:t>19.2</w:t>
            </w:r>
          </w:p>
        </w:tc>
        <w:tc>
          <w:tcPr>
            <w:tcW w:w="1418" w:type="dxa"/>
            <w:vAlign w:val="center"/>
          </w:tcPr>
          <w:p w14:paraId="64D04285">
            <w:pPr>
              <w:tabs>
                <w:tab w:val="left" w:pos="2190"/>
              </w:tabs>
              <w:spacing w:line="380" w:lineRule="exact"/>
              <w:jc w:val="center"/>
              <w:rPr>
                <w:rFonts w:hint="eastAsia" w:ascii="宋体" w:hAnsi="宋体"/>
                <w:color w:val="auto"/>
                <w:szCs w:val="21"/>
              </w:rPr>
            </w:pPr>
            <w:r>
              <w:rPr>
                <w:rFonts w:hint="eastAsia" w:ascii="宋体" w:hAnsi="宋体"/>
                <w:color w:val="auto"/>
                <w:szCs w:val="21"/>
              </w:rPr>
              <w:t>投标文件解密</w:t>
            </w:r>
          </w:p>
        </w:tc>
        <w:tc>
          <w:tcPr>
            <w:tcW w:w="6521" w:type="dxa"/>
            <w:vAlign w:val="center"/>
          </w:tcPr>
          <w:p w14:paraId="2494C741">
            <w:pPr>
              <w:spacing w:line="380" w:lineRule="exact"/>
              <w:ind w:firstLine="420" w:firstLineChars="200"/>
              <w:rPr>
                <w:rFonts w:hint="eastAsia" w:ascii="宋体" w:hAnsi="宋体" w:cs="宋体"/>
                <w:bCs/>
                <w:color w:val="auto"/>
                <w:szCs w:val="21"/>
              </w:rPr>
            </w:pPr>
            <w:r>
              <w:rPr>
                <w:rFonts w:hint="eastAsia" w:ascii="宋体" w:hAnsi="宋体"/>
                <w:bCs/>
                <w:color w:val="auto"/>
                <w:szCs w:val="21"/>
              </w:rPr>
              <w:t>提交投标文件截止时间，“广西政府采购云”平台自动提取所有投标人投标文件，各投标人须在提交投标文件截止</w:t>
            </w:r>
            <w:r>
              <w:rPr>
                <w:rFonts w:hint="eastAsia" w:ascii="宋体" w:hAnsi="宋体" w:cs="宋体"/>
                <w:bCs/>
                <w:color w:val="auto"/>
                <w:szCs w:val="21"/>
              </w:rPr>
              <w:t>后30分钟内（</w:t>
            </w:r>
            <w:r>
              <w:rPr>
                <w:rFonts w:hint="eastAsia" w:ascii="宋体" w:hAnsi="宋体"/>
                <w:color w:val="auto"/>
                <w:szCs w:val="21"/>
              </w:rPr>
              <w:t xml:space="preserve">2025年  </w:t>
            </w:r>
            <w:r>
              <w:rPr>
                <w:rFonts w:hint="eastAsia" w:ascii="宋体" w:hAnsi="宋体"/>
                <w:color w:val="auto"/>
                <w:szCs w:val="21"/>
                <w:lang w:val="en-US" w:eastAsia="zh-CN"/>
              </w:rPr>
              <w:t>7</w:t>
            </w:r>
            <w:r>
              <w:rPr>
                <w:rFonts w:hint="eastAsia" w:ascii="宋体" w:hAnsi="宋体"/>
                <w:color w:val="auto"/>
                <w:szCs w:val="21"/>
              </w:rPr>
              <w:t xml:space="preserve"> 月 </w:t>
            </w:r>
            <w:r>
              <w:rPr>
                <w:rFonts w:hint="eastAsia" w:ascii="宋体" w:hAnsi="宋体"/>
                <w:color w:val="auto"/>
                <w:szCs w:val="21"/>
                <w:lang w:val="en-US" w:eastAsia="zh-CN"/>
              </w:rPr>
              <w:t>30</w:t>
            </w:r>
            <w:r>
              <w:rPr>
                <w:rFonts w:hint="eastAsia" w:ascii="宋体" w:hAnsi="宋体"/>
                <w:color w:val="auto"/>
                <w:szCs w:val="21"/>
              </w:rPr>
              <w:t xml:space="preserve">  日上午09时30分</w:t>
            </w:r>
            <w:r>
              <w:rPr>
                <w:rFonts w:hint="eastAsia" w:ascii="宋体" w:hAnsi="宋体" w:cs="宋体"/>
                <w:bCs/>
                <w:color w:val="auto"/>
                <w:szCs w:val="21"/>
              </w:rPr>
              <w:t>至10时00分)，登录“</w:t>
            </w:r>
            <w:r>
              <w:rPr>
                <w:rFonts w:hint="eastAsia" w:ascii="宋体" w:hAnsi="宋体"/>
                <w:bCs/>
                <w:color w:val="auto"/>
                <w:szCs w:val="21"/>
              </w:rPr>
              <w:t>广西政府采购云</w:t>
            </w:r>
            <w:r>
              <w:rPr>
                <w:rFonts w:hint="eastAsia" w:ascii="宋体" w:hAnsi="宋体" w:cs="宋体"/>
                <w:bCs/>
                <w:color w:val="auto"/>
                <w:szCs w:val="21"/>
              </w:rPr>
              <w:t>”平台，通过“项目采购-开标评标”功能解密电子投标文件。若投标人在规定时间内无法解密或解密失败的，</w:t>
            </w:r>
            <w:r>
              <w:rPr>
                <w:rFonts w:ascii="宋体" w:hAnsi="宋体" w:cs="宋体"/>
                <w:b/>
                <w:color w:val="auto"/>
                <w:szCs w:val="21"/>
                <w:u w:val="single"/>
              </w:rPr>
              <w:t>可以以电子备份投标文件作为依据</w:t>
            </w:r>
            <w:r>
              <w:rPr>
                <w:rFonts w:ascii="宋体" w:hAnsi="宋体" w:cs="宋体"/>
                <w:b/>
                <w:bCs/>
                <w:color w:val="auto"/>
                <w:szCs w:val="21"/>
                <w:u w:val="single"/>
              </w:rPr>
              <w:t>【在接到无法解密或解密失败的通知后，投标人可根据自身实际情况按通知时要求的时间到</w:t>
            </w:r>
            <w:r>
              <w:rPr>
                <w:rFonts w:hint="eastAsia" w:ascii="宋体" w:hAnsi="宋体"/>
                <w:b/>
                <w:color w:val="auto"/>
                <w:szCs w:val="21"/>
                <w:u w:val="single"/>
              </w:rPr>
              <w:t xml:space="preserve">桂林市公共资源交易中心  </w:t>
            </w:r>
            <w:r>
              <w:rPr>
                <w:rFonts w:hint="eastAsia" w:ascii="宋体" w:hAnsi="宋体"/>
                <w:b/>
                <w:color w:val="auto"/>
                <w:szCs w:val="21"/>
                <w:u w:val="single"/>
                <w:lang w:val="en-US" w:eastAsia="zh-CN"/>
              </w:rPr>
              <w:t>5</w:t>
            </w:r>
            <w:r>
              <w:rPr>
                <w:rFonts w:hint="eastAsia" w:ascii="宋体" w:hAnsi="宋体"/>
                <w:b/>
                <w:color w:val="auto"/>
                <w:szCs w:val="21"/>
                <w:u w:val="single"/>
              </w:rPr>
              <w:t xml:space="preserve"> 号政采开标仓</w:t>
            </w:r>
            <w:r>
              <w:rPr>
                <w:rFonts w:ascii="宋体" w:hAnsi="宋体"/>
                <w:b/>
                <w:color w:val="auto"/>
                <w:szCs w:val="21"/>
                <w:u w:val="single"/>
              </w:rPr>
              <w:t>（</w:t>
            </w:r>
            <w:r>
              <w:rPr>
                <w:rFonts w:hint="eastAsia" w:ascii="宋体" w:hAnsi="宋体"/>
                <w:b/>
                <w:color w:val="auto"/>
                <w:szCs w:val="21"/>
                <w:u w:val="single"/>
              </w:rPr>
              <w:t>广西壮族自治区桂林市临桂区西城中路69号创业大厦西辅楼4楼</w:t>
            </w:r>
            <w:r>
              <w:rPr>
                <w:rFonts w:ascii="宋体" w:hAnsi="宋体"/>
                <w:b/>
                <w:color w:val="auto"/>
                <w:szCs w:val="21"/>
                <w:u w:val="single"/>
              </w:rPr>
              <w:t>）</w:t>
            </w:r>
            <w:r>
              <w:rPr>
                <w:rFonts w:ascii="宋体" w:hAnsi="宋体" w:cs="宋体"/>
                <w:b/>
                <w:bCs/>
                <w:color w:val="auto"/>
                <w:szCs w:val="21"/>
                <w:u w:val="single"/>
              </w:rPr>
              <w:t>现场提交或以电子邮件的形式（以通知时所告知的电子邮箱地址为准）提交电子备份投标文件】</w:t>
            </w:r>
            <w:r>
              <w:rPr>
                <w:rFonts w:ascii="宋体" w:hAnsi="宋体" w:cs="宋体"/>
                <w:b/>
                <w:color w:val="auto"/>
                <w:szCs w:val="21"/>
                <w:u w:val="single"/>
              </w:rPr>
              <w:t>，若投标人在规定时间内无法解密或解密失败且未提供电子备份投标文件的(包含提供的电子备份文件无效或无法解密的情况)</w:t>
            </w:r>
            <w:r>
              <w:rPr>
                <w:rFonts w:hint="eastAsia" w:ascii="宋体" w:hAnsi="宋体" w:cs="宋体"/>
                <w:b/>
                <w:bCs/>
                <w:color w:val="auto"/>
                <w:szCs w:val="21"/>
              </w:rPr>
              <w:t>视为自动放弃，</w:t>
            </w:r>
            <w:r>
              <w:rPr>
                <w:rFonts w:hint="eastAsia" w:ascii="宋体" w:hAnsi="宋体" w:cs="宋体"/>
                <w:bCs/>
                <w:color w:val="auto"/>
                <w:szCs w:val="21"/>
              </w:rPr>
              <w:t>投标文件按投标无效处理。</w:t>
            </w:r>
          </w:p>
        </w:tc>
      </w:tr>
      <w:tr w14:paraId="34D93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8" w:hRule="atLeast"/>
        </w:trPr>
        <w:tc>
          <w:tcPr>
            <w:tcW w:w="675" w:type="dxa"/>
            <w:vAlign w:val="center"/>
          </w:tcPr>
          <w:p w14:paraId="5084A6D8">
            <w:pPr>
              <w:spacing w:line="380" w:lineRule="exact"/>
              <w:jc w:val="center"/>
              <w:rPr>
                <w:rFonts w:hint="eastAsia" w:ascii="宋体" w:hAnsi="宋体"/>
                <w:color w:val="auto"/>
                <w:szCs w:val="21"/>
              </w:rPr>
            </w:pPr>
            <w:r>
              <w:rPr>
                <w:rFonts w:hint="eastAsia" w:ascii="宋体" w:hAnsi="宋体"/>
                <w:color w:val="auto"/>
                <w:szCs w:val="21"/>
              </w:rPr>
              <w:t>11</w:t>
            </w:r>
          </w:p>
        </w:tc>
        <w:tc>
          <w:tcPr>
            <w:tcW w:w="992" w:type="dxa"/>
            <w:vAlign w:val="center"/>
          </w:tcPr>
          <w:p w14:paraId="0C01943F">
            <w:pPr>
              <w:spacing w:line="380" w:lineRule="exact"/>
              <w:jc w:val="center"/>
              <w:rPr>
                <w:rFonts w:hint="eastAsia" w:ascii="宋体" w:hAnsi="宋体"/>
                <w:color w:val="auto"/>
                <w:szCs w:val="21"/>
              </w:rPr>
            </w:pPr>
            <w:r>
              <w:rPr>
                <w:rFonts w:hint="eastAsia" w:ascii="宋体" w:hAnsi="宋体"/>
                <w:color w:val="auto"/>
                <w:szCs w:val="21"/>
              </w:rPr>
              <w:t>20.1</w:t>
            </w:r>
          </w:p>
        </w:tc>
        <w:tc>
          <w:tcPr>
            <w:tcW w:w="1418" w:type="dxa"/>
            <w:vAlign w:val="center"/>
          </w:tcPr>
          <w:p w14:paraId="33A0FE51">
            <w:pPr>
              <w:spacing w:line="380" w:lineRule="exact"/>
              <w:jc w:val="center"/>
              <w:rPr>
                <w:rFonts w:hint="eastAsia" w:ascii="宋体" w:hAnsi="宋体"/>
                <w:color w:val="auto"/>
                <w:szCs w:val="21"/>
              </w:rPr>
            </w:pPr>
            <w:r>
              <w:rPr>
                <w:rFonts w:hint="eastAsia" w:ascii="宋体" w:hAnsi="宋体"/>
                <w:color w:val="auto"/>
                <w:szCs w:val="21"/>
              </w:rPr>
              <w:t>开标时间及地点</w:t>
            </w:r>
          </w:p>
        </w:tc>
        <w:tc>
          <w:tcPr>
            <w:tcW w:w="6521" w:type="dxa"/>
          </w:tcPr>
          <w:p w14:paraId="42494391">
            <w:pPr>
              <w:autoSpaceDE w:val="0"/>
              <w:autoSpaceDN w:val="0"/>
              <w:snapToGrid w:val="0"/>
              <w:spacing w:line="380" w:lineRule="exact"/>
              <w:textAlignment w:val="bottom"/>
              <w:rPr>
                <w:rFonts w:hint="eastAsia" w:ascii="宋体" w:hAnsi="宋体"/>
                <w:color w:val="auto"/>
                <w:szCs w:val="21"/>
              </w:rPr>
            </w:pPr>
            <w:r>
              <w:rPr>
                <w:rFonts w:hint="eastAsia" w:ascii="宋体" w:hAnsi="宋体"/>
                <w:color w:val="auto"/>
                <w:szCs w:val="21"/>
              </w:rPr>
              <w:t xml:space="preserve">20.1.1开标时间：2025年 </w:t>
            </w:r>
            <w:r>
              <w:rPr>
                <w:rFonts w:hint="eastAsia" w:ascii="宋体" w:hAnsi="宋体"/>
                <w:color w:val="auto"/>
                <w:szCs w:val="21"/>
                <w:lang w:val="en-US" w:eastAsia="zh-CN"/>
              </w:rPr>
              <w:t>7</w:t>
            </w:r>
            <w:r>
              <w:rPr>
                <w:rFonts w:hint="eastAsia" w:ascii="宋体" w:hAnsi="宋体"/>
                <w:color w:val="auto"/>
                <w:szCs w:val="21"/>
              </w:rPr>
              <w:t xml:space="preserve"> 月 </w:t>
            </w:r>
            <w:r>
              <w:rPr>
                <w:rFonts w:hint="eastAsia" w:ascii="宋体" w:hAnsi="宋体"/>
                <w:color w:val="auto"/>
                <w:szCs w:val="21"/>
                <w:lang w:val="en-US" w:eastAsia="zh-CN"/>
              </w:rPr>
              <w:t>30</w:t>
            </w:r>
            <w:r>
              <w:rPr>
                <w:rFonts w:hint="eastAsia" w:ascii="宋体" w:hAnsi="宋体"/>
                <w:color w:val="auto"/>
                <w:szCs w:val="21"/>
              </w:rPr>
              <w:t xml:space="preserve"> 日上午09时30分（北京时间）；</w:t>
            </w:r>
          </w:p>
          <w:p w14:paraId="0FB1D8DC">
            <w:pPr>
              <w:autoSpaceDE w:val="0"/>
              <w:autoSpaceDN w:val="0"/>
              <w:snapToGrid w:val="0"/>
              <w:spacing w:line="380" w:lineRule="exact"/>
              <w:textAlignment w:val="bottom"/>
              <w:rPr>
                <w:rFonts w:hint="eastAsia" w:ascii="宋体" w:hAnsi="宋体"/>
                <w:color w:val="auto"/>
                <w:szCs w:val="21"/>
              </w:rPr>
            </w:pPr>
            <w:r>
              <w:rPr>
                <w:rFonts w:hint="eastAsia" w:ascii="宋体" w:hAnsi="宋体"/>
                <w:color w:val="auto"/>
                <w:szCs w:val="21"/>
              </w:rPr>
              <w:t>20.1.2开标地点：</w:t>
            </w:r>
            <w:r>
              <w:rPr>
                <w:rFonts w:hint="eastAsia" w:ascii="宋体" w:hAnsi="宋体" w:cs="宋体"/>
                <w:color w:val="auto"/>
                <w:spacing w:val="-3"/>
              </w:rPr>
              <w:t>通过广西政府采购云平台实行在线解密开启。提交电子备份投标文件方式：</w:t>
            </w:r>
            <w:r>
              <w:rPr>
                <w:rFonts w:hint="eastAsia" w:ascii="宋体" w:hAnsi="宋体" w:cs="宋体"/>
                <w:b/>
                <w:color w:val="auto"/>
              </w:rPr>
              <w:t xml:space="preserve">在接到无法解密或解密失败的通知后，投标人可根据自身实际情况按通知时要求的时间到桂林市公共资源交易中心 </w:t>
            </w:r>
            <w:r>
              <w:rPr>
                <w:rFonts w:hint="eastAsia" w:ascii="宋体" w:hAnsi="宋体" w:cs="宋体"/>
                <w:b/>
                <w:color w:val="auto"/>
                <w:lang w:val="en-US" w:eastAsia="zh-CN"/>
              </w:rPr>
              <w:t>5</w:t>
            </w:r>
            <w:r>
              <w:rPr>
                <w:rFonts w:hint="eastAsia" w:ascii="宋体" w:hAnsi="宋体" w:cs="宋体"/>
                <w:b/>
                <w:color w:val="auto"/>
              </w:rPr>
              <w:t xml:space="preserve"> 号政采开标仓现场提交或以电子邮件的形式（以通知时所告知的电子邮箱地址为准）提交电子备份投标文件</w:t>
            </w:r>
            <w:r>
              <w:rPr>
                <w:rFonts w:hint="eastAsia" w:ascii="宋体" w:hAnsi="宋体" w:cs="宋体"/>
                <w:color w:val="auto"/>
              </w:rPr>
              <w:t>。投标人可以由法定代表人、负责人、自然人或其委托代理人出席开标会议。</w:t>
            </w:r>
          </w:p>
        </w:tc>
      </w:tr>
      <w:tr w14:paraId="6EF70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1" w:hRule="atLeast"/>
        </w:trPr>
        <w:tc>
          <w:tcPr>
            <w:tcW w:w="675" w:type="dxa"/>
            <w:vAlign w:val="center"/>
          </w:tcPr>
          <w:p w14:paraId="0C65ECBE">
            <w:pPr>
              <w:spacing w:line="380" w:lineRule="exact"/>
              <w:jc w:val="center"/>
              <w:rPr>
                <w:rFonts w:hint="eastAsia" w:ascii="宋体" w:hAnsi="宋体"/>
                <w:color w:val="auto"/>
                <w:szCs w:val="21"/>
              </w:rPr>
            </w:pPr>
            <w:r>
              <w:rPr>
                <w:rFonts w:hint="eastAsia" w:ascii="宋体" w:hAnsi="宋体"/>
                <w:color w:val="auto"/>
                <w:szCs w:val="21"/>
              </w:rPr>
              <w:t>12</w:t>
            </w:r>
          </w:p>
        </w:tc>
        <w:tc>
          <w:tcPr>
            <w:tcW w:w="992" w:type="dxa"/>
            <w:vAlign w:val="center"/>
          </w:tcPr>
          <w:p w14:paraId="3D37F2B1">
            <w:pPr>
              <w:spacing w:line="380" w:lineRule="exact"/>
              <w:jc w:val="center"/>
              <w:rPr>
                <w:rFonts w:hint="eastAsia" w:ascii="宋体" w:hAnsi="宋体"/>
                <w:color w:val="auto"/>
                <w:szCs w:val="21"/>
              </w:rPr>
            </w:pPr>
            <w:r>
              <w:rPr>
                <w:rFonts w:hint="eastAsia" w:ascii="宋体" w:hAnsi="宋体"/>
                <w:color w:val="auto"/>
                <w:szCs w:val="21"/>
              </w:rPr>
              <w:t>23</w:t>
            </w:r>
          </w:p>
        </w:tc>
        <w:tc>
          <w:tcPr>
            <w:tcW w:w="1418" w:type="dxa"/>
            <w:vAlign w:val="center"/>
          </w:tcPr>
          <w:p w14:paraId="26663696">
            <w:pPr>
              <w:pStyle w:val="27"/>
              <w:spacing w:line="380" w:lineRule="exact"/>
              <w:jc w:val="center"/>
              <w:rPr>
                <w:rFonts w:hint="eastAsia" w:hAnsi="宋体" w:cs="Arial"/>
                <w:color w:val="auto"/>
                <w:kern w:val="0"/>
                <w:szCs w:val="21"/>
              </w:rPr>
            </w:pPr>
            <w:r>
              <w:rPr>
                <w:rFonts w:hint="eastAsia" w:hAnsi="宋体" w:cs="Arial"/>
                <w:color w:val="auto"/>
                <w:kern w:val="0"/>
                <w:szCs w:val="21"/>
              </w:rPr>
              <w:t>评标委员会组成</w:t>
            </w:r>
          </w:p>
        </w:tc>
        <w:tc>
          <w:tcPr>
            <w:tcW w:w="6521" w:type="dxa"/>
            <w:vAlign w:val="center"/>
          </w:tcPr>
          <w:p w14:paraId="3A48DA81">
            <w:pPr>
              <w:spacing w:line="380" w:lineRule="exact"/>
              <w:rPr>
                <w:rFonts w:hint="eastAsia" w:ascii="宋体" w:hAnsi="宋体"/>
                <w:color w:val="auto"/>
                <w:szCs w:val="21"/>
              </w:rPr>
            </w:pPr>
            <w:r>
              <w:rPr>
                <w:rFonts w:hint="eastAsia" w:ascii="宋体" w:hAnsi="宋体"/>
                <w:color w:val="auto"/>
                <w:szCs w:val="21"/>
              </w:rPr>
              <w:t>23.1评标委员会构成：评标委员会由采购人代表和有关技术、经济等方面的专家组成，成员人数共 5 人，其中采购人代表 1 人，专家 4 人。</w:t>
            </w:r>
          </w:p>
          <w:p w14:paraId="17F361AE">
            <w:pPr>
              <w:spacing w:line="380" w:lineRule="exact"/>
              <w:rPr>
                <w:rFonts w:hint="eastAsia" w:ascii="宋体" w:hAnsi="宋体"/>
                <w:color w:val="auto"/>
                <w:szCs w:val="21"/>
              </w:rPr>
            </w:pPr>
            <w:r>
              <w:rPr>
                <w:rFonts w:hint="eastAsia" w:ascii="宋体" w:hAnsi="宋体"/>
                <w:color w:val="auto"/>
                <w:szCs w:val="21"/>
              </w:rPr>
              <w:t>23.2专家确定方式：开标前从广西壮族自治区政府采购专家库中通过电脑随机抽取。</w:t>
            </w:r>
          </w:p>
        </w:tc>
      </w:tr>
      <w:tr w14:paraId="35541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675" w:type="dxa"/>
            <w:vAlign w:val="center"/>
          </w:tcPr>
          <w:p w14:paraId="162FBEC9">
            <w:pPr>
              <w:spacing w:line="380" w:lineRule="exact"/>
              <w:jc w:val="center"/>
              <w:rPr>
                <w:rFonts w:hint="eastAsia" w:ascii="宋体" w:hAnsi="宋体"/>
                <w:color w:val="auto"/>
                <w:szCs w:val="21"/>
              </w:rPr>
            </w:pPr>
            <w:r>
              <w:rPr>
                <w:rFonts w:hint="eastAsia" w:ascii="宋体" w:hAnsi="宋体"/>
                <w:color w:val="auto"/>
                <w:szCs w:val="21"/>
              </w:rPr>
              <w:t>13</w:t>
            </w:r>
          </w:p>
        </w:tc>
        <w:tc>
          <w:tcPr>
            <w:tcW w:w="992" w:type="dxa"/>
            <w:vAlign w:val="center"/>
          </w:tcPr>
          <w:p w14:paraId="40B6D1E7">
            <w:pPr>
              <w:spacing w:line="380" w:lineRule="exact"/>
              <w:jc w:val="center"/>
              <w:rPr>
                <w:rFonts w:hint="eastAsia" w:ascii="宋体" w:hAnsi="宋体"/>
                <w:color w:val="auto"/>
                <w:szCs w:val="21"/>
              </w:rPr>
            </w:pPr>
            <w:r>
              <w:rPr>
                <w:rFonts w:hint="eastAsia" w:ascii="宋体" w:hAnsi="宋体"/>
                <w:color w:val="auto"/>
                <w:szCs w:val="21"/>
              </w:rPr>
              <w:t>24.2</w:t>
            </w:r>
          </w:p>
        </w:tc>
        <w:tc>
          <w:tcPr>
            <w:tcW w:w="1418" w:type="dxa"/>
            <w:vAlign w:val="center"/>
          </w:tcPr>
          <w:p w14:paraId="409F5D31">
            <w:pPr>
              <w:spacing w:line="380" w:lineRule="exact"/>
              <w:jc w:val="center"/>
              <w:rPr>
                <w:rFonts w:hint="eastAsia" w:ascii="宋体" w:hAnsi="宋体"/>
                <w:color w:val="auto"/>
                <w:szCs w:val="21"/>
              </w:rPr>
            </w:pPr>
            <w:r>
              <w:rPr>
                <w:rFonts w:hint="eastAsia" w:ascii="宋体" w:hAnsi="宋体"/>
                <w:color w:val="auto"/>
                <w:szCs w:val="21"/>
              </w:rPr>
              <w:t>评标办法</w:t>
            </w:r>
          </w:p>
        </w:tc>
        <w:tc>
          <w:tcPr>
            <w:tcW w:w="6521" w:type="dxa"/>
            <w:vAlign w:val="center"/>
          </w:tcPr>
          <w:p w14:paraId="3CC6E536">
            <w:pPr>
              <w:spacing w:line="380" w:lineRule="exact"/>
              <w:rPr>
                <w:rFonts w:hint="eastAsia" w:ascii="宋体" w:hAnsi="宋体"/>
                <w:color w:val="auto"/>
                <w:szCs w:val="21"/>
              </w:rPr>
            </w:pPr>
            <w:r>
              <w:rPr>
                <w:rFonts w:hint="eastAsia" w:ascii="宋体" w:hAnsi="宋体"/>
                <w:color w:val="auto"/>
                <w:szCs w:val="21"/>
              </w:rPr>
              <w:t>综合评分法，具体评标内容及标准详见第四章：评标办法。</w:t>
            </w:r>
          </w:p>
        </w:tc>
      </w:tr>
      <w:tr w14:paraId="6F9A6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5" w:hRule="atLeast"/>
        </w:trPr>
        <w:tc>
          <w:tcPr>
            <w:tcW w:w="675" w:type="dxa"/>
            <w:vAlign w:val="center"/>
          </w:tcPr>
          <w:p w14:paraId="76CC1EE8">
            <w:pPr>
              <w:spacing w:line="380" w:lineRule="exact"/>
              <w:jc w:val="center"/>
              <w:rPr>
                <w:rFonts w:hint="eastAsia" w:ascii="宋体" w:hAnsi="宋体"/>
                <w:color w:val="auto"/>
                <w:szCs w:val="21"/>
              </w:rPr>
            </w:pPr>
            <w:r>
              <w:rPr>
                <w:rFonts w:hint="eastAsia" w:ascii="宋体" w:hAnsi="宋体"/>
                <w:color w:val="auto"/>
                <w:szCs w:val="21"/>
              </w:rPr>
              <w:t>14</w:t>
            </w:r>
          </w:p>
        </w:tc>
        <w:tc>
          <w:tcPr>
            <w:tcW w:w="992" w:type="dxa"/>
            <w:vAlign w:val="center"/>
          </w:tcPr>
          <w:p w14:paraId="0FCAA6D1">
            <w:pPr>
              <w:spacing w:line="380" w:lineRule="exact"/>
              <w:jc w:val="center"/>
              <w:rPr>
                <w:rFonts w:hint="eastAsia" w:ascii="宋体" w:hAnsi="宋体"/>
                <w:color w:val="auto"/>
                <w:szCs w:val="21"/>
              </w:rPr>
            </w:pPr>
            <w:r>
              <w:rPr>
                <w:rFonts w:hint="eastAsia" w:ascii="宋体" w:hAnsi="宋体"/>
                <w:color w:val="auto"/>
                <w:szCs w:val="21"/>
              </w:rPr>
              <w:t>31</w:t>
            </w:r>
          </w:p>
        </w:tc>
        <w:tc>
          <w:tcPr>
            <w:tcW w:w="1418" w:type="dxa"/>
            <w:vAlign w:val="center"/>
          </w:tcPr>
          <w:p w14:paraId="6C6E4F34">
            <w:pPr>
              <w:spacing w:line="380" w:lineRule="exact"/>
              <w:jc w:val="center"/>
              <w:rPr>
                <w:rFonts w:hint="eastAsia" w:ascii="宋体" w:hAnsi="宋体"/>
                <w:color w:val="auto"/>
                <w:szCs w:val="21"/>
              </w:rPr>
            </w:pPr>
            <w:r>
              <w:rPr>
                <w:rFonts w:hint="eastAsia" w:ascii="宋体" w:hAnsi="宋体"/>
                <w:color w:val="auto"/>
                <w:szCs w:val="21"/>
              </w:rPr>
              <w:t>中标人信用信息查询</w:t>
            </w:r>
          </w:p>
        </w:tc>
        <w:tc>
          <w:tcPr>
            <w:tcW w:w="6521" w:type="dxa"/>
            <w:vAlign w:val="center"/>
          </w:tcPr>
          <w:p w14:paraId="5EE16F55">
            <w:pPr>
              <w:autoSpaceDE w:val="0"/>
              <w:autoSpaceDN w:val="0"/>
              <w:snapToGrid w:val="0"/>
              <w:spacing w:line="380" w:lineRule="exact"/>
              <w:textAlignment w:val="bottom"/>
              <w:rPr>
                <w:rFonts w:hint="eastAsia" w:ascii="宋体" w:hAnsi="宋体"/>
                <w:color w:val="auto"/>
                <w:szCs w:val="21"/>
              </w:rPr>
            </w:pPr>
            <w:r>
              <w:rPr>
                <w:rFonts w:hint="eastAsia" w:ascii="宋体" w:hAnsi="宋体"/>
                <w:color w:val="auto"/>
                <w:szCs w:val="21"/>
              </w:rPr>
              <w:t>根据《关于做好政府采购有关信用主体标识码登记及在政府采购活动中查询使用信用记录有关问题的通知》桂财采〔2016〕37号的通知，采购代理机构对中标人进行信用查询：</w:t>
            </w:r>
          </w:p>
          <w:p w14:paraId="0978EA05">
            <w:pPr>
              <w:autoSpaceDE w:val="0"/>
              <w:autoSpaceDN w:val="0"/>
              <w:snapToGrid w:val="0"/>
              <w:spacing w:line="380" w:lineRule="exact"/>
              <w:textAlignment w:val="bottom"/>
              <w:rPr>
                <w:rFonts w:hint="eastAsia" w:ascii="宋体" w:hAnsi="宋体"/>
                <w:color w:val="auto"/>
                <w:szCs w:val="21"/>
              </w:rPr>
            </w:pPr>
            <w:r>
              <w:rPr>
                <w:rFonts w:hint="eastAsia" w:ascii="宋体" w:hAnsi="宋体"/>
                <w:color w:val="auto"/>
                <w:szCs w:val="21"/>
              </w:rPr>
              <w:t>（1）查询渠道：“信用中国”网站（www.creditchina.gov.cn）、中国政府采购网（www.ccgp.gov.cn）等；</w:t>
            </w:r>
          </w:p>
          <w:p w14:paraId="7EB688FF">
            <w:pPr>
              <w:autoSpaceDE w:val="0"/>
              <w:autoSpaceDN w:val="0"/>
              <w:snapToGrid w:val="0"/>
              <w:spacing w:line="380" w:lineRule="exact"/>
              <w:textAlignment w:val="bottom"/>
              <w:rPr>
                <w:rFonts w:hint="eastAsia" w:ascii="宋体" w:hAnsi="宋体"/>
                <w:color w:val="auto"/>
                <w:szCs w:val="21"/>
              </w:rPr>
            </w:pPr>
            <w:r>
              <w:rPr>
                <w:rFonts w:hint="eastAsia" w:ascii="宋体" w:hAnsi="宋体"/>
                <w:color w:val="auto"/>
                <w:szCs w:val="21"/>
              </w:rPr>
              <w:t>（2）查询截止时点：中标通知书发出前；</w:t>
            </w:r>
          </w:p>
          <w:p w14:paraId="3BB28DE8">
            <w:pPr>
              <w:autoSpaceDE w:val="0"/>
              <w:autoSpaceDN w:val="0"/>
              <w:snapToGrid w:val="0"/>
              <w:spacing w:line="380" w:lineRule="exact"/>
              <w:textAlignment w:val="bottom"/>
              <w:rPr>
                <w:rFonts w:hint="eastAsia" w:ascii="宋体" w:hAnsi="宋体"/>
                <w:color w:val="auto"/>
                <w:szCs w:val="21"/>
              </w:rPr>
            </w:pPr>
            <w:r>
              <w:rPr>
                <w:rFonts w:hint="eastAsia" w:ascii="宋体" w:hAnsi="宋体"/>
                <w:color w:val="auto"/>
                <w:szCs w:val="21"/>
              </w:rPr>
              <w:t>（3）信用信息查询记录和证据留存方式：在查询网站中直接打印查询记录，打印材料作为采购活动资料保存。</w:t>
            </w:r>
          </w:p>
          <w:p w14:paraId="4BFACD14">
            <w:pPr>
              <w:spacing w:line="380" w:lineRule="exact"/>
              <w:rPr>
                <w:rFonts w:hint="eastAsia" w:ascii="宋体" w:hAnsi="宋体"/>
                <w:color w:val="auto"/>
                <w:spacing w:val="-4"/>
                <w:szCs w:val="21"/>
              </w:rPr>
            </w:pPr>
            <w:r>
              <w:rPr>
                <w:rFonts w:hint="eastAsia" w:ascii="宋体" w:hAnsi="宋体"/>
                <w:color w:val="auto"/>
                <w:spacing w:val="-4"/>
                <w:szCs w:val="21"/>
              </w:rPr>
              <w:t>（4）信用信息使用规则：在“信用中国”网站（www.creditchina.gov.cn）、中国政府采购网（www.ccgp.gov.cn）等渠道列入失信被执行人、重大税收违法案件当事人名单、政府采购严重违法失信行为记录名单及其他不符合《中华人民共和国政府采购法》第二十二条规定条件的投标人，不得参与政府采购活动，取消其中标候选人资格。采购人依法按照评标报告中评标委员会推荐中标候选人排序表确定排名第二的中标候选人为中标投标人或者重新组织采购。</w:t>
            </w:r>
          </w:p>
        </w:tc>
      </w:tr>
      <w:tr w14:paraId="40D59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675" w:type="dxa"/>
            <w:vAlign w:val="center"/>
          </w:tcPr>
          <w:p w14:paraId="10DEE9DE">
            <w:pPr>
              <w:spacing w:line="380" w:lineRule="exact"/>
              <w:jc w:val="center"/>
              <w:rPr>
                <w:rFonts w:hint="eastAsia" w:ascii="宋体" w:hAnsi="宋体"/>
                <w:color w:val="auto"/>
                <w:szCs w:val="21"/>
              </w:rPr>
            </w:pPr>
            <w:r>
              <w:rPr>
                <w:rFonts w:hint="eastAsia" w:ascii="宋体" w:hAnsi="宋体"/>
                <w:color w:val="auto"/>
                <w:szCs w:val="21"/>
              </w:rPr>
              <w:t>15</w:t>
            </w:r>
          </w:p>
        </w:tc>
        <w:tc>
          <w:tcPr>
            <w:tcW w:w="992" w:type="dxa"/>
            <w:vAlign w:val="center"/>
          </w:tcPr>
          <w:p w14:paraId="52BEAC1C">
            <w:pPr>
              <w:spacing w:line="380" w:lineRule="exact"/>
              <w:jc w:val="center"/>
              <w:rPr>
                <w:rFonts w:hint="eastAsia" w:ascii="宋体" w:hAnsi="宋体"/>
                <w:color w:val="auto"/>
                <w:szCs w:val="21"/>
              </w:rPr>
            </w:pPr>
            <w:r>
              <w:rPr>
                <w:rFonts w:hint="eastAsia" w:ascii="宋体" w:hAnsi="宋体"/>
                <w:color w:val="auto"/>
                <w:szCs w:val="21"/>
              </w:rPr>
              <w:t>32</w:t>
            </w:r>
          </w:p>
        </w:tc>
        <w:tc>
          <w:tcPr>
            <w:tcW w:w="1418" w:type="dxa"/>
            <w:vAlign w:val="center"/>
          </w:tcPr>
          <w:p w14:paraId="77DD8C6E">
            <w:pPr>
              <w:spacing w:line="380" w:lineRule="exact"/>
              <w:jc w:val="center"/>
              <w:rPr>
                <w:rFonts w:hint="eastAsia" w:ascii="宋体" w:hAnsi="宋体"/>
                <w:color w:val="auto"/>
                <w:szCs w:val="21"/>
              </w:rPr>
            </w:pPr>
            <w:r>
              <w:rPr>
                <w:rFonts w:hint="eastAsia" w:ascii="宋体" w:hAnsi="宋体"/>
                <w:color w:val="auto"/>
                <w:szCs w:val="21"/>
              </w:rPr>
              <w:t>中标公告及中标通知书</w:t>
            </w:r>
          </w:p>
        </w:tc>
        <w:tc>
          <w:tcPr>
            <w:tcW w:w="6521" w:type="dxa"/>
          </w:tcPr>
          <w:p w14:paraId="09614523">
            <w:pPr>
              <w:spacing w:line="380" w:lineRule="exact"/>
              <w:rPr>
                <w:rFonts w:hint="eastAsia" w:ascii="宋体" w:hAnsi="宋体"/>
                <w:color w:val="auto"/>
                <w:szCs w:val="21"/>
              </w:rPr>
            </w:pPr>
            <w:r>
              <w:rPr>
                <w:rFonts w:hint="eastAsia" w:ascii="宋体" w:hAnsi="宋体"/>
                <w:color w:val="auto"/>
                <w:szCs w:val="21"/>
              </w:rPr>
              <w:t>32.1采购代理机构于评标结束后两个工作日内将评标报告送交采购人，采购人应当自收到评标报告五个工作日内在评标报告推荐的中标候选人中按顺序确定中标投标人，采购代理机构在中标投标人确定之日起两个工作日内发出中标通知书，并在指定媒体上公告中标信息，</w:t>
            </w:r>
            <w:r>
              <w:rPr>
                <w:rFonts w:ascii="宋体" w:hAnsi="宋体"/>
                <w:color w:val="auto"/>
                <w:szCs w:val="21"/>
              </w:rPr>
              <w:t>中标公告期限为1个工作日</w:t>
            </w:r>
            <w:r>
              <w:rPr>
                <w:rFonts w:hint="eastAsia" w:ascii="宋体" w:hAnsi="宋体"/>
                <w:color w:val="auto"/>
                <w:szCs w:val="21"/>
              </w:rPr>
              <w:t>。</w:t>
            </w:r>
          </w:p>
          <w:p w14:paraId="73A5F5DA">
            <w:pPr>
              <w:spacing w:line="380" w:lineRule="exact"/>
              <w:rPr>
                <w:rFonts w:hint="eastAsia" w:ascii="宋体" w:hAnsi="宋体"/>
                <w:color w:val="auto"/>
                <w:szCs w:val="21"/>
              </w:rPr>
            </w:pPr>
            <w:r>
              <w:rPr>
                <w:rFonts w:hint="eastAsia" w:ascii="宋体" w:hAnsi="宋体"/>
                <w:color w:val="auto"/>
                <w:szCs w:val="21"/>
              </w:rPr>
              <w:t>32.2中标公告发布同时，采购代理机构在线向中标投标人发出中标通知书。</w:t>
            </w:r>
          </w:p>
        </w:tc>
      </w:tr>
      <w:tr w14:paraId="7E851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675" w:type="dxa"/>
            <w:vAlign w:val="center"/>
          </w:tcPr>
          <w:p w14:paraId="5D219ACF">
            <w:pPr>
              <w:spacing w:line="380" w:lineRule="exact"/>
              <w:jc w:val="center"/>
              <w:rPr>
                <w:rFonts w:hint="eastAsia" w:ascii="宋体" w:hAnsi="宋体"/>
                <w:color w:val="auto"/>
                <w:szCs w:val="21"/>
              </w:rPr>
            </w:pPr>
            <w:r>
              <w:rPr>
                <w:rFonts w:hint="eastAsia" w:ascii="宋体" w:hAnsi="宋体"/>
                <w:color w:val="auto"/>
                <w:szCs w:val="21"/>
              </w:rPr>
              <w:t>16</w:t>
            </w:r>
          </w:p>
        </w:tc>
        <w:tc>
          <w:tcPr>
            <w:tcW w:w="992" w:type="dxa"/>
            <w:vAlign w:val="center"/>
          </w:tcPr>
          <w:p w14:paraId="6D3CCF76">
            <w:pPr>
              <w:spacing w:line="380" w:lineRule="exact"/>
              <w:jc w:val="center"/>
              <w:rPr>
                <w:rFonts w:hint="eastAsia" w:ascii="宋体" w:hAnsi="宋体"/>
                <w:color w:val="auto"/>
                <w:szCs w:val="21"/>
              </w:rPr>
            </w:pPr>
            <w:r>
              <w:rPr>
                <w:rFonts w:hint="eastAsia" w:ascii="宋体" w:hAnsi="宋体"/>
                <w:color w:val="auto"/>
                <w:szCs w:val="21"/>
              </w:rPr>
              <w:t>33</w:t>
            </w:r>
          </w:p>
        </w:tc>
        <w:tc>
          <w:tcPr>
            <w:tcW w:w="1418" w:type="dxa"/>
            <w:vAlign w:val="center"/>
          </w:tcPr>
          <w:p w14:paraId="50EFE105">
            <w:pPr>
              <w:spacing w:line="380" w:lineRule="exact"/>
              <w:jc w:val="center"/>
              <w:rPr>
                <w:rFonts w:hint="eastAsia" w:ascii="宋体" w:hAnsi="宋体"/>
                <w:color w:val="auto"/>
                <w:szCs w:val="21"/>
              </w:rPr>
            </w:pPr>
            <w:r>
              <w:rPr>
                <w:rFonts w:hint="eastAsia" w:ascii="宋体" w:hAnsi="宋体"/>
                <w:color w:val="auto"/>
                <w:szCs w:val="21"/>
              </w:rPr>
              <w:t>履约保证金</w:t>
            </w:r>
          </w:p>
        </w:tc>
        <w:tc>
          <w:tcPr>
            <w:tcW w:w="6521" w:type="dxa"/>
          </w:tcPr>
          <w:p w14:paraId="1D986019">
            <w:pPr>
              <w:spacing w:line="380" w:lineRule="exact"/>
              <w:rPr>
                <w:rFonts w:hint="eastAsia" w:ascii="宋体" w:hAnsi="宋体" w:cs="宋体"/>
                <w:color w:val="auto"/>
                <w:szCs w:val="21"/>
              </w:rPr>
            </w:pPr>
            <w:r>
              <w:rPr>
                <w:rFonts w:hint="eastAsia" w:ascii="宋体" w:hAnsi="宋体"/>
                <w:color w:val="auto"/>
                <w:szCs w:val="21"/>
              </w:rPr>
              <w:t>33.1</w:t>
            </w:r>
            <w:r>
              <w:rPr>
                <w:rFonts w:hint="eastAsia" w:ascii="宋体" w:hAnsi="宋体" w:cs="宋体"/>
                <w:color w:val="auto"/>
                <w:szCs w:val="21"/>
              </w:rPr>
              <w:t>合同签订时，中标人应按合同金额的</w:t>
            </w:r>
            <w:r>
              <w:rPr>
                <w:rFonts w:hint="eastAsia" w:ascii="宋体" w:hAnsi="宋体" w:cs="宋体"/>
                <w:color w:val="auto"/>
                <w:szCs w:val="21"/>
                <w:u w:val="single"/>
              </w:rPr>
              <w:t xml:space="preserve">  /  </w:t>
            </w:r>
            <w:r>
              <w:rPr>
                <w:rFonts w:hint="eastAsia" w:ascii="宋体" w:hAnsi="宋体" w:cs="宋体"/>
                <w:color w:val="auto"/>
                <w:szCs w:val="21"/>
              </w:rPr>
              <w:t>%向采购人交纳履约保证金，履约保证金待履行完合同约定的权利义务事项后（中标人承诺免费保修满）且不存在争议的，采购人在30个工作日内无息返还履约保证金。</w:t>
            </w:r>
          </w:p>
          <w:p w14:paraId="79AB6C68">
            <w:pPr>
              <w:autoSpaceDE w:val="0"/>
              <w:autoSpaceDN w:val="0"/>
              <w:snapToGrid w:val="0"/>
              <w:spacing w:line="380" w:lineRule="exact"/>
              <w:textAlignment w:val="bottom"/>
              <w:rPr>
                <w:rFonts w:hint="eastAsia" w:ascii="宋体" w:hAnsi="宋体"/>
                <w:color w:val="auto"/>
                <w:szCs w:val="21"/>
              </w:rPr>
            </w:pPr>
            <w:r>
              <w:rPr>
                <w:rFonts w:hint="eastAsia" w:ascii="宋体" w:hAnsi="宋体" w:cs="宋体"/>
                <w:color w:val="auto"/>
                <w:szCs w:val="21"/>
              </w:rPr>
              <w:t>履约保证金账户：</w:t>
            </w:r>
          </w:p>
          <w:p w14:paraId="406ABD01">
            <w:pPr>
              <w:autoSpaceDE w:val="0"/>
              <w:autoSpaceDN w:val="0"/>
              <w:snapToGrid w:val="0"/>
              <w:spacing w:line="380" w:lineRule="exact"/>
              <w:textAlignment w:val="bottom"/>
              <w:rPr>
                <w:rFonts w:hint="eastAsia" w:ascii="宋体" w:hAnsi="宋体" w:cs="宋体"/>
                <w:color w:val="auto"/>
                <w:szCs w:val="21"/>
              </w:rPr>
            </w:pPr>
            <w:r>
              <w:rPr>
                <w:rFonts w:hint="eastAsia" w:ascii="宋体" w:hAnsi="宋体" w:cs="宋体"/>
                <w:color w:val="auto"/>
                <w:szCs w:val="21"/>
              </w:rPr>
              <w:t>开户名称：</w:t>
            </w:r>
            <w:r>
              <w:rPr>
                <w:rFonts w:hint="eastAsia" w:ascii="宋体" w:hAnsi="宋体" w:cs="宋体"/>
                <w:color w:val="auto"/>
                <w:szCs w:val="21"/>
                <w:u w:val="single"/>
              </w:rPr>
              <w:t xml:space="preserve">  /       </w:t>
            </w:r>
            <w:r>
              <w:rPr>
                <w:rFonts w:hint="eastAsia" w:ascii="宋体" w:hAnsi="宋体" w:cs="宋体"/>
                <w:color w:val="auto"/>
                <w:szCs w:val="21"/>
              </w:rPr>
              <w:t xml:space="preserve"> </w:t>
            </w:r>
          </w:p>
          <w:p w14:paraId="59E1A681">
            <w:pPr>
              <w:autoSpaceDE w:val="0"/>
              <w:autoSpaceDN w:val="0"/>
              <w:snapToGrid w:val="0"/>
              <w:spacing w:line="380" w:lineRule="exact"/>
              <w:textAlignment w:val="bottom"/>
              <w:rPr>
                <w:rFonts w:hint="eastAsia" w:ascii="宋体" w:hAnsi="宋体"/>
                <w:color w:val="auto"/>
                <w:szCs w:val="21"/>
              </w:rPr>
            </w:pPr>
            <w:r>
              <w:rPr>
                <w:rFonts w:hint="eastAsia" w:ascii="宋体" w:hAnsi="宋体"/>
                <w:color w:val="auto"/>
                <w:szCs w:val="21"/>
              </w:rPr>
              <w:t>开户银行：</w:t>
            </w:r>
            <w:r>
              <w:rPr>
                <w:rFonts w:hint="eastAsia" w:ascii="宋体" w:hAnsi="宋体" w:cs="宋体"/>
                <w:color w:val="auto"/>
                <w:szCs w:val="21"/>
                <w:u w:val="single"/>
              </w:rPr>
              <w:t xml:space="preserve">  / </w:t>
            </w:r>
            <w:r>
              <w:rPr>
                <w:rFonts w:hint="eastAsia" w:ascii="宋体" w:hAnsi="宋体"/>
                <w:color w:val="auto"/>
                <w:szCs w:val="21"/>
              </w:rPr>
              <w:t xml:space="preserve"> </w:t>
            </w:r>
          </w:p>
          <w:p w14:paraId="40BD8638">
            <w:pPr>
              <w:autoSpaceDE w:val="0"/>
              <w:autoSpaceDN w:val="0"/>
              <w:snapToGrid w:val="0"/>
              <w:spacing w:line="380" w:lineRule="exact"/>
              <w:textAlignment w:val="bottom"/>
              <w:rPr>
                <w:rFonts w:hint="eastAsia" w:ascii="宋体" w:hAnsi="宋体"/>
                <w:color w:val="auto"/>
                <w:szCs w:val="21"/>
              </w:rPr>
            </w:pPr>
            <w:r>
              <w:rPr>
                <w:rFonts w:hint="eastAsia" w:ascii="宋体" w:hAnsi="宋体"/>
                <w:color w:val="auto"/>
                <w:szCs w:val="21"/>
              </w:rPr>
              <w:t>账    号：</w:t>
            </w:r>
            <w:r>
              <w:rPr>
                <w:rFonts w:hint="eastAsia" w:ascii="宋体" w:hAnsi="宋体" w:cs="宋体"/>
                <w:color w:val="auto"/>
                <w:szCs w:val="21"/>
                <w:u w:val="single"/>
              </w:rPr>
              <w:t xml:space="preserve">  / </w:t>
            </w:r>
            <w:r>
              <w:rPr>
                <w:rFonts w:hint="eastAsia" w:ascii="宋体" w:hAnsi="宋体"/>
                <w:color w:val="auto"/>
                <w:szCs w:val="21"/>
              </w:rPr>
              <w:t xml:space="preserve"> </w:t>
            </w:r>
          </w:p>
          <w:p w14:paraId="41D2E6A3">
            <w:pPr>
              <w:spacing w:line="380" w:lineRule="exact"/>
              <w:rPr>
                <w:rFonts w:hint="eastAsia" w:ascii="宋体" w:hAnsi="宋体"/>
                <w:color w:val="auto"/>
                <w:szCs w:val="21"/>
              </w:rPr>
            </w:pPr>
            <w:r>
              <w:rPr>
                <w:rFonts w:hint="eastAsia" w:ascii="宋体" w:hAnsi="宋体"/>
                <w:color w:val="auto"/>
                <w:szCs w:val="21"/>
              </w:rPr>
              <w:t>33.2</w:t>
            </w:r>
            <w:r>
              <w:rPr>
                <w:rFonts w:ascii="宋体" w:hAnsi="宋体"/>
                <w:color w:val="auto"/>
                <w:szCs w:val="21"/>
              </w:rPr>
              <w:t>根据《广西壮族自治区财政厅关于贯彻落实政府采购优化营商环境百日攻坚行动方案的通知》（桂财采〔2020〕49号）及《广西保障中小企业款项支付工作方案的通知》（桂政办发〔2020〕89号）的要求，降低小微企业参与政府采购费用。本项目</w:t>
            </w:r>
            <w:r>
              <w:rPr>
                <w:rFonts w:hint="eastAsia" w:ascii="宋体" w:hAnsi="宋体"/>
                <w:color w:val="auto"/>
                <w:szCs w:val="21"/>
              </w:rPr>
              <w:t>中标投标人</w:t>
            </w:r>
            <w:r>
              <w:rPr>
                <w:rFonts w:ascii="宋体" w:hAnsi="宋体"/>
                <w:color w:val="auto"/>
                <w:szCs w:val="21"/>
              </w:rPr>
              <w:t>如为小、微企业的，则免收履约保证金。</w:t>
            </w:r>
          </w:p>
          <w:p w14:paraId="52E6E251">
            <w:pPr>
              <w:spacing w:line="380" w:lineRule="exact"/>
              <w:rPr>
                <w:rFonts w:hint="eastAsia" w:ascii="宋体" w:hAnsi="宋体"/>
                <w:color w:val="auto"/>
                <w:szCs w:val="21"/>
              </w:rPr>
            </w:pPr>
            <w:r>
              <w:rPr>
                <w:rFonts w:hint="eastAsia" w:ascii="宋体" w:hAnsi="宋体"/>
                <w:color w:val="auto"/>
                <w:szCs w:val="21"/>
              </w:rPr>
              <w:t>33.3根据《桂林市财政局关于贯彻落实政府采购优化营商环境百日攻坚行动方案的通知》（市财采〔2020〕24号）第四条的规定，履约验收完成后支付款项的项目，原则上不收取履约保证金。</w:t>
            </w:r>
            <w:r>
              <w:rPr>
                <w:rFonts w:ascii="宋体" w:hAnsi="宋体"/>
                <w:color w:val="auto"/>
                <w:szCs w:val="21"/>
              </w:rPr>
              <w:t xml:space="preserve"> </w:t>
            </w:r>
          </w:p>
        </w:tc>
      </w:tr>
      <w:tr w14:paraId="49B0B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75" w:type="dxa"/>
            <w:vAlign w:val="center"/>
          </w:tcPr>
          <w:p w14:paraId="527E6183">
            <w:pPr>
              <w:spacing w:line="380" w:lineRule="exact"/>
              <w:jc w:val="center"/>
              <w:rPr>
                <w:rFonts w:hint="eastAsia" w:ascii="宋体" w:hAnsi="宋体"/>
                <w:color w:val="auto"/>
                <w:szCs w:val="21"/>
              </w:rPr>
            </w:pPr>
            <w:r>
              <w:rPr>
                <w:rFonts w:hint="eastAsia" w:ascii="宋体" w:hAnsi="宋体"/>
                <w:color w:val="auto"/>
                <w:szCs w:val="21"/>
              </w:rPr>
              <w:t>17</w:t>
            </w:r>
          </w:p>
        </w:tc>
        <w:tc>
          <w:tcPr>
            <w:tcW w:w="992" w:type="dxa"/>
            <w:vAlign w:val="center"/>
          </w:tcPr>
          <w:p w14:paraId="556FC8E9">
            <w:pPr>
              <w:spacing w:line="380" w:lineRule="exact"/>
              <w:jc w:val="center"/>
              <w:rPr>
                <w:rFonts w:hint="eastAsia" w:ascii="宋体" w:hAnsi="宋体"/>
                <w:color w:val="auto"/>
                <w:szCs w:val="21"/>
              </w:rPr>
            </w:pPr>
            <w:r>
              <w:rPr>
                <w:rFonts w:hint="eastAsia" w:ascii="宋体" w:hAnsi="宋体"/>
                <w:color w:val="auto"/>
                <w:szCs w:val="21"/>
              </w:rPr>
              <w:t>34.1</w:t>
            </w:r>
          </w:p>
        </w:tc>
        <w:tc>
          <w:tcPr>
            <w:tcW w:w="1418" w:type="dxa"/>
            <w:vAlign w:val="center"/>
          </w:tcPr>
          <w:p w14:paraId="3C7B892E">
            <w:pPr>
              <w:spacing w:line="380" w:lineRule="exact"/>
              <w:jc w:val="center"/>
              <w:rPr>
                <w:rFonts w:hint="eastAsia" w:ascii="宋体" w:hAnsi="宋体"/>
                <w:color w:val="auto"/>
                <w:szCs w:val="21"/>
              </w:rPr>
            </w:pPr>
            <w:r>
              <w:rPr>
                <w:rFonts w:hint="eastAsia" w:ascii="宋体" w:hAnsi="宋体"/>
                <w:color w:val="auto"/>
                <w:szCs w:val="21"/>
              </w:rPr>
              <w:t>签订合同时间</w:t>
            </w:r>
          </w:p>
        </w:tc>
        <w:tc>
          <w:tcPr>
            <w:tcW w:w="6521" w:type="dxa"/>
            <w:vAlign w:val="center"/>
          </w:tcPr>
          <w:p w14:paraId="6A4A912F">
            <w:pPr>
              <w:spacing w:line="380" w:lineRule="exact"/>
              <w:rPr>
                <w:rFonts w:hint="eastAsia" w:ascii="宋体" w:hAnsi="宋体"/>
                <w:color w:val="auto"/>
                <w:szCs w:val="21"/>
              </w:rPr>
            </w:pPr>
            <w:r>
              <w:rPr>
                <w:rFonts w:hint="eastAsia" w:ascii="宋体" w:hAnsi="宋体" w:cs="宋体"/>
                <w:color w:val="auto"/>
                <w:szCs w:val="21"/>
              </w:rPr>
              <w:t>中标通知书发出之日八个工作日内。中标投标人领取中标通知书后，应按规定与采购人签订合同。</w:t>
            </w:r>
          </w:p>
        </w:tc>
      </w:tr>
      <w:tr w14:paraId="4CBC8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675" w:type="dxa"/>
            <w:vAlign w:val="center"/>
          </w:tcPr>
          <w:p w14:paraId="1AB737AF">
            <w:pPr>
              <w:spacing w:line="380" w:lineRule="exact"/>
              <w:jc w:val="center"/>
              <w:rPr>
                <w:rFonts w:hint="eastAsia" w:ascii="宋体" w:hAnsi="宋体"/>
                <w:color w:val="auto"/>
                <w:szCs w:val="21"/>
              </w:rPr>
            </w:pPr>
            <w:r>
              <w:rPr>
                <w:rFonts w:hint="eastAsia" w:ascii="宋体" w:hAnsi="宋体"/>
                <w:color w:val="auto"/>
                <w:szCs w:val="21"/>
              </w:rPr>
              <w:t>18</w:t>
            </w:r>
          </w:p>
        </w:tc>
        <w:tc>
          <w:tcPr>
            <w:tcW w:w="992" w:type="dxa"/>
            <w:vAlign w:val="center"/>
          </w:tcPr>
          <w:p w14:paraId="01DFFA43">
            <w:pPr>
              <w:spacing w:line="380" w:lineRule="exact"/>
              <w:jc w:val="center"/>
              <w:rPr>
                <w:rFonts w:hint="eastAsia" w:ascii="宋体" w:hAnsi="宋体"/>
                <w:color w:val="auto"/>
                <w:szCs w:val="21"/>
              </w:rPr>
            </w:pPr>
            <w:r>
              <w:rPr>
                <w:rFonts w:hint="eastAsia" w:ascii="宋体" w:hAnsi="宋体"/>
                <w:color w:val="auto"/>
                <w:szCs w:val="21"/>
              </w:rPr>
              <w:t>34.3</w:t>
            </w:r>
          </w:p>
        </w:tc>
        <w:tc>
          <w:tcPr>
            <w:tcW w:w="1418" w:type="dxa"/>
            <w:vAlign w:val="center"/>
          </w:tcPr>
          <w:p w14:paraId="08908CF9">
            <w:pPr>
              <w:spacing w:line="380" w:lineRule="exact"/>
              <w:jc w:val="center"/>
              <w:rPr>
                <w:rFonts w:hint="eastAsia" w:ascii="宋体" w:hAnsi="宋体"/>
                <w:color w:val="auto"/>
                <w:szCs w:val="21"/>
              </w:rPr>
            </w:pPr>
            <w:r>
              <w:rPr>
                <w:rFonts w:hint="eastAsia" w:ascii="宋体" w:hAnsi="宋体"/>
                <w:color w:val="auto"/>
                <w:szCs w:val="21"/>
              </w:rPr>
              <w:t>合同备案存档</w:t>
            </w:r>
          </w:p>
        </w:tc>
        <w:tc>
          <w:tcPr>
            <w:tcW w:w="6521" w:type="dxa"/>
            <w:vAlign w:val="center"/>
          </w:tcPr>
          <w:p w14:paraId="2C7CDB84">
            <w:pPr>
              <w:autoSpaceDE w:val="0"/>
              <w:autoSpaceDN w:val="0"/>
              <w:snapToGrid w:val="0"/>
              <w:spacing w:line="380" w:lineRule="exact"/>
              <w:textAlignment w:val="bottom"/>
              <w:rPr>
                <w:rFonts w:hint="eastAsia" w:ascii="宋体" w:hAnsi="宋体"/>
                <w:b/>
                <w:color w:val="auto"/>
                <w:szCs w:val="21"/>
              </w:rPr>
            </w:pPr>
            <w:r>
              <w:rPr>
                <w:rFonts w:hint="eastAsia" w:ascii="宋体" w:hAnsi="宋体"/>
                <w:color w:val="auto"/>
                <w:szCs w:val="21"/>
              </w:rPr>
              <w:t>政府采购合同双方自签订之日起1个工作日内将合同原件壹份交采购代理机构存档。采购代理机构将政府采购合同在省级以上人民政府财政部门指定媒体上公告并在广西政府采购云系统中进行备案。</w:t>
            </w:r>
          </w:p>
          <w:p w14:paraId="4CFE241F">
            <w:pPr>
              <w:spacing w:line="380" w:lineRule="exact"/>
              <w:rPr>
                <w:rFonts w:hint="eastAsia" w:ascii="宋体" w:hAnsi="宋体"/>
                <w:color w:val="auto"/>
                <w:szCs w:val="21"/>
              </w:rPr>
            </w:pPr>
            <w:r>
              <w:rPr>
                <w:rFonts w:hint="eastAsia" w:ascii="宋体" w:hAnsi="宋体"/>
                <w:b/>
                <w:color w:val="auto"/>
                <w:szCs w:val="21"/>
              </w:rPr>
              <w:t>注：未在广西政府采购云注册的成交投标人可在发出成交通知后登录广西政府采购云进行注册，如在操作过程中遇到问题或者需要技术支持，请致电广西政府采购云客服热线：95763。</w:t>
            </w:r>
          </w:p>
        </w:tc>
      </w:tr>
      <w:tr w14:paraId="59AF1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675" w:type="dxa"/>
            <w:vAlign w:val="center"/>
          </w:tcPr>
          <w:p w14:paraId="779F6272">
            <w:pPr>
              <w:spacing w:line="380" w:lineRule="exact"/>
              <w:jc w:val="center"/>
              <w:rPr>
                <w:rFonts w:hint="eastAsia" w:ascii="宋体" w:hAnsi="宋体"/>
                <w:color w:val="auto"/>
                <w:szCs w:val="21"/>
              </w:rPr>
            </w:pPr>
            <w:r>
              <w:rPr>
                <w:rFonts w:hint="eastAsia" w:ascii="宋体" w:hAnsi="宋体"/>
                <w:color w:val="auto"/>
                <w:szCs w:val="21"/>
              </w:rPr>
              <w:t>19</w:t>
            </w:r>
          </w:p>
        </w:tc>
        <w:tc>
          <w:tcPr>
            <w:tcW w:w="992" w:type="dxa"/>
            <w:vAlign w:val="center"/>
          </w:tcPr>
          <w:p w14:paraId="3890A893">
            <w:pPr>
              <w:spacing w:line="380" w:lineRule="exact"/>
              <w:jc w:val="center"/>
              <w:rPr>
                <w:rFonts w:hint="eastAsia" w:ascii="宋体" w:hAnsi="宋体"/>
                <w:color w:val="auto"/>
                <w:szCs w:val="21"/>
              </w:rPr>
            </w:pPr>
            <w:r>
              <w:rPr>
                <w:rFonts w:hint="eastAsia" w:ascii="宋体" w:hAnsi="宋体"/>
                <w:color w:val="auto"/>
                <w:szCs w:val="21"/>
              </w:rPr>
              <w:t>35</w:t>
            </w:r>
          </w:p>
        </w:tc>
        <w:tc>
          <w:tcPr>
            <w:tcW w:w="1418" w:type="dxa"/>
            <w:vAlign w:val="center"/>
          </w:tcPr>
          <w:p w14:paraId="209FDE4E">
            <w:pPr>
              <w:spacing w:line="380" w:lineRule="exact"/>
              <w:jc w:val="center"/>
              <w:rPr>
                <w:rFonts w:hint="eastAsia" w:ascii="宋体" w:hAnsi="宋体"/>
                <w:color w:val="auto"/>
                <w:szCs w:val="21"/>
              </w:rPr>
            </w:pPr>
            <w:r>
              <w:rPr>
                <w:rFonts w:hint="eastAsia" w:ascii="宋体" w:hAnsi="宋体"/>
                <w:color w:val="auto"/>
                <w:szCs w:val="21"/>
              </w:rPr>
              <w:t>招标代理服务费</w:t>
            </w:r>
          </w:p>
        </w:tc>
        <w:tc>
          <w:tcPr>
            <w:tcW w:w="6521" w:type="dxa"/>
            <w:vAlign w:val="center"/>
          </w:tcPr>
          <w:p w14:paraId="30201414">
            <w:pPr>
              <w:spacing w:line="380" w:lineRule="exact"/>
              <w:rPr>
                <w:rFonts w:hint="eastAsia" w:ascii="宋体" w:hAnsi="宋体"/>
                <w:color w:val="auto"/>
                <w:szCs w:val="21"/>
              </w:rPr>
            </w:pPr>
            <w:r>
              <w:rPr>
                <w:rFonts w:hint="eastAsia" w:ascii="宋体" w:hAnsi="宋体" w:cs="宋体"/>
                <w:color w:val="auto"/>
                <w:szCs w:val="21"/>
              </w:rPr>
              <w:t>本项目的采购代理服务费：参照计价格[2002]1980号《招标代理服务收费管理暂行办法》货物类收费标准计取。在领取中标通知书前，由中标人向</w:t>
            </w:r>
            <w:r>
              <w:rPr>
                <w:rFonts w:hint="eastAsia" w:ascii="宋体" w:hAnsi="宋体" w:cs="宋体"/>
                <w:color w:val="auto"/>
                <w:spacing w:val="-4"/>
              </w:rPr>
              <w:t>广西晟昌工程科技有限责任公司</w:t>
            </w:r>
            <w:r>
              <w:rPr>
                <w:rFonts w:hint="eastAsia" w:ascii="宋体" w:hAnsi="宋体" w:cs="宋体"/>
                <w:color w:val="auto"/>
                <w:szCs w:val="21"/>
              </w:rPr>
              <w:t>一次性付清代理服务费。</w:t>
            </w:r>
          </w:p>
        </w:tc>
      </w:tr>
      <w:tr w14:paraId="1E17D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675" w:type="dxa"/>
            <w:vAlign w:val="center"/>
          </w:tcPr>
          <w:p w14:paraId="2C197C35">
            <w:pPr>
              <w:spacing w:line="380" w:lineRule="exact"/>
              <w:jc w:val="center"/>
              <w:rPr>
                <w:rFonts w:hint="eastAsia" w:ascii="宋体" w:hAnsi="宋体"/>
                <w:color w:val="auto"/>
                <w:szCs w:val="21"/>
              </w:rPr>
            </w:pPr>
            <w:r>
              <w:rPr>
                <w:rFonts w:hint="eastAsia" w:ascii="宋体" w:hAnsi="宋体"/>
                <w:color w:val="auto"/>
                <w:szCs w:val="21"/>
              </w:rPr>
              <w:t>20</w:t>
            </w:r>
          </w:p>
        </w:tc>
        <w:tc>
          <w:tcPr>
            <w:tcW w:w="992" w:type="dxa"/>
            <w:vAlign w:val="center"/>
          </w:tcPr>
          <w:p w14:paraId="68BED871">
            <w:pPr>
              <w:spacing w:line="380" w:lineRule="exact"/>
              <w:jc w:val="center"/>
              <w:rPr>
                <w:rFonts w:hint="eastAsia" w:ascii="宋体" w:hAnsi="宋体"/>
                <w:color w:val="auto"/>
                <w:szCs w:val="21"/>
              </w:rPr>
            </w:pPr>
            <w:r>
              <w:rPr>
                <w:rFonts w:hint="eastAsia" w:ascii="宋体" w:hAnsi="宋体"/>
                <w:color w:val="auto"/>
                <w:szCs w:val="21"/>
              </w:rPr>
              <w:t>37</w:t>
            </w:r>
          </w:p>
        </w:tc>
        <w:tc>
          <w:tcPr>
            <w:tcW w:w="1418" w:type="dxa"/>
            <w:vAlign w:val="center"/>
          </w:tcPr>
          <w:p w14:paraId="7C82430F">
            <w:pPr>
              <w:spacing w:line="380" w:lineRule="exact"/>
              <w:jc w:val="center"/>
              <w:rPr>
                <w:rFonts w:hint="eastAsia" w:ascii="宋体" w:hAnsi="宋体"/>
                <w:color w:val="auto"/>
                <w:szCs w:val="21"/>
              </w:rPr>
            </w:pPr>
            <w:r>
              <w:rPr>
                <w:rFonts w:hint="eastAsia" w:ascii="宋体" w:hAnsi="宋体"/>
                <w:color w:val="auto"/>
                <w:szCs w:val="21"/>
              </w:rPr>
              <w:t>解释权</w:t>
            </w:r>
          </w:p>
        </w:tc>
        <w:tc>
          <w:tcPr>
            <w:tcW w:w="6521" w:type="dxa"/>
            <w:vAlign w:val="center"/>
          </w:tcPr>
          <w:p w14:paraId="2C5398C0">
            <w:pPr>
              <w:spacing w:line="380" w:lineRule="exact"/>
              <w:rPr>
                <w:rFonts w:hint="eastAsia" w:ascii="宋体" w:hAnsi="宋体"/>
                <w:color w:val="auto"/>
                <w:szCs w:val="21"/>
              </w:rPr>
            </w:pPr>
            <w:r>
              <w:rPr>
                <w:rFonts w:hint="eastAsia" w:ascii="宋体" w:hAnsi="宋体"/>
                <w:color w:val="auto"/>
                <w:szCs w:val="21"/>
              </w:rPr>
              <w:t>本招标文件是根据《中华人民共和国政府采购法》、《中华人民共和国政府采购法实施条例》及</w:t>
            </w:r>
            <w:r>
              <w:rPr>
                <w:rStyle w:val="53"/>
                <w:rFonts w:ascii="宋体" w:hAnsi="宋体" w:cs="Arial"/>
                <w:b w:val="0"/>
                <w:color w:val="auto"/>
                <w:szCs w:val="21"/>
              </w:rPr>
              <w:t>财政部令第87号</w:t>
            </w:r>
            <w:r>
              <w:rPr>
                <w:rFonts w:ascii="宋体" w:hAnsi="宋体" w:cs="Arial"/>
                <w:color w:val="auto"/>
                <w:szCs w:val="21"/>
              </w:rPr>
              <w:t>《政府采购货物和服务招标投标管理办法》</w:t>
            </w:r>
            <w:r>
              <w:rPr>
                <w:rFonts w:hint="eastAsia" w:ascii="宋体" w:hAnsi="宋体"/>
                <w:color w:val="auto"/>
                <w:szCs w:val="21"/>
              </w:rPr>
              <w:t>等相关规定编制，本招标文件的解释权属于采购代理机构。</w:t>
            </w:r>
          </w:p>
        </w:tc>
      </w:tr>
      <w:tr w14:paraId="01D2B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675" w:type="dxa"/>
            <w:vAlign w:val="center"/>
          </w:tcPr>
          <w:p w14:paraId="12FE95CF">
            <w:pPr>
              <w:spacing w:line="380" w:lineRule="exact"/>
              <w:jc w:val="center"/>
              <w:rPr>
                <w:rFonts w:hint="eastAsia" w:ascii="宋体" w:hAnsi="宋体"/>
                <w:color w:val="auto"/>
                <w:szCs w:val="21"/>
              </w:rPr>
            </w:pPr>
            <w:r>
              <w:rPr>
                <w:rFonts w:hint="eastAsia" w:ascii="宋体" w:hAnsi="宋体"/>
                <w:color w:val="auto"/>
                <w:szCs w:val="21"/>
              </w:rPr>
              <w:t>21</w:t>
            </w:r>
          </w:p>
        </w:tc>
        <w:tc>
          <w:tcPr>
            <w:tcW w:w="992" w:type="dxa"/>
            <w:vAlign w:val="center"/>
          </w:tcPr>
          <w:p w14:paraId="4BC5D46E">
            <w:pPr>
              <w:spacing w:line="380" w:lineRule="exact"/>
              <w:jc w:val="center"/>
              <w:rPr>
                <w:rFonts w:hint="eastAsia" w:ascii="宋体" w:hAnsi="宋体"/>
                <w:color w:val="auto"/>
                <w:szCs w:val="21"/>
              </w:rPr>
            </w:pPr>
            <w:r>
              <w:rPr>
                <w:rFonts w:hint="eastAsia" w:ascii="宋体" w:hAnsi="宋体"/>
                <w:color w:val="auto"/>
                <w:szCs w:val="21"/>
              </w:rPr>
              <w:t>38</w:t>
            </w:r>
          </w:p>
        </w:tc>
        <w:tc>
          <w:tcPr>
            <w:tcW w:w="1418" w:type="dxa"/>
            <w:vAlign w:val="center"/>
          </w:tcPr>
          <w:p w14:paraId="7F735C92">
            <w:pPr>
              <w:spacing w:line="380" w:lineRule="exact"/>
              <w:jc w:val="center"/>
              <w:rPr>
                <w:rFonts w:hint="eastAsia" w:ascii="宋体" w:hAnsi="宋体"/>
                <w:color w:val="auto"/>
                <w:position w:val="10"/>
                <w:szCs w:val="21"/>
              </w:rPr>
            </w:pPr>
            <w:r>
              <w:rPr>
                <w:rFonts w:hint="eastAsia" w:ascii="宋体" w:hAnsi="宋体"/>
                <w:color w:val="auto"/>
                <w:szCs w:val="21"/>
              </w:rPr>
              <w:t>监督管理机构</w:t>
            </w:r>
          </w:p>
        </w:tc>
        <w:tc>
          <w:tcPr>
            <w:tcW w:w="6521" w:type="dxa"/>
            <w:vAlign w:val="center"/>
          </w:tcPr>
          <w:p w14:paraId="07B33A5D">
            <w:pPr>
              <w:spacing w:line="380" w:lineRule="exact"/>
              <w:rPr>
                <w:rFonts w:hint="eastAsia" w:ascii="宋体" w:hAnsi="宋体"/>
                <w:color w:val="auto"/>
                <w:szCs w:val="21"/>
              </w:rPr>
            </w:pPr>
            <w:r>
              <w:rPr>
                <w:rFonts w:hint="eastAsia" w:ascii="宋体" w:hAnsi="宋体" w:cs="宋体"/>
                <w:color w:val="auto"/>
                <w:szCs w:val="21"/>
              </w:rPr>
              <w:t>桂林市财政局    电话：0773-2862142</w:t>
            </w:r>
          </w:p>
        </w:tc>
      </w:tr>
    </w:tbl>
    <w:p w14:paraId="0B979BFB">
      <w:pPr>
        <w:widowControl/>
        <w:jc w:val="left"/>
        <w:rPr>
          <w:rFonts w:hint="eastAsia" w:ascii="宋体" w:hAnsi="宋体"/>
          <w:b/>
          <w:color w:val="auto"/>
          <w:sz w:val="28"/>
          <w:szCs w:val="28"/>
        </w:rPr>
      </w:pPr>
    </w:p>
    <w:p w14:paraId="2182B687">
      <w:pPr>
        <w:spacing w:line="360" w:lineRule="auto"/>
        <w:jc w:val="center"/>
        <w:outlineLvl w:val="0"/>
        <w:rPr>
          <w:rFonts w:hint="eastAsia" w:ascii="宋体" w:hAnsi="宋体"/>
          <w:b/>
          <w:color w:val="auto"/>
          <w:sz w:val="28"/>
          <w:szCs w:val="28"/>
        </w:rPr>
      </w:pPr>
      <w:bookmarkStart w:id="2" w:name="_Toc90288698"/>
      <w:r>
        <w:rPr>
          <w:rFonts w:hint="eastAsia" w:ascii="宋体" w:hAnsi="宋体"/>
          <w:b/>
          <w:color w:val="auto"/>
          <w:sz w:val="28"/>
          <w:szCs w:val="28"/>
        </w:rPr>
        <w:br w:type="page"/>
      </w:r>
      <w:r>
        <w:rPr>
          <w:rFonts w:hint="eastAsia" w:ascii="宋体" w:hAnsi="宋体"/>
          <w:b/>
          <w:color w:val="auto"/>
          <w:sz w:val="28"/>
          <w:szCs w:val="28"/>
        </w:rPr>
        <w:t>一、总则</w:t>
      </w:r>
      <w:bookmarkEnd w:id="2"/>
      <w:bookmarkStart w:id="45" w:name="_GoBack"/>
      <w:bookmarkEnd w:id="45"/>
    </w:p>
    <w:p w14:paraId="2EA116A3">
      <w:pPr>
        <w:spacing w:line="360" w:lineRule="auto"/>
        <w:ind w:firstLine="413" w:firstLineChars="196"/>
        <w:rPr>
          <w:rFonts w:hint="eastAsia" w:ascii="宋体" w:hAnsi="宋体"/>
          <w:b/>
          <w:color w:val="auto"/>
          <w:szCs w:val="21"/>
        </w:rPr>
      </w:pPr>
      <w:r>
        <w:rPr>
          <w:rFonts w:hint="eastAsia" w:ascii="宋体" w:hAnsi="宋体"/>
          <w:b/>
          <w:color w:val="auto"/>
          <w:szCs w:val="21"/>
        </w:rPr>
        <w:t>1.项目名称及项目编号</w:t>
      </w:r>
    </w:p>
    <w:p w14:paraId="74EE2A87">
      <w:pPr>
        <w:spacing w:line="360" w:lineRule="auto"/>
        <w:ind w:firstLine="617" w:firstLineChars="294"/>
        <w:rPr>
          <w:rFonts w:hint="eastAsia" w:ascii="宋体" w:hAnsi="宋体"/>
          <w:color w:val="auto"/>
          <w:szCs w:val="21"/>
        </w:rPr>
      </w:pPr>
      <w:r>
        <w:rPr>
          <w:rFonts w:hint="eastAsia" w:ascii="宋体" w:hAnsi="宋体"/>
          <w:color w:val="auto"/>
          <w:szCs w:val="21"/>
        </w:rPr>
        <w:t>项目名称：桂林市第二技工学校高技能人才培训基地建设项目设备采购</w:t>
      </w:r>
    </w:p>
    <w:p w14:paraId="6FE26989">
      <w:pPr>
        <w:spacing w:line="360" w:lineRule="auto"/>
        <w:ind w:firstLine="617" w:firstLineChars="294"/>
        <w:rPr>
          <w:rFonts w:hint="eastAsia" w:ascii="宋体" w:hAnsi="宋体"/>
          <w:b/>
          <w:color w:val="auto"/>
          <w:szCs w:val="21"/>
        </w:rPr>
      </w:pPr>
      <w:r>
        <w:rPr>
          <w:rFonts w:hint="eastAsia" w:ascii="宋体" w:hAnsi="宋体"/>
          <w:color w:val="auto"/>
          <w:szCs w:val="21"/>
        </w:rPr>
        <w:t>项目编号：</w:t>
      </w:r>
      <w:r>
        <w:rPr>
          <w:color w:val="auto"/>
        </w:rPr>
        <w:fldChar w:fldCharType="begin"/>
      </w:r>
      <w:r>
        <w:rPr>
          <w:color w:val="auto"/>
        </w:rPr>
        <w:instrText xml:space="preserve"> HYPERLINK "https://www.gcy.zfcg.gxzf.gov.cn/project-center/_procurement_/project-result-detail/7178423727570288644" \t "https://www.gcy.zfcg.gxzf.gov.cn/project-center/_procurement_/self-project/_blank" </w:instrText>
      </w:r>
      <w:r>
        <w:rPr>
          <w:color w:val="auto"/>
        </w:rPr>
        <w:fldChar w:fldCharType="separate"/>
      </w:r>
      <w:r>
        <w:rPr>
          <w:rFonts w:hint="eastAsia" w:ascii="宋体" w:hAnsi="宋体"/>
          <w:color w:val="auto"/>
          <w:szCs w:val="21"/>
        </w:rPr>
        <w:t>GLZC2025-G1-990248-GXSC</w:t>
      </w:r>
      <w:r>
        <w:rPr>
          <w:rFonts w:hint="eastAsia" w:ascii="宋体" w:hAnsi="宋体"/>
          <w:color w:val="auto"/>
          <w:szCs w:val="21"/>
        </w:rPr>
        <w:fldChar w:fldCharType="end"/>
      </w:r>
    </w:p>
    <w:p w14:paraId="5BF7AD92">
      <w:pPr>
        <w:spacing w:line="360" w:lineRule="auto"/>
        <w:ind w:firstLine="413" w:firstLineChars="196"/>
        <w:rPr>
          <w:rFonts w:hint="eastAsia" w:ascii="宋体" w:hAnsi="宋体"/>
          <w:b/>
          <w:color w:val="auto"/>
          <w:szCs w:val="21"/>
        </w:rPr>
      </w:pPr>
      <w:r>
        <w:rPr>
          <w:rFonts w:hint="eastAsia" w:ascii="宋体" w:hAnsi="宋体"/>
          <w:b/>
          <w:color w:val="auto"/>
          <w:szCs w:val="21"/>
        </w:rPr>
        <w:t>2.适应范围</w:t>
      </w:r>
    </w:p>
    <w:p w14:paraId="47CA9D2B">
      <w:pPr>
        <w:spacing w:line="360" w:lineRule="auto"/>
        <w:ind w:firstLine="435"/>
        <w:rPr>
          <w:rFonts w:hint="eastAsia" w:ascii="宋体" w:hAnsi="宋体"/>
          <w:color w:val="auto"/>
          <w:szCs w:val="21"/>
        </w:rPr>
      </w:pPr>
      <w:r>
        <w:rPr>
          <w:rFonts w:hint="eastAsia" w:ascii="宋体" w:hAnsi="宋体"/>
          <w:color w:val="auto"/>
          <w:szCs w:val="21"/>
        </w:rPr>
        <w:t>本招标文件适用本招标采购项目的招标、投标、评标、合同履约、验收、付款等行为（法律、法规另有规定的，从其规定）。</w:t>
      </w:r>
    </w:p>
    <w:p w14:paraId="42FC6060">
      <w:pPr>
        <w:spacing w:line="360" w:lineRule="auto"/>
        <w:ind w:firstLine="435"/>
        <w:rPr>
          <w:rFonts w:hint="eastAsia" w:ascii="宋体" w:hAnsi="宋体"/>
          <w:b/>
          <w:color w:val="auto"/>
          <w:szCs w:val="21"/>
        </w:rPr>
      </w:pPr>
      <w:r>
        <w:rPr>
          <w:rFonts w:hint="eastAsia" w:ascii="宋体" w:hAnsi="宋体"/>
          <w:b/>
          <w:color w:val="auto"/>
          <w:szCs w:val="21"/>
        </w:rPr>
        <w:t>3.定义</w:t>
      </w:r>
    </w:p>
    <w:p w14:paraId="670A0FF9">
      <w:pPr>
        <w:spacing w:line="360" w:lineRule="auto"/>
        <w:ind w:firstLine="435"/>
        <w:rPr>
          <w:rFonts w:hint="eastAsia" w:ascii="宋体" w:hAnsi="宋体"/>
          <w:color w:val="auto"/>
          <w:szCs w:val="21"/>
        </w:rPr>
      </w:pPr>
      <w:r>
        <w:rPr>
          <w:rFonts w:hint="eastAsia" w:ascii="宋体" w:hAnsi="宋体"/>
          <w:color w:val="auto"/>
          <w:szCs w:val="21"/>
        </w:rPr>
        <w:t>3.1“投标人”系指响应招标、参加投标竞争的法人、其他组织或者自然人。</w:t>
      </w:r>
    </w:p>
    <w:p w14:paraId="0813C024">
      <w:pPr>
        <w:spacing w:line="360" w:lineRule="auto"/>
        <w:ind w:firstLine="435"/>
        <w:rPr>
          <w:rFonts w:hint="eastAsia" w:ascii="宋体" w:hAnsi="宋体"/>
          <w:color w:val="auto"/>
          <w:szCs w:val="21"/>
        </w:rPr>
      </w:pPr>
      <w:r>
        <w:rPr>
          <w:rFonts w:hint="eastAsia" w:ascii="宋体" w:hAnsi="宋体"/>
          <w:color w:val="auto"/>
          <w:szCs w:val="21"/>
        </w:rPr>
        <w:t>3.2“货物”系指按招标文件规定，投标人须向采购人提供的一切设备、保险、税金、备品备件、工具、手册及其它有关技术资料和材料。</w:t>
      </w:r>
    </w:p>
    <w:p w14:paraId="78BEE224">
      <w:pPr>
        <w:spacing w:line="360" w:lineRule="auto"/>
        <w:ind w:firstLine="435"/>
        <w:rPr>
          <w:rFonts w:hint="eastAsia" w:ascii="宋体" w:hAnsi="宋体"/>
          <w:color w:val="auto"/>
          <w:szCs w:val="21"/>
        </w:rPr>
      </w:pPr>
      <w:r>
        <w:rPr>
          <w:rFonts w:hint="eastAsia" w:ascii="宋体" w:hAnsi="宋体"/>
          <w:color w:val="auto"/>
          <w:szCs w:val="21"/>
        </w:rPr>
        <w:t>3.3“服务”系指按招标文件规定，投标人须承担的安装、调试、技术协助、校准、培训、技术指导以及其他类似的义务。</w:t>
      </w:r>
    </w:p>
    <w:p w14:paraId="4DF680B4">
      <w:pPr>
        <w:spacing w:line="360" w:lineRule="auto"/>
        <w:ind w:firstLine="435"/>
        <w:rPr>
          <w:rFonts w:hint="eastAsia" w:ascii="宋体" w:hAnsi="宋体"/>
          <w:color w:val="auto"/>
          <w:szCs w:val="21"/>
        </w:rPr>
      </w:pPr>
      <w:r>
        <w:rPr>
          <w:rFonts w:hint="eastAsia" w:ascii="宋体" w:hAnsi="宋体"/>
          <w:color w:val="auto"/>
          <w:szCs w:val="21"/>
        </w:rPr>
        <w:t>3.4“项目”系指按招标文件规定向采购人提供的货物和服务。</w:t>
      </w:r>
    </w:p>
    <w:p w14:paraId="04B45C86">
      <w:pPr>
        <w:spacing w:line="360" w:lineRule="auto"/>
        <w:ind w:firstLine="435"/>
        <w:rPr>
          <w:rFonts w:hint="eastAsia" w:ascii="宋体" w:hAnsi="宋体"/>
          <w:color w:val="auto"/>
          <w:szCs w:val="21"/>
        </w:rPr>
      </w:pPr>
      <w:r>
        <w:rPr>
          <w:rFonts w:hint="eastAsia" w:ascii="宋体" w:hAnsi="宋体"/>
          <w:color w:val="auto"/>
          <w:szCs w:val="21"/>
        </w:rPr>
        <w:t>3.5“书面形式”包括信函、传真、电报等。</w:t>
      </w:r>
    </w:p>
    <w:p w14:paraId="164E4012">
      <w:pPr>
        <w:spacing w:line="360" w:lineRule="auto"/>
        <w:ind w:firstLine="435"/>
        <w:rPr>
          <w:rFonts w:hint="eastAsia" w:ascii="宋体" w:hAnsi="宋体"/>
          <w:color w:val="auto"/>
          <w:szCs w:val="21"/>
        </w:rPr>
      </w:pPr>
      <w:r>
        <w:rPr>
          <w:rFonts w:hint="eastAsia" w:ascii="宋体" w:hAnsi="宋体"/>
          <w:b/>
          <w:color w:val="auto"/>
          <w:szCs w:val="21"/>
        </w:rPr>
        <w:t>3.6实质性要求：第三章《货物采购需求》中标注★号项的条款及商务要求均为实质性要求，投标时必须响应。</w:t>
      </w:r>
    </w:p>
    <w:p w14:paraId="52FCBFA4">
      <w:pPr>
        <w:spacing w:line="360" w:lineRule="auto"/>
        <w:ind w:firstLine="435"/>
        <w:rPr>
          <w:rFonts w:hint="eastAsia" w:ascii="宋体" w:hAnsi="宋体"/>
          <w:b/>
          <w:color w:val="auto"/>
          <w:szCs w:val="21"/>
        </w:rPr>
      </w:pPr>
      <w:r>
        <w:rPr>
          <w:rFonts w:hint="eastAsia" w:ascii="宋体" w:hAnsi="宋体"/>
          <w:b/>
          <w:color w:val="auto"/>
          <w:szCs w:val="21"/>
        </w:rPr>
        <w:t>4.招标方式</w:t>
      </w:r>
    </w:p>
    <w:p w14:paraId="4550CCE5">
      <w:pPr>
        <w:spacing w:line="360" w:lineRule="auto"/>
        <w:ind w:firstLine="435"/>
        <w:rPr>
          <w:rFonts w:hint="eastAsia" w:ascii="宋体" w:hAnsi="宋体"/>
          <w:color w:val="auto"/>
          <w:szCs w:val="21"/>
        </w:rPr>
      </w:pPr>
      <w:r>
        <w:rPr>
          <w:rFonts w:hint="eastAsia" w:ascii="宋体" w:hAnsi="宋体"/>
          <w:color w:val="auto"/>
          <w:szCs w:val="21"/>
        </w:rPr>
        <w:t>公开招标方式。</w:t>
      </w:r>
    </w:p>
    <w:p w14:paraId="47D1509F">
      <w:pPr>
        <w:spacing w:line="360" w:lineRule="auto"/>
        <w:ind w:firstLine="435"/>
        <w:rPr>
          <w:rFonts w:hint="eastAsia" w:ascii="宋体" w:hAnsi="宋体"/>
          <w:b/>
          <w:color w:val="auto"/>
          <w:szCs w:val="21"/>
        </w:rPr>
      </w:pPr>
      <w:r>
        <w:rPr>
          <w:rFonts w:hint="eastAsia" w:ascii="宋体" w:hAnsi="宋体"/>
          <w:b/>
          <w:color w:val="auto"/>
          <w:szCs w:val="21"/>
        </w:rPr>
        <w:t>5.投标人资格</w:t>
      </w:r>
    </w:p>
    <w:p w14:paraId="440EBF06">
      <w:pPr>
        <w:spacing w:line="360" w:lineRule="auto"/>
        <w:ind w:firstLine="435"/>
        <w:rPr>
          <w:rFonts w:hint="eastAsia" w:ascii="宋体" w:hAnsi="宋体"/>
          <w:color w:val="auto"/>
          <w:szCs w:val="21"/>
        </w:rPr>
      </w:pPr>
      <w:r>
        <w:rPr>
          <w:rFonts w:hint="eastAsia" w:ascii="宋体" w:hAnsi="宋体"/>
          <w:color w:val="auto"/>
          <w:szCs w:val="21"/>
        </w:rPr>
        <w:t>详见《投标人须知前附表》第2条。</w:t>
      </w:r>
    </w:p>
    <w:p w14:paraId="04C32C2A">
      <w:pPr>
        <w:spacing w:line="360" w:lineRule="auto"/>
        <w:ind w:firstLine="435"/>
        <w:rPr>
          <w:rFonts w:hint="eastAsia" w:ascii="宋体" w:hAnsi="宋体"/>
          <w:b/>
          <w:color w:val="auto"/>
          <w:szCs w:val="21"/>
        </w:rPr>
      </w:pPr>
      <w:r>
        <w:rPr>
          <w:rFonts w:hint="eastAsia" w:ascii="宋体" w:hAnsi="宋体"/>
          <w:b/>
          <w:color w:val="auto"/>
          <w:szCs w:val="21"/>
        </w:rPr>
        <w:t>6.投标费用</w:t>
      </w:r>
    </w:p>
    <w:p w14:paraId="4E81F8B6">
      <w:pPr>
        <w:pStyle w:val="237"/>
        <w:spacing w:line="360" w:lineRule="auto"/>
        <w:ind w:firstLine="420"/>
        <w:rPr>
          <w:rFonts w:hint="eastAsia" w:ascii="宋体" w:hAnsi="宋体" w:cs="宋体"/>
          <w:color w:val="auto"/>
          <w:szCs w:val="21"/>
        </w:rPr>
      </w:pPr>
      <w:r>
        <w:rPr>
          <w:rFonts w:hint="eastAsia" w:ascii="宋体" w:hAnsi="宋体" w:cs="宋体"/>
          <w:color w:val="auto"/>
          <w:szCs w:val="21"/>
        </w:rPr>
        <w:t>6.1参与电子投标的准备工作</w:t>
      </w:r>
    </w:p>
    <w:p w14:paraId="6B2F3375">
      <w:pPr>
        <w:pStyle w:val="237"/>
        <w:spacing w:line="360" w:lineRule="auto"/>
        <w:ind w:firstLine="420"/>
        <w:rPr>
          <w:rFonts w:hint="eastAsia" w:ascii="宋体" w:hAnsi="宋体"/>
          <w:color w:val="auto"/>
          <w:szCs w:val="21"/>
        </w:rPr>
      </w:pPr>
      <w:r>
        <w:rPr>
          <w:rFonts w:hint="eastAsia" w:ascii="宋体" w:hAnsi="宋体"/>
          <w:color w:val="auto"/>
          <w:szCs w:val="21"/>
        </w:rPr>
        <w:t>6.1.1本项目实行全流程电子化采购，投标人通过“广西政府采购云”平台参与电子投标，并应做好以下相关准备工作：①在“广西政府采购云”平台注册成为正式投标人（操作方法详见广西壮族自治区政府采购网—办事服务—下载专区-广西政府采购云投标人入驻指南）；②完成CA证书申领和绑定（费用由投标人自行承担，办理流程详见广西壮族自治区政府采购网—办事服务—下载专区-广西政府采购云CA证书办理操作指南。完成CA证书办理预计一周左右，建议投标人尽快办理）；③下载“广西壮族自治区全流程电子招投标项目管理系统--投标人客户端”（操作方法详见广西壮族自治区政府采购网—办事服务—下载专区-广西壮族自治区全流程电子招投标项目管理系统--投标人客户端，以下称“广西政府采购云电子投标客户端”）并安装成功，投标人应当在提交投标文件截止时间前在“广西政府采购云”平台完成身份认证，确保能够对相关数据电文进行加密和使用电子签章；④自备计算机和网络设备并确保能接入互联网（费用由投标人自行承担，设备确保可进行视频通话和读取广西政府采购云CA证书）。因投标人未做好相关准备工作等自身原因导致无法参加本项目电子投标或投标失败的，造成的一切后果，由投标人自行承担。</w:t>
      </w:r>
    </w:p>
    <w:p w14:paraId="0CD60B70">
      <w:pPr>
        <w:pStyle w:val="237"/>
        <w:spacing w:line="360" w:lineRule="auto"/>
        <w:ind w:firstLine="420"/>
        <w:rPr>
          <w:rFonts w:hint="eastAsia" w:ascii="宋体" w:hAnsi="宋体"/>
          <w:color w:val="auto"/>
          <w:szCs w:val="21"/>
        </w:rPr>
      </w:pPr>
      <w:r>
        <w:rPr>
          <w:rFonts w:hint="eastAsia" w:ascii="宋体" w:hAnsi="宋体"/>
          <w:color w:val="auto"/>
          <w:szCs w:val="21"/>
        </w:rPr>
        <w:t>6.1.2</w:t>
      </w:r>
      <w:r>
        <w:rPr>
          <w:rFonts w:hint="eastAsia" w:ascii="宋体" w:hAnsi="宋体" w:cs="宋体"/>
          <w:color w:val="auto"/>
          <w:szCs w:val="21"/>
          <w:shd w:val="clear" w:color="auto" w:fill="FFFFFF"/>
        </w:rPr>
        <w:t>电子投标具体操作流程参考《政府采购项目电子交易管理操作指南-投标人》（详见桂林市政府采购网—采购资讯—重要通知）；如遇平台技术问题详询95763。</w:t>
      </w:r>
    </w:p>
    <w:p w14:paraId="0A818BF3">
      <w:pPr>
        <w:pStyle w:val="237"/>
        <w:spacing w:line="360" w:lineRule="auto"/>
        <w:ind w:firstLine="420"/>
        <w:rPr>
          <w:rFonts w:hint="eastAsia" w:ascii="宋体" w:hAnsi="宋体" w:cs="宋体"/>
          <w:color w:val="auto"/>
        </w:rPr>
      </w:pPr>
      <w:r>
        <w:rPr>
          <w:rFonts w:hint="eastAsia" w:ascii="宋体" w:hAnsi="宋体"/>
          <w:color w:val="auto"/>
          <w:szCs w:val="21"/>
        </w:rPr>
        <w:t>6.2投标费用：不论投标结果如何，均应自行承担所有与投标有关的全部费用。</w:t>
      </w:r>
    </w:p>
    <w:p w14:paraId="26E2AEF6">
      <w:pPr>
        <w:tabs>
          <w:tab w:val="left" w:pos="1635"/>
        </w:tabs>
        <w:spacing w:line="360" w:lineRule="auto"/>
        <w:ind w:firstLine="435"/>
        <w:rPr>
          <w:rFonts w:hint="eastAsia" w:ascii="宋体" w:hAnsi="宋体"/>
          <w:b/>
          <w:color w:val="auto"/>
          <w:szCs w:val="21"/>
        </w:rPr>
      </w:pPr>
      <w:r>
        <w:rPr>
          <w:rFonts w:hint="eastAsia" w:ascii="宋体" w:hAnsi="宋体"/>
          <w:b/>
          <w:color w:val="auto"/>
          <w:szCs w:val="21"/>
        </w:rPr>
        <w:t>7.联合体投标要求</w:t>
      </w:r>
    </w:p>
    <w:p w14:paraId="615EEA5B">
      <w:pPr>
        <w:snapToGrid w:val="0"/>
        <w:spacing w:line="360" w:lineRule="auto"/>
        <w:ind w:firstLine="420" w:firstLineChars="200"/>
        <w:jc w:val="left"/>
        <w:rPr>
          <w:rFonts w:hint="eastAsia" w:ascii="宋体" w:hAnsi="宋体"/>
          <w:color w:val="auto"/>
          <w:szCs w:val="21"/>
        </w:rPr>
      </w:pPr>
      <w:r>
        <w:rPr>
          <w:rFonts w:hint="eastAsia" w:ascii="宋体" w:hAnsi="宋体"/>
          <w:color w:val="auto"/>
          <w:szCs w:val="21"/>
        </w:rPr>
        <w:t>本项目不接受联合体投标。</w:t>
      </w:r>
    </w:p>
    <w:p w14:paraId="1151A0D8">
      <w:pPr>
        <w:tabs>
          <w:tab w:val="left" w:pos="1635"/>
        </w:tabs>
        <w:spacing w:line="360" w:lineRule="auto"/>
        <w:ind w:firstLine="435"/>
        <w:rPr>
          <w:rFonts w:hint="eastAsia" w:ascii="宋体" w:hAnsi="宋体"/>
          <w:b/>
          <w:color w:val="auto"/>
          <w:szCs w:val="21"/>
        </w:rPr>
      </w:pPr>
      <w:r>
        <w:rPr>
          <w:rFonts w:hint="eastAsia" w:ascii="宋体" w:hAnsi="宋体"/>
          <w:b/>
          <w:color w:val="auto"/>
          <w:szCs w:val="21"/>
        </w:rPr>
        <w:t>8.转包与分包</w:t>
      </w:r>
    </w:p>
    <w:p w14:paraId="039434A5">
      <w:pPr>
        <w:tabs>
          <w:tab w:val="left" w:pos="1635"/>
        </w:tabs>
        <w:spacing w:line="360" w:lineRule="auto"/>
        <w:ind w:firstLine="435"/>
        <w:rPr>
          <w:rFonts w:hint="eastAsia" w:ascii="宋体" w:hAnsi="宋体"/>
          <w:color w:val="auto"/>
          <w:szCs w:val="21"/>
        </w:rPr>
      </w:pPr>
      <w:r>
        <w:rPr>
          <w:rFonts w:hint="eastAsia" w:ascii="宋体" w:hAnsi="宋体"/>
          <w:color w:val="auto"/>
          <w:szCs w:val="21"/>
        </w:rPr>
        <w:t>8.1本项目不允许转包。</w:t>
      </w:r>
    </w:p>
    <w:p w14:paraId="67B45DEE">
      <w:pPr>
        <w:tabs>
          <w:tab w:val="left" w:pos="1635"/>
        </w:tabs>
        <w:spacing w:line="360" w:lineRule="auto"/>
        <w:ind w:firstLine="435"/>
        <w:rPr>
          <w:rFonts w:hint="eastAsia" w:ascii="宋体" w:hAnsi="宋体"/>
          <w:color w:val="auto"/>
          <w:szCs w:val="21"/>
        </w:rPr>
      </w:pPr>
      <w:r>
        <w:rPr>
          <w:rFonts w:hint="eastAsia" w:ascii="宋体" w:hAnsi="宋体"/>
          <w:color w:val="auto"/>
          <w:szCs w:val="21"/>
        </w:rPr>
        <w:t>8.2本项目不可以分包。</w:t>
      </w:r>
    </w:p>
    <w:p w14:paraId="0D8451F3">
      <w:pPr>
        <w:tabs>
          <w:tab w:val="left" w:pos="1635"/>
        </w:tabs>
        <w:spacing w:line="360" w:lineRule="auto"/>
        <w:ind w:firstLine="435"/>
        <w:rPr>
          <w:rFonts w:hint="eastAsia" w:ascii="宋体" w:hAnsi="宋体"/>
          <w:b/>
          <w:color w:val="auto"/>
          <w:szCs w:val="21"/>
        </w:rPr>
      </w:pPr>
      <w:r>
        <w:rPr>
          <w:rFonts w:hint="eastAsia" w:ascii="宋体" w:hAnsi="宋体"/>
          <w:b/>
          <w:color w:val="auto"/>
          <w:szCs w:val="21"/>
        </w:rPr>
        <w:t>9.特别说明</w:t>
      </w:r>
    </w:p>
    <w:p w14:paraId="28488CA1">
      <w:pPr>
        <w:tabs>
          <w:tab w:val="left" w:pos="1635"/>
        </w:tabs>
        <w:spacing w:line="360" w:lineRule="auto"/>
        <w:ind w:firstLine="435"/>
        <w:rPr>
          <w:rFonts w:hint="eastAsia" w:ascii="宋体" w:hAnsi="宋体" w:cs="Arial"/>
          <w:color w:val="auto"/>
          <w:szCs w:val="21"/>
        </w:rPr>
      </w:pPr>
      <w:r>
        <w:rPr>
          <w:rFonts w:hint="eastAsia" w:ascii="宋体" w:hAnsi="宋体"/>
          <w:b/>
          <w:color w:val="auto"/>
          <w:szCs w:val="21"/>
        </w:rPr>
        <w:t>9.1使用综合评分法的采购项目，</w:t>
      </w:r>
      <w:r>
        <w:rPr>
          <w:rFonts w:ascii="宋体" w:hAnsi="宋体" w:cs="Arial"/>
          <w:b/>
          <w:color w:val="auto"/>
          <w:szCs w:val="21"/>
        </w:rPr>
        <w:t>提供相同品牌产品且通过资格审查、符合性审查的不同投标人参加同一合同项下投标的，按一家投标人计算，评审后得分最高的同品牌投标人获得中标人推荐资格；评审得分相同的，</w:t>
      </w:r>
      <w:r>
        <w:rPr>
          <w:rFonts w:hint="eastAsia" w:ascii="宋体" w:hAnsi="宋体" w:cs="Arial"/>
          <w:b/>
          <w:color w:val="auto"/>
          <w:szCs w:val="21"/>
        </w:rPr>
        <w:t>评标价最低的同品牌投标人获得</w:t>
      </w:r>
      <w:r>
        <w:rPr>
          <w:rFonts w:ascii="宋体" w:hAnsi="宋体" w:cs="Arial"/>
          <w:b/>
          <w:color w:val="auto"/>
          <w:szCs w:val="21"/>
        </w:rPr>
        <w:t>中标人推荐资格，</w:t>
      </w:r>
      <w:r>
        <w:rPr>
          <w:rFonts w:hint="eastAsia" w:ascii="宋体" w:hAnsi="宋体" w:cs="Arial"/>
          <w:b/>
          <w:color w:val="auto"/>
          <w:szCs w:val="21"/>
        </w:rPr>
        <w:t>评标价也相同的，由评标委员会以抽签</w:t>
      </w:r>
      <w:r>
        <w:rPr>
          <w:rFonts w:ascii="宋体" w:hAnsi="宋体" w:cs="Arial"/>
          <w:b/>
          <w:color w:val="auto"/>
          <w:szCs w:val="21"/>
        </w:rPr>
        <w:t>方式确定</w:t>
      </w:r>
      <w:r>
        <w:rPr>
          <w:rFonts w:hint="eastAsia" w:ascii="宋体" w:hAnsi="宋体" w:cs="Arial"/>
          <w:b/>
          <w:color w:val="auto"/>
          <w:szCs w:val="21"/>
        </w:rPr>
        <w:t>中标候选人</w:t>
      </w:r>
      <w:r>
        <w:rPr>
          <w:rFonts w:ascii="宋体" w:hAnsi="宋体" w:cs="Arial"/>
          <w:b/>
          <w:color w:val="auto"/>
          <w:szCs w:val="21"/>
        </w:rPr>
        <w:t>，其他同品牌投标人不作为中标候选人。</w:t>
      </w:r>
    </w:p>
    <w:p w14:paraId="0247BC8E">
      <w:pPr>
        <w:tabs>
          <w:tab w:val="left" w:pos="1635"/>
        </w:tabs>
        <w:spacing w:line="360" w:lineRule="auto"/>
        <w:ind w:firstLine="435"/>
        <w:rPr>
          <w:rFonts w:hint="eastAsia" w:ascii="宋体" w:hAnsi="宋体" w:cs="Arial"/>
          <w:b/>
          <w:color w:val="auto"/>
          <w:szCs w:val="21"/>
        </w:rPr>
      </w:pPr>
      <w:r>
        <w:rPr>
          <w:rFonts w:hint="eastAsia" w:ascii="宋体" w:hAnsi="宋体" w:cs="Arial"/>
          <w:b/>
          <w:color w:val="auto"/>
          <w:szCs w:val="21"/>
        </w:rPr>
        <w:t>非单一产品采购项目中，</w:t>
      </w:r>
      <w:r>
        <w:rPr>
          <w:rFonts w:ascii="宋体" w:hAnsi="宋体" w:cs="Arial"/>
          <w:b/>
          <w:color w:val="auto"/>
          <w:szCs w:val="21"/>
        </w:rPr>
        <w:t>多家投标人提供的核心产品品牌相同的，按前款规定处理。</w:t>
      </w:r>
      <w:r>
        <w:rPr>
          <w:rFonts w:hint="eastAsia" w:ascii="宋体" w:hAnsi="宋体" w:cs="Arial"/>
          <w:b/>
          <w:color w:val="auto"/>
          <w:szCs w:val="21"/>
        </w:rPr>
        <w:t>本项目各分标的核心产品详见第三章《货物采购需求》。</w:t>
      </w:r>
    </w:p>
    <w:p w14:paraId="151952AE">
      <w:pPr>
        <w:tabs>
          <w:tab w:val="left" w:pos="1635"/>
        </w:tabs>
        <w:spacing w:line="360" w:lineRule="auto"/>
        <w:ind w:firstLine="435"/>
        <w:rPr>
          <w:rFonts w:hint="eastAsia" w:ascii="宋体" w:hAnsi="宋体"/>
          <w:b/>
          <w:color w:val="auto"/>
          <w:szCs w:val="21"/>
        </w:rPr>
      </w:pPr>
      <w:r>
        <w:rPr>
          <w:rFonts w:hint="eastAsia" w:ascii="宋体" w:hAnsi="宋体"/>
          <w:b/>
          <w:color w:val="auto"/>
          <w:szCs w:val="21"/>
        </w:rPr>
        <w:t>9.2关联投标人不得参加同一合同项下政府采购活动，否则投标文件将被视为无效：</w:t>
      </w:r>
    </w:p>
    <w:p w14:paraId="07858E72">
      <w:pPr>
        <w:tabs>
          <w:tab w:val="left" w:pos="1635"/>
        </w:tabs>
        <w:spacing w:line="360" w:lineRule="auto"/>
        <w:ind w:firstLine="422" w:firstLineChars="200"/>
        <w:rPr>
          <w:rFonts w:hint="eastAsia" w:ascii="宋体" w:hAnsi="宋体"/>
          <w:b/>
          <w:color w:val="auto"/>
          <w:szCs w:val="21"/>
        </w:rPr>
      </w:pPr>
      <w:r>
        <w:rPr>
          <w:rFonts w:hint="eastAsia" w:ascii="宋体" w:hAnsi="宋体"/>
          <w:b/>
          <w:color w:val="auto"/>
          <w:szCs w:val="21"/>
        </w:rPr>
        <w:t>（1）单位负责人为同一人或者存在直接控股、管理关系的不同投标人，不得参加同一合同项下的政府采购活动。</w:t>
      </w:r>
    </w:p>
    <w:p w14:paraId="29B65C7E">
      <w:pPr>
        <w:tabs>
          <w:tab w:val="left" w:pos="1635"/>
        </w:tabs>
        <w:spacing w:line="360" w:lineRule="auto"/>
        <w:ind w:firstLine="435"/>
        <w:rPr>
          <w:rFonts w:hint="eastAsia" w:ascii="宋体" w:hAnsi="宋体"/>
          <w:b/>
          <w:color w:val="auto"/>
          <w:szCs w:val="21"/>
        </w:rPr>
      </w:pPr>
      <w:r>
        <w:rPr>
          <w:rFonts w:hint="eastAsia" w:ascii="宋体" w:hAnsi="宋体"/>
          <w:b/>
          <w:color w:val="auto"/>
          <w:szCs w:val="21"/>
        </w:rPr>
        <w:t>（2）为本采购项目提供整体设计、规范编制或者项目管理、监理、检测等服务的投标人，不得再参加本次采购活动。</w:t>
      </w:r>
    </w:p>
    <w:p w14:paraId="540726A3">
      <w:pPr>
        <w:tabs>
          <w:tab w:val="left" w:pos="1635"/>
        </w:tabs>
        <w:spacing w:line="360" w:lineRule="auto"/>
        <w:ind w:firstLine="435"/>
        <w:rPr>
          <w:rFonts w:hint="eastAsia" w:ascii="宋体" w:hAnsi="宋体"/>
          <w:color w:val="auto"/>
          <w:szCs w:val="21"/>
        </w:rPr>
      </w:pPr>
      <w:r>
        <w:rPr>
          <w:rFonts w:hint="eastAsia" w:ascii="宋体" w:hAnsi="宋体"/>
          <w:color w:val="auto"/>
          <w:szCs w:val="21"/>
        </w:rPr>
        <w:t>9.3投标人应仔细阅读招标文件的所有内容，按照招标文件的要求提交投标文件，并对所提供的全部资料的真实性承担法律责任。</w:t>
      </w:r>
    </w:p>
    <w:p w14:paraId="31622564">
      <w:pPr>
        <w:tabs>
          <w:tab w:val="left" w:pos="1635"/>
        </w:tabs>
        <w:spacing w:line="360" w:lineRule="auto"/>
        <w:ind w:firstLine="435"/>
        <w:rPr>
          <w:rFonts w:hint="eastAsia" w:ascii="宋体" w:hAnsi="宋体"/>
          <w:color w:val="auto"/>
          <w:szCs w:val="21"/>
        </w:rPr>
      </w:pPr>
      <w:r>
        <w:rPr>
          <w:rFonts w:hint="eastAsia" w:ascii="宋体" w:hAnsi="宋体"/>
          <w:color w:val="auto"/>
          <w:szCs w:val="21"/>
        </w:rPr>
        <w:t>9.4投标人在投标活动中提供任何虚假材料，其投标无效，并报监管部门查处；中标后发现的，中标人须依照《中华人民共和国消费者权益保护法》赔偿采购人，且民事赔偿并不免除违法投标人的行政与刑事责任。</w:t>
      </w:r>
    </w:p>
    <w:p w14:paraId="1D412F91">
      <w:pPr>
        <w:tabs>
          <w:tab w:val="left" w:pos="1635"/>
        </w:tabs>
        <w:spacing w:line="360" w:lineRule="auto"/>
        <w:ind w:firstLine="435"/>
        <w:rPr>
          <w:rFonts w:hint="eastAsia" w:ascii="宋体" w:hAnsi="宋体"/>
          <w:color w:val="auto"/>
          <w:szCs w:val="21"/>
        </w:rPr>
      </w:pPr>
      <w:r>
        <w:rPr>
          <w:rFonts w:hint="eastAsia" w:ascii="宋体" w:hAnsi="宋体"/>
          <w:color w:val="auto"/>
          <w:szCs w:val="21"/>
        </w:rPr>
        <w:t>9.5投标人投标所使用的资格、信誉、荣誉、业绩与企业认证必须为本法人（负责人、自然人）所拥有。</w:t>
      </w:r>
    </w:p>
    <w:p w14:paraId="68CA9707">
      <w:pPr>
        <w:tabs>
          <w:tab w:val="left" w:pos="1635"/>
        </w:tabs>
        <w:spacing w:line="360" w:lineRule="auto"/>
        <w:ind w:firstLine="435"/>
        <w:rPr>
          <w:rFonts w:hint="eastAsia" w:ascii="宋体" w:hAnsi="宋体"/>
          <w:b/>
          <w:color w:val="auto"/>
          <w:szCs w:val="21"/>
        </w:rPr>
      </w:pPr>
      <w:r>
        <w:rPr>
          <w:rFonts w:hint="eastAsia" w:ascii="宋体" w:hAnsi="宋体"/>
          <w:b/>
          <w:color w:val="auto"/>
          <w:szCs w:val="21"/>
        </w:rPr>
        <w:t>10.询问、质疑和投诉</w:t>
      </w:r>
    </w:p>
    <w:p w14:paraId="3F10E114">
      <w:pPr>
        <w:tabs>
          <w:tab w:val="left" w:pos="1635"/>
        </w:tabs>
        <w:spacing w:line="360" w:lineRule="auto"/>
        <w:ind w:firstLine="435"/>
        <w:rPr>
          <w:rFonts w:hint="eastAsia" w:ascii="宋体" w:hAnsi="宋体"/>
          <w:color w:val="auto"/>
          <w:szCs w:val="21"/>
        </w:rPr>
      </w:pPr>
      <w:r>
        <w:rPr>
          <w:rFonts w:hint="eastAsia" w:ascii="宋体" w:hAnsi="宋体"/>
          <w:color w:val="auto"/>
          <w:szCs w:val="21"/>
        </w:rPr>
        <w:t>10.1投标人对政府采购活动事项有疑问的，可以向采购人、采购代理机构提出询问。</w:t>
      </w:r>
      <w:r>
        <w:rPr>
          <w:rFonts w:ascii="宋体" w:hAnsi="宋体"/>
          <w:color w:val="auto"/>
          <w:szCs w:val="21"/>
        </w:rPr>
        <w:tab/>
      </w:r>
    </w:p>
    <w:p w14:paraId="05978793">
      <w:pPr>
        <w:tabs>
          <w:tab w:val="left" w:pos="1635"/>
        </w:tabs>
        <w:spacing w:line="360" w:lineRule="auto"/>
        <w:ind w:firstLine="435"/>
        <w:rPr>
          <w:rFonts w:hint="eastAsia" w:ascii="宋体" w:hAnsi="宋体"/>
          <w:color w:val="auto"/>
          <w:szCs w:val="21"/>
        </w:rPr>
      </w:pPr>
      <w:r>
        <w:rPr>
          <w:rFonts w:hint="eastAsia" w:ascii="宋体" w:hAnsi="宋体"/>
          <w:color w:val="auto"/>
          <w:szCs w:val="21"/>
        </w:rPr>
        <w:t>10.2投标人认为招标文件使自己的合法权益受到损害的，应当在招标公告期限届满之日起7个工作日内以书面形式向采购代理机构提出质疑。投标人认为招标过程或中标结果使自己的合法权益受到损害的，应当在各采购程序环节结束之日或中标公告期限届满之日起七个工作日内，以书面形式向采购代理机构提出质疑。采购代理机构应认真做好质疑处理工作。</w:t>
      </w:r>
    </w:p>
    <w:p w14:paraId="2138B492">
      <w:pPr>
        <w:tabs>
          <w:tab w:val="left" w:pos="2190"/>
        </w:tabs>
        <w:spacing w:line="360" w:lineRule="auto"/>
        <w:ind w:firstLine="435"/>
        <w:rPr>
          <w:rFonts w:hint="eastAsia" w:ascii="宋体" w:hAnsi="宋体"/>
          <w:color w:val="auto"/>
          <w:szCs w:val="21"/>
        </w:rPr>
      </w:pPr>
      <w:r>
        <w:rPr>
          <w:rFonts w:hint="eastAsia" w:ascii="宋体" w:hAnsi="宋体"/>
          <w:color w:val="auto"/>
          <w:szCs w:val="21"/>
        </w:rPr>
        <w:t>10.3投标人对采购代理机构的答复不满意或者采购代理机构未在规定的时间内作出答复的，可以在答复期满后十五个工作日内向</w:t>
      </w:r>
      <w:r>
        <w:rPr>
          <w:rFonts w:hint="eastAsia" w:ascii="宋体" w:hAnsi="宋体" w:cs="宋体"/>
          <w:color w:val="auto"/>
          <w:kern w:val="0"/>
          <w:szCs w:val="21"/>
        </w:rPr>
        <w:t>本级财政部门</w:t>
      </w:r>
      <w:r>
        <w:rPr>
          <w:rFonts w:hint="eastAsia" w:ascii="宋体" w:hAnsi="宋体"/>
          <w:color w:val="auto"/>
          <w:szCs w:val="21"/>
        </w:rPr>
        <w:t>投诉。</w:t>
      </w:r>
    </w:p>
    <w:p w14:paraId="1774184A">
      <w:pPr>
        <w:tabs>
          <w:tab w:val="left" w:pos="2190"/>
        </w:tabs>
        <w:spacing w:line="360" w:lineRule="auto"/>
        <w:ind w:firstLine="435"/>
        <w:rPr>
          <w:rFonts w:hint="eastAsia" w:ascii="宋体" w:hAnsi="宋体"/>
          <w:b/>
          <w:color w:val="auto"/>
          <w:szCs w:val="21"/>
        </w:rPr>
      </w:pPr>
      <w:r>
        <w:rPr>
          <w:rFonts w:hint="eastAsia" w:ascii="宋体" w:hAnsi="宋体"/>
          <w:color w:val="auto"/>
          <w:szCs w:val="21"/>
        </w:rPr>
        <w:t>10.4质疑、投诉应当采用书面形式，质疑书、投诉书实行实名制，均应明确阐述招标文件、招标过程或中标结果中使自己合法权益受到损害的实质性内容，提供相关事实、依据和证据及其来源或线索，必要的证明材料，便于有关单位调查、答复和处理。</w:t>
      </w:r>
      <w:r>
        <w:rPr>
          <w:rFonts w:hint="eastAsia" w:ascii="宋体" w:hAnsi="宋体"/>
          <w:b/>
          <w:color w:val="auto"/>
          <w:szCs w:val="21"/>
        </w:rPr>
        <w:t>质疑函格式详见附件。</w:t>
      </w:r>
    </w:p>
    <w:p w14:paraId="5BD47ACA">
      <w:pPr>
        <w:tabs>
          <w:tab w:val="left" w:pos="2190"/>
        </w:tabs>
        <w:spacing w:line="360" w:lineRule="auto"/>
        <w:ind w:firstLine="435"/>
        <w:rPr>
          <w:rFonts w:hint="eastAsia" w:ascii="宋体" w:hAnsi="宋体"/>
          <w:color w:val="auto"/>
          <w:szCs w:val="21"/>
        </w:rPr>
      </w:pPr>
      <w:r>
        <w:rPr>
          <w:rFonts w:hint="eastAsia" w:ascii="宋体" w:hAnsi="宋体"/>
          <w:color w:val="auto"/>
          <w:szCs w:val="21"/>
        </w:rPr>
        <w:t>10.5质疑</w:t>
      </w:r>
      <w:r>
        <w:rPr>
          <w:rFonts w:ascii="宋体" w:hAnsi="宋体"/>
          <w:color w:val="auto"/>
          <w:szCs w:val="21"/>
        </w:rPr>
        <w:t>联系部门</w:t>
      </w:r>
      <w:r>
        <w:rPr>
          <w:rFonts w:hint="eastAsia" w:ascii="宋体" w:hAnsi="宋体"/>
          <w:color w:val="auto"/>
          <w:szCs w:val="21"/>
        </w:rPr>
        <w:t>：</w:t>
      </w:r>
      <w:r>
        <w:rPr>
          <w:rFonts w:hint="eastAsia" w:ascii="宋体" w:hAnsi="宋体"/>
          <w:color w:val="auto"/>
          <w:szCs w:val="21"/>
          <w:u w:val="single"/>
        </w:rPr>
        <w:t>广西晟昌工程科技有限责任公司</w:t>
      </w:r>
      <w:r>
        <w:rPr>
          <w:rFonts w:hint="eastAsia" w:ascii="宋体" w:hAnsi="宋体"/>
          <w:color w:val="auto"/>
          <w:szCs w:val="21"/>
        </w:rPr>
        <w:t>；</w:t>
      </w:r>
      <w:r>
        <w:rPr>
          <w:rFonts w:ascii="宋体" w:hAnsi="宋体"/>
          <w:color w:val="auto"/>
          <w:szCs w:val="21"/>
        </w:rPr>
        <w:t>联系电话</w:t>
      </w:r>
      <w:r>
        <w:rPr>
          <w:rFonts w:hint="eastAsia" w:ascii="宋体" w:hAnsi="宋体"/>
          <w:color w:val="auto"/>
          <w:szCs w:val="21"/>
        </w:rPr>
        <w:t>：</w:t>
      </w:r>
      <w:r>
        <w:rPr>
          <w:rFonts w:hint="eastAsia" w:ascii="宋体" w:hAnsi="宋体"/>
          <w:color w:val="auto"/>
          <w:szCs w:val="21"/>
          <w:u w:val="single"/>
        </w:rPr>
        <w:t>0773-5889288</w:t>
      </w:r>
      <w:r>
        <w:rPr>
          <w:rFonts w:hint="eastAsia" w:ascii="宋体" w:hAnsi="宋体"/>
          <w:color w:val="auto"/>
          <w:szCs w:val="21"/>
        </w:rPr>
        <w:t>；</w:t>
      </w:r>
    </w:p>
    <w:p w14:paraId="01778229">
      <w:pPr>
        <w:spacing w:line="360" w:lineRule="auto"/>
        <w:ind w:firstLine="840" w:firstLineChars="400"/>
        <w:rPr>
          <w:rFonts w:hint="eastAsia" w:ascii="宋体" w:hAnsi="宋体"/>
          <w:color w:val="auto"/>
          <w:szCs w:val="21"/>
        </w:rPr>
      </w:pPr>
      <w:r>
        <w:rPr>
          <w:rFonts w:ascii="宋体" w:hAnsi="宋体"/>
          <w:color w:val="auto"/>
          <w:szCs w:val="21"/>
        </w:rPr>
        <w:t>通讯地址</w:t>
      </w:r>
      <w:r>
        <w:rPr>
          <w:rFonts w:hint="eastAsia" w:ascii="宋体" w:hAnsi="宋体"/>
          <w:color w:val="auto"/>
          <w:szCs w:val="21"/>
        </w:rPr>
        <w:t>：</w:t>
      </w:r>
      <w:r>
        <w:rPr>
          <w:rFonts w:hint="eastAsia" w:ascii="宋体" w:hAnsi="宋体"/>
          <w:color w:val="auto"/>
          <w:szCs w:val="21"/>
          <w:u w:val="single"/>
        </w:rPr>
        <w:t>桂林市临桂区临桂镇老街（原桂林市旺山化工有限责任公司内）</w:t>
      </w:r>
      <w:r>
        <w:rPr>
          <w:rFonts w:hint="eastAsia" w:ascii="宋体" w:hAnsi="宋体"/>
          <w:color w:val="auto"/>
          <w:szCs w:val="21"/>
        </w:rPr>
        <w:t xml:space="preserve">          </w:t>
      </w:r>
    </w:p>
    <w:p w14:paraId="60C90C26">
      <w:pPr>
        <w:pStyle w:val="232"/>
        <w:ind w:firstLine="480"/>
        <w:rPr>
          <w:rFonts w:ascii="Times New Roman"/>
          <w:color w:val="auto"/>
        </w:rPr>
      </w:pPr>
    </w:p>
    <w:p w14:paraId="1BE402EC">
      <w:pPr>
        <w:tabs>
          <w:tab w:val="left" w:pos="2190"/>
        </w:tabs>
        <w:spacing w:line="360" w:lineRule="auto"/>
        <w:ind w:firstLine="435"/>
        <w:jc w:val="center"/>
        <w:outlineLvl w:val="0"/>
        <w:rPr>
          <w:rFonts w:hint="eastAsia" w:ascii="宋体" w:hAnsi="宋体"/>
          <w:b/>
          <w:color w:val="auto"/>
          <w:sz w:val="28"/>
          <w:szCs w:val="28"/>
        </w:rPr>
      </w:pPr>
      <w:bookmarkStart w:id="3" w:name="_Toc90288699"/>
      <w:r>
        <w:rPr>
          <w:rFonts w:hint="eastAsia" w:ascii="宋体" w:hAnsi="宋体"/>
          <w:b/>
          <w:color w:val="auto"/>
          <w:sz w:val="28"/>
          <w:szCs w:val="28"/>
        </w:rPr>
        <w:t>二、招标文件</w:t>
      </w:r>
      <w:bookmarkEnd w:id="3"/>
    </w:p>
    <w:p w14:paraId="1550D301">
      <w:pPr>
        <w:tabs>
          <w:tab w:val="left" w:pos="2190"/>
        </w:tabs>
        <w:spacing w:line="360" w:lineRule="auto"/>
        <w:ind w:firstLine="437"/>
        <w:rPr>
          <w:rFonts w:hint="eastAsia" w:ascii="宋体" w:hAnsi="宋体"/>
          <w:b/>
          <w:color w:val="auto"/>
          <w:szCs w:val="21"/>
        </w:rPr>
      </w:pPr>
      <w:r>
        <w:rPr>
          <w:rFonts w:hint="eastAsia" w:ascii="宋体" w:hAnsi="宋体"/>
          <w:b/>
          <w:color w:val="auto"/>
          <w:szCs w:val="21"/>
        </w:rPr>
        <w:t>11.招标文件的构成</w:t>
      </w:r>
    </w:p>
    <w:p w14:paraId="58BB9AD7">
      <w:pPr>
        <w:tabs>
          <w:tab w:val="left" w:pos="2190"/>
        </w:tabs>
        <w:spacing w:line="360" w:lineRule="auto"/>
        <w:ind w:firstLine="437"/>
        <w:rPr>
          <w:rFonts w:hint="eastAsia" w:ascii="宋体" w:hAnsi="宋体"/>
          <w:color w:val="auto"/>
          <w:szCs w:val="21"/>
        </w:rPr>
      </w:pPr>
      <w:r>
        <w:rPr>
          <w:rFonts w:hint="eastAsia" w:ascii="宋体" w:hAnsi="宋体"/>
          <w:color w:val="auto"/>
          <w:szCs w:val="21"/>
        </w:rPr>
        <w:t>（1）招标公告；</w:t>
      </w:r>
    </w:p>
    <w:p w14:paraId="302FFCE7">
      <w:pPr>
        <w:tabs>
          <w:tab w:val="left" w:pos="2190"/>
        </w:tabs>
        <w:spacing w:line="360" w:lineRule="auto"/>
        <w:ind w:firstLine="437"/>
        <w:rPr>
          <w:rFonts w:hint="eastAsia" w:ascii="宋体" w:hAnsi="宋体"/>
          <w:color w:val="auto"/>
          <w:szCs w:val="21"/>
        </w:rPr>
      </w:pPr>
      <w:r>
        <w:rPr>
          <w:rFonts w:hint="eastAsia" w:ascii="宋体" w:hAnsi="宋体"/>
          <w:color w:val="auto"/>
          <w:szCs w:val="21"/>
        </w:rPr>
        <w:t>（2）投标人须知；</w:t>
      </w:r>
    </w:p>
    <w:p w14:paraId="3C05F8BE">
      <w:pPr>
        <w:spacing w:line="360" w:lineRule="auto"/>
        <w:ind w:firstLine="435"/>
        <w:rPr>
          <w:rFonts w:hint="eastAsia" w:ascii="宋体" w:hAnsi="宋体"/>
          <w:color w:val="auto"/>
          <w:szCs w:val="21"/>
        </w:rPr>
      </w:pPr>
      <w:r>
        <w:rPr>
          <w:rFonts w:hint="eastAsia" w:ascii="宋体" w:hAnsi="宋体"/>
          <w:color w:val="auto"/>
          <w:szCs w:val="21"/>
        </w:rPr>
        <w:t>（3）货物采购需求</w:t>
      </w:r>
      <w:r>
        <w:rPr>
          <w:rFonts w:hint="eastAsia" w:ascii="宋体" w:hAnsi="宋体"/>
          <w:b/>
          <w:color w:val="auto"/>
          <w:sz w:val="24"/>
        </w:rPr>
        <w:t>；</w:t>
      </w:r>
    </w:p>
    <w:p w14:paraId="4C246E29">
      <w:pPr>
        <w:tabs>
          <w:tab w:val="left" w:pos="2190"/>
        </w:tabs>
        <w:spacing w:line="360" w:lineRule="auto"/>
        <w:ind w:firstLine="437"/>
        <w:rPr>
          <w:rFonts w:hint="eastAsia" w:ascii="宋体" w:hAnsi="宋体"/>
          <w:color w:val="auto"/>
          <w:szCs w:val="21"/>
        </w:rPr>
      </w:pPr>
      <w:r>
        <w:rPr>
          <w:rFonts w:hint="eastAsia" w:ascii="宋体" w:hAnsi="宋体"/>
          <w:color w:val="auto"/>
          <w:szCs w:val="21"/>
        </w:rPr>
        <w:t>（4）评标办法；</w:t>
      </w:r>
    </w:p>
    <w:p w14:paraId="2CA2EC45">
      <w:pPr>
        <w:tabs>
          <w:tab w:val="left" w:pos="2190"/>
        </w:tabs>
        <w:spacing w:line="360" w:lineRule="auto"/>
        <w:ind w:firstLine="437"/>
        <w:rPr>
          <w:rFonts w:hint="eastAsia" w:ascii="宋体" w:hAnsi="宋体"/>
          <w:color w:val="auto"/>
          <w:szCs w:val="21"/>
        </w:rPr>
      </w:pPr>
      <w:r>
        <w:rPr>
          <w:rFonts w:hint="eastAsia" w:ascii="宋体" w:hAnsi="宋体"/>
          <w:color w:val="auto"/>
          <w:szCs w:val="21"/>
        </w:rPr>
        <w:t>（5）采购合同（合同主要条款及格式）；</w:t>
      </w:r>
    </w:p>
    <w:p w14:paraId="014ED096">
      <w:pPr>
        <w:tabs>
          <w:tab w:val="left" w:pos="2190"/>
        </w:tabs>
        <w:spacing w:line="360" w:lineRule="auto"/>
        <w:ind w:firstLine="437"/>
        <w:rPr>
          <w:rFonts w:hint="eastAsia" w:ascii="宋体" w:hAnsi="宋体"/>
          <w:color w:val="auto"/>
          <w:szCs w:val="21"/>
        </w:rPr>
      </w:pPr>
      <w:r>
        <w:rPr>
          <w:rFonts w:hint="eastAsia" w:ascii="宋体" w:hAnsi="宋体"/>
          <w:color w:val="auto"/>
          <w:szCs w:val="21"/>
        </w:rPr>
        <w:t>（6）投标文件格式。</w:t>
      </w:r>
    </w:p>
    <w:p w14:paraId="47A4C2D7">
      <w:pPr>
        <w:tabs>
          <w:tab w:val="left" w:pos="2190"/>
        </w:tabs>
        <w:spacing w:line="360" w:lineRule="auto"/>
        <w:ind w:firstLine="437"/>
        <w:rPr>
          <w:rFonts w:hint="eastAsia" w:ascii="宋体" w:hAnsi="宋体"/>
          <w:b/>
          <w:color w:val="auto"/>
          <w:szCs w:val="21"/>
        </w:rPr>
      </w:pPr>
      <w:r>
        <w:rPr>
          <w:rFonts w:hint="eastAsia" w:ascii="宋体" w:hAnsi="宋体"/>
          <w:b/>
          <w:color w:val="auto"/>
          <w:szCs w:val="21"/>
        </w:rPr>
        <w:t>12.招标文件的澄清与修改</w:t>
      </w:r>
    </w:p>
    <w:p w14:paraId="16D37C5D">
      <w:pPr>
        <w:tabs>
          <w:tab w:val="left" w:pos="2190"/>
        </w:tabs>
        <w:spacing w:line="360" w:lineRule="auto"/>
        <w:ind w:firstLine="437"/>
        <w:rPr>
          <w:rFonts w:hint="eastAsia" w:ascii="宋体" w:hAnsi="宋体"/>
          <w:color w:val="auto"/>
          <w:szCs w:val="21"/>
        </w:rPr>
      </w:pPr>
      <w:r>
        <w:rPr>
          <w:rFonts w:hint="eastAsia" w:ascii="宋体" w:hAnsi="宋体"/>
          <w:color w:val="auto"/>
          <w:szCs w:val="21"/>
        </w:rPr>
        <w:t>12.1投标人应认真阅读招标文件，发现其中有误或有不合理要求的，投标人必须在招标公告期限届满之日起7个工作日内以书面形式要求采购代理机构澄清。</w:t>
      </w:r>
    </w:p>
    <w:p w14:paraId="4A56BAF3">
      <w:pPr>
        <w:tabs>
          <w:tab w:val="left" w:pos="2190"/>
        </w:tabs>
        <w:spacing w:line="360" w:lineRule="auto"/>
        <w:ind w:firstLine="437"/>
        <w:rPr>
          <w:rFonts w:hint="eastAsia" w:ascii="宋体" w:hAnsi="宋体"/>
          <w:color w:val="auto"/>
          <w:szCs w:val="21"/>
        </w:rPr>
      </w:pPr>
      <w:r>
        <w:rPr>
          <w:rFonts w:hint="eastAsia" w:ascii="宋体" w:hAnsi="宋体"/>
          <w:color w:val="auto"/>
          <w:szCs w:val="21"/>
        </w:rPr>
        <w:t>12.2</w:t>
      </w:r>
      <w:r>
        <w:rPr>
          <w:rFonts w:ascii="宋体" w:hAnsi="宋体"/>
          <w:color w:val="auto"/>
          <w:szCs w:val="21"/>
        </w:rPr>
        <w:t>采购代理机构可以对已发出的招标文件进行必要的澄清或者修改，但不得改变采购标的和资格条件。</w:t>
      </w:r>
      <w:r>
        <w:rPr>
          <w:rFonts w:hint="eastAsia" w:ascii="宋体" w:hAnsi="宋体"/>
          <w:color w:val="auto"/>
          <w:szCs w:val="21"/>
        </w:rPr>
        <w:t>澄清或者修改的内容可能影响投标文件编制的，应当在招标文件要求提交投标文件截止时间十五日前在本招标项目招标公告发布的同一媒体上发布更正公告，投标人应自行登录招标公告发布的相关网站【http://www.ccgp.gov.cn（中国政府采购网）、http://zfcg.gxzf.gov.cn/（广西壮族自治区政府采购网）、http://gl.zfcg.zcygov.cn/（桂林市政府采购网）】查询，不足十五日的，应当顺延首次投标文件递交截止时间。</w:t>
      </w:r>
    </w:p>
    <w:p w14:paraId="7C4EDAD5">
      <w:pPr>
        <w:snapToGrid w:val="0"/>
        <w:spacing w:line="360" w:lineRule="auto"/>
        <w:ind w:firstLine="420" w:firstLineChars="200"/>
        <w:jc w:val="left"/>
        <w:rPr>
          <w:rFonts w:hint="eastAsia" w:ascii="宋体" w:hAnsi="宋体"/>
          <w:color w:val="auto"/>
          <w:szCs w:val="21"/>
        </w:rPr>
      </w:pPr>
      <w:r>
        <w:rPr>
          <w:rFonts w:hint="eastAsia" w:ascii="宋体" w:hAnsi="宋体"/>
          <w:color w:val="auto"/>
          <w:szCs w:val="21"/>
        </w:rPr>
        <w:t>12.3采购代理机构在招标公告发布的相关网站发布更正公告的同时，视同投标人已知晓招标文件的澄清或者修改，投标人应将澄清或者修改的内容考虑在投标文件中。投标人在投标文件递交截止前未登录招标公告发布的相关网站查看澄清或者修改的，造成投标人的投标文件不符合招标文件要求或废标的，由投标人自行承担责任。</w:t>
      </w:r>
    </w:p>
    <w:p w14:paraId="782E266B">
      <w:pPr>
        <w:snapToGrid w:val="0"/>
        <w:spacing w:line="360" w:lineRule="auto"/>
        <w:ind w:firstLine="422" w:firstLineChars="200"/>
        <w:jc w:val="left"/>
        <w:rPr>
          <w:rFonts w:hint="eastAsia" w:ascii="宋体" w:hAnsi="宋体"/>
          <w:b/>
          <w:color w:val="auto"/>
          <w:szCs w:val="21"/>
        </w:rPr>
      </w:pPr>
      <w:r>
        <w:rPr>
          <w:rFonts w:hint="eastAsia" w:ascii="宋体" w:hAnsi="宋体"/>
          <w:b/>
          <w:color w:val="auto"/>
          <w:szCs w:val="21"/>
        </w:rPr>
        <w:t>12.4投标人应实时关注本项目公告相关网站了解澄清、修改等与项目有关的内容，如因投标人未及时登录本项目公告相关网站了解澄清、修改等与项目有关的内容，从而导致投标无效的，由投标人自行承担责任。</w:t>
      </w:r>
    </w:p>
    <w:p w14:paraId="1D84DF9E">
      <w:pPr>
        <w:snapToGrid w:val="0"/>
        <w:spacing w:line="360" w:lineRule="auto"/>
        <w:ind w:firstLine="420" w:firstLineChars="200"/>
        <w:jc w:val="left"/>
        <w:rPr>
          <w:rFonts w:hint="eastAsia" w:ascii="宋体" w:hAnsi="宋体"/>
          <w:color w:val="auto"/>
          <w:szCs w:val="21"/>
        </w:rPr>
      </w:pPr>
      <w:r>
        <w:rPr>
          <w:rFonts w:hint="eastAsia" w:ascii="宋体" w:hAnsi="宋体"/>
          <w:color w:val="auto"/>
          <w:szCs w:val="21"/>
        </w:rPr>
        <w:t>12.5必要的澄清、修改的内容为招标文件的组成部分。当澄清、修改通知就同一内容的表述不一致时，以最后发出的文件为准。</w:t>
      </w:r>
    </w:p>
    <w:p w14:paraId="0D8376E9">
      <w:pPr>
        <w:snapToGrid w:val="0"/>
        <w:spacing w:line="360" w:lineRule="auto"/>
        <w:ind w:firstLine="420" w:firstLineChars="200"/>
        <w:jc w:val="left"/>
        <w:rPr>
          <w:rFonts w:hint="eastAsia" w:ascii="宋体" w:hAnsi="宋体"/>
          <w:color w:val="auto"/>
          <w:szCs w:val="21"/>
        </w:rPr>
      </w:pPr>
      <w:r>
        <w:rPr>
          <w:rFonts w:hint="eastAsia" w:ascii="宋体" w:hAnsi="宋体"/>
          <w:color w:val="auto"/>
          <w:szCs w:val="21"/>
        </w:rPr>
        <w:t>12.6招标文件的澄清、修改都应该通过采购代理机构以法定形式发布，采购人非通过本机构，不得擅自澄清、修改招标文件。</w:t>
      </w:r>
    </w:p>
    <w:p w14:paraId="07757934">
      <w:pPr>
        <w:snapToGrid w:val="0"/>
        <w:spacing w:line="360" w:lineRule="auto"/>
        <w:ind w:firstLine="420" w:firstLineChars="200"/>
        <w:jc w:val="left"/>
        <w:rPr>
          <w:rFonts w:hint="eastAsia" w:ascii="宋体" w:hAnsi="宋体"/>
          <w:color w:val="auto"/>
          <w:szCs w:val="21"/>
        </w:rPr>
      </w:pPr>
      <w:r>
        <w:rPr>
          <w:rFonts w:hint="eastAsia" w:ascii="宋体" w:hAnsi="宋体"/>
          <w:color w:val="auto"/>
          <w:szCs w:val="21"/>
        </w:rPr>
        <w:t>12.7采购人或者采购代理机构可以视采购具体情况，延长投标截止时间和开标时间，并在本项目招标公告发布的同一媒体上发布变更公告。</w:t>
      </w:r>
    </w:p>
    <w:p w14:paraId="40B767FA">
      <w:pPr>
        <w:pStyle w:val="232"/>
        <w:ind w:firstLine="480"/>
        <w:rPr>
          <w:rFonts w:ascii="Times New Roman"/>
          <w:color w:val="auto"/>
        </w:rPr>
      </w:pPr>
    </w:p>
    <w:p w14:paraId="571CC27A">
      <w:pPr>
        <w:tabs>
          <w:tab w:val="left" w:pos="2190"/>
        </w:tabs>
        <w:spacing w:line="360" w:lineRule="auto"/>
        <w:ind w:firstLine="435"/>
        <w:jc w:val="center"/>
        <w:outlineLvl w:val="0"/>
        <w:rPr>
          <w:rFonts w:hint="eastAsia" w:ascii="宋体" w:hAnsi="宋体"/>
          <w:b/>
          <w:color w:val="auto"/>
          <w:sz w:val="28"/>
          <w:szCs w:val="28"/>
        </w:rPr>
      </w:pPr>
      <w:bookmarkStart w:id="4" w:name="_Toc90288700"/>
      <w:r>
        <w:rPr>
          <w:rFonts w:hint="eastAsia" w:ascii="宋体" w:hAnsi="宋体"/>
          <w:b/>
          <w:color w:val="auto"/>
          <w:sz w:val="28"/>
          <w:szCs w:val="28"/>
        </w:rPr>
        <w:t>三、投标文件的编制</w:t>
      </w:r>
      <w:bookmarkEnd w:id="4"/>
    </w:p>
    <w:p w14:paraId="055DA84D">
      <w:pPr>
        <w:tabs>
          <w:tab w:val="left" w:pos="1305"/>
        </w:tabs>
        <w:spacing w:line="360" w:lineRule="auto"/>
        <w:ind w:firstLine="422" w:firstLineChars="200"/>
        <w:rPr>
          <w:rFonts w:hint="eastAsia" w:ascii="宋体" w:hAnsi="宋体"/>
          <w:b/>
          <w:color w:val="auto"/>
          <w:szCs w:val="21"/>
        </w:rPr>
      </w:pPr>
      <w:r>
        <w:rPr>
          <w:rFonts w:hint="eastAsia" w:ascii="宋体" w:hAnsi="宋体"/>
          <w:b/>
          <w:color w:val="auto"/>
          <w:szCs w:val="21"/>
        </w:rPr>
        <w:t>13.投标文件的组成及要求</w:t>
      </w:r>
    </w:p>
    <w:p w14:paraId="750E4D9D">
      <w:pPr>
        <w:tabs>
          <w:tab w:val="left" w:pos="2190"/>
        </w:tabs>
        <w:spacing w:line="360" w:lineRule="auto"/>
        <w:ind w:firstLine="435"/>
        <w:rPr>
          <w:rFonts w:hint="eastAsia" w:ascii="宋体" w:hAnsi="宋体"/>
          <w:color w:val="auto"/>
          <w:szCs w:val="21"/>
        </w:rPr>
      </w:pPr>
      <w:r>
        <w:rPr>
          <w:rFonts w:hint="eastAsia" w:ascii="宋体" w:hAnsi="宋体"/>
          <w:b/>
          <w:color w:val="auto"/>
          <w:szCs w:val="21"/>
        </w:rPr>
        <w:t>13.1投标文件的组成（格式见第六章投标文件格式）</w:t>
      </w:r>
    </w:p>
    <w:p w14:paraId="40C4705A">
      <w:pPr>
        <w:tabs>
          <w:tab w:val="left" w:pos="1305"/>
        </w:tabs>
        <w:spacing w:line="360" w:lineRule="auto"/>
        <w:ind w:firstLine="420" w:firstLineChars="200"/>
        <w:rPr>
          <w:rFonts w:hint="eastAsia" w:ascii="宋体" w:hAnsi="宋体"/>
          <w:bCs/>
          <w:color w:val="auto"/>
          <w:szCs w:val="21"/>
        </w:rPr>
      </w:pPr>
      <w:r>
        <w:rPr>
          <w:rFonts w:hint="eastAsia" w:ascii="宋体" w:hAnsi="宋体"/>
          <w:bCs/>
          <w:color w:val="auto"/>
          <w:szCs w:val="21"/>
        </w:rPr>
        <w:t>13.1.1投标报价表（格式见附件）（必须提供）；</w:t>
      </w:r>
    </w:p>
    <w:p w14:paraId="4B171153">
      <w:pPr>
        <w:tabs>
          <w:tab w:val="left" w:pos="1305"/>
        </w:tabs>
        <w:spacing w:line="360" w:lineRule="auto"/>
        <w:ind w:firstLine="420" w:firstLineChars="200"/>
        <w:rPr>
          <w:rFonts w:hint="eastAsia" w:ascii="宋体" w:hAnsi="宋体"/>
          <w:bCs/>
          <w:color w:val="auto"/>
          <w:szCs w:val="21"/>
        </w:rPr>
      </w:pPr>
      <w:r>
        <w:rPr>
          <w:rFonts w:hint="eastAsia" w:ascii="宋体" w:hAnsi="宋体"/>
          <w:bCs/>
          <w:color w:val="auto"/>
          <w:szCs w:val="21"/>
        </w:rPr>
        <w:t>13.1.2资格性响应证明材料：</w:t>
      </w:r>
    </w:p>
    <w:p w14:paraId="4F0074D1">
      <w:pPr>
        <w:tabs>
          <w:tab w:val="left" w:pos="1305"/>
        </w:tabs>
        <w:spacing w:line="360" w:lineRule="auto"/>
        <w:ind w:firstLine="420" w:firstLineChars="200"/>
        <w:rPr>
          <w:rFonts w:hint="eastAsia" w:ascii="宋体" w:hAnsi="宋体"/>
          <w:color w:val="auto"/>
          <w:szCs w:val="21"/>
        </w:rPr>
      </w:pPr>
      <w:r>
        <w:rPr>
          <w:rFonts w:hint="eastAsia" w:ascii="宋体" w:hAnsi="宋体"/>
          <w:color w:val="auto"/>
          <w:szCs w:val="21"/>
        </w:rPr>
        <w:t>（1）投标人相应的法定代表人或负责人或自然人</w:t>
      </w:r>
      <w:r>
        <w:rPr>
          <w:rFonts w:hint="eastAsia" w:ascii="宋体" w:hAnsi="宋体"/>
          <w:color w:val="auto"/>
        </w:rPr>
        <w:t>身份证正反面</w:t>
      </w:r>
      <w:r>
        <w:rPr>
          <w:rFonts w:hint="eastAsia" w:ascii="宋体" w:hAnsi="宋体"/>
          <w:color w:val="auto"/>
          <w:szCs w:val="21"/>
        </w:rPr>
        <w:t xml:space="preserve">复印件 </w:t>
      </w:r>
      <w:r>
        <w:rPr>
          <w:rFonts w:hint="eastAsia" w:ascii="宋体" w:hAnsi="宋体"/>
          <w:b/>
          <w:color w:val="auto"/>
          <w:szCs w:val="21"/>
        </w:rPr>
        <w:t>（必须提供）</w:t>
      </w:r>
      <w:r>
        <w:rPr>
          <w:rFonts w:hint="eastAsia" w:ascii="宋体" w:hAnsi="宋体"/>
          <w:color w:val="auto"/>
          <w:szCs w:val="21"/>
        </w:rPr>
        <w:t>；</w:t>
      </w:r>
    </w:p>
    <w:p w14:paraId="5F8E63B2">
      <w:pPr>
        <w:tabs>
          <w:tab w:val="left" w:pos="1305"/>
        </w:tabs>
        <w:spacing w:line="360" w:lineRule="auto"/>
        <w:ind w:firstLine="420" w:firstLineChars="200"/>
        <w:rPr>
          <w:rFonts w:hint="eastAsia" w:ascii="宋体" w:hAnsi="宋体"/>
          <w:b/>
          <w:bCs/>
          <w:color w:val="auto"/>
          <w:szCs w:val="21"/>
        </w:rPr>
      </w:pPr>
      <w:r>
        <w:rPr>
          <w:rFonts w:hint="eastAsia" w:ascii="宋体" w:hAnsi="宋体"/>
          <w:color w:val="auto"/>
          <w:szCs w:val="21"/>
        </w:rPr>
        <w:t>（2）投标人的授权委托书原件</w:t>
      </w:r>
      <w:r>
        <w:rPr>
          <w:rFonts w:hint="eastAsia" w:ascii="宋体" w:hAnsi="宋体"/>
          <w:b/>
          <w:color w:val="auto"/>
          <w:szCs w:val="21"/>
        </w:rPr>
        <w:t>（格式见附件）</w:t>
      </w:r>
      <w:r>
        <w:rPr>
          <w:rFonts w:hint="eastAsia" w:ascii="宋体" w:hAnsi="宋体"/>
          <w:color w:val="auto"/>
          <w:szCs w:val="21"/>
        </w:rPr>
        <w:t>、委托代理人身份证正反面复印件以及由县级以上（含县级）社会养老保险经办机构出具的投标人为委托代理人交纳递交截止之日前半年内任意连续三个月社保证明复印件【自然人投标的应提供由县级以上（含县级）社会养老保险经办机构出具的自然人本人及委托代理人所交纳的社保证明复印件】</w:t>
      </w:r>
      <w:r>
        <w:rPr>
          <w:rFonts w:hint="eastAsia" w:ascii="宋体" w:hAnsi="宋体"/>
          <w:b/>
          <w:bCs/>
          <w:color w:val="auto"/>
          <w:szCs w:val="21"/>
        </w:rPr>
        <w:t>（委托代理时必须提供；若为新成立的企业，请根据实际情况提供）；</w:t>
      </w:r>
    </w:p>
    <w:p w14:paraId="74938179">
      <w:pPr>
        <w:tabs>
          <w:tab w:val="left" w:pos="1305"/>
        </w:tabs>
        <w:spacing w:line="360" w:lineRule="auto"/>
        <w:ind w:firstLine="420" w:firstLineChars="200"/>
        <w:rPr>
          <w:rFonts w:hint="eastAsia" w:ascii="宋体" w:hAnsi="宋体"/>
          <w:color w:val="auto"/>
          <w:szCs w:val="21"/>
        </w:rPr>
      </w:pPr>
      <w:r>
        <w:rPr>
          <w:rFonts w:hint="eastAsia" w:ascii="宋体" w:hAnsi="宋体"/>
          <w:color w:val="auto"/>
          <w:szCs w:val="21"/>
        </w:rPr>
        <w:t>（3）投标人的法人或者其他组织营业执照等证明文件复印件</w:t>
      </w:r>
      <w:r>
        <w:rPr>
          <w:rFonts w:hint="eastAsia" w:ascii="宋体" w:hAnsi="宋体"/>
          <w:b/>
          <w:color w:val="auto"/>
          <w:szCs w:val="21"/>
        </w:rPr>
        <w:t>（必须提供，自然人除外）</w:t>
      </w:r>
      <w:r>
        <w:rPr>
          <w:rFonts w:hint="eastAsia" w:ascii="宋体" w:hAnsi="宋体"/>
          <w:color w:val="auto"/>
          <w:szCs w:val="21"/>
        </w:rPr>
        <w:t>；</w:t>
      </w:r>
    </w:p>
    <w:p w14:paraId="59DAE8AE">
      <w:pPr>
        <w:tabs>
          <w:tab w:val="left" w:pos="1305"/>
        </w:tabs>
        <w:spacing w:line="360" w:lineRule="auto"/>
        <w:ind w:firstLine="422" w:firstLineChars="200"/>
        <w:rPr>
          <w:rFonts w:hint="eastAsia" w:ascii="宋体" w:hAnsi="宋体"/>
          <w:color w:val="auto"/>
          <w:szCs w:val="21"/>
        </w:rPr>
      </w:pPr>
      <w:r>
        <w:rPr>
          <w:rFonts w:hint="eastAsia" w:ascii="宋体" w:hAnsi="宋体"/>
          <w:b/>
          <w:color w:val="auto"/>
          <w:szCs w:val="21"/>
        </w:rPr>
        <w:t>注：投标人为企业（包括合伙企业），应提供工商部门注册的有效“企业法人营业执照”或“营业执照；投标人为事业单位，应提供有效的“事业单位法人证书”；投标人为非企业专业服务机构的，应提供执业许可证等证明文件；投标人为个体工商户，应提供有效的“个体工商户营业执照”。</w:t>
      </w:r>
    </w:p>
    <w:p w14:paraId="3E1D4071">
      <w:pPr>
        <w:tabs>
          <w:tab w:val="left" w:pos="1305"/>
        </w:tabs>
        <w:spacing w:line="360" w:lineRule="auto"/>
        <w:ind w:firstLine="420" w:firstLineChars="200"/>
        <w:rPr>
          <w:rFonts w:hint="eastAsia" w:ascii="宋体" w:hAnsi="宋体"/>
          <w:color w:val="auto"/>
          <w:szCs w:val="21"/>
        </w:rPr>
      </w:pPr>
      <w:r>
        <w:rPr>
          <w:rFonts w:hint="eastAsia" w:ascii="宋体" w:hAnsi="宋体"/>
          <w:color w:val="auto"/>
          <w:szCs w:val="21"/>
        </w:rPr>
        <w:t>（4）投标人的投标人参加政府采购活动前3年内在经营活动中没有重大违法记录及有关信用信息的书面声明</w:t>
      </w:r>
      <w:r>
        <w:rPr>
          <w:rFonts w:hint="eastAsia" w:ascii="宋体" w:hAnsi="宋体"/>
          <w:b/>
          <w:color w:val="auto"/>
          <w:szCs w:val="21"/>
        </w:rPr>
        <w:t>（格式见附件，必须提供）</w:t>
      </w:r>
      <w:r>
        <w:rPr>
          <w:rFonts w:hint="eastAsia" w:ascii="宋体" w:hAnsi="宋体"/>
          <w:color w:val="auto"/>
          <w:szCs w:val="21"/>
        </w:rPr>
        <w:t>。</w:t>
      </w:r>
    </w:p>
    <w:p w14:paraId="033DF1BE">
      <w:pPr>
        <w:spacing w:line="400" w:lineRule="exact"/>
        <w:ind w:firstLine="420" w:firstLineChars="200"/>
        <w:rPr>
          <w:rFonts w:hint="eastAsia" w:ascii="宋体" w:hAnsi="宋体" w:cs="宋体"/>
          <w:color w:val="auto"/>
          <w:szCs w:val="21"/>
        </w:rPr>
      </w:pPr>
      <w:r>
        <w:rPr>
          <w:rFonts w:hint="eastAsia" w:ascii="宋体" w:hAnsi="宋体"/>
          <w:color w:val="auto"/>
          <w:szCs w:val="21"/>
        </w:rPr>
        <w:t>（5）</w:t>
      </w:r>
      <w:r>
        <w:rPr>
          <w:rFonts w:hint="eastAsia" w:ascii="宋体" w:hAnsi="宋体" w:cs="宋体"/>
          <w:color w:val="auto"/>
          <w:szCs w:val="21"/>
        </w:rPr>
        <w:t>投标人2024年财务状况报告复印件或银行出具的资信证明复印件 (财务状况报告的内容应包括：资产负债表、利润表、现金流量表，三表缺一不可，三表可以是投标人自行编制或是第三方审计的；若投标人为新成立的企业，请根据实际情况提供。)</w:t>
      </w:r>
      <w:r>
        <w:rPr>
          <w:rFonts w:hint="eastAsia" w:ascii="宋体" w:hAnsi="宋体" w:cs="宋体"/>
          <w:b/>
          <w:bCs/>
          <w:color w:val="auto"/>
          <w:szCs w:val="21"/>
        </w:rPr>
        <w:t>(必须提供)；</w:t>
      </w:r>
    </w:p>
    <w:p w14:paraId="7A6FAC75">
      <w:pPr>
        <w:spacing w:line="400" w:lineRule="exact"/>
        <w:ind w:firstLine="420" w:firstLineChars="200"/>
        <w:rPr>
          <w:rFonts w:hint="eastAsia" w:ascii="宋体" w:hAnsi="宋体" w:cs="宋体"/>
          <w:color w:val="auto"/>
          <w:szCs w:val="21"/>
        </w:rPr>
      </w:pPr>
      <w:r>
        <w:rPr>
          <w:rFonts w:hint="eastAsia" w:ascii="宋体" w:hAnsi="宋体"/>
          <w:color w:val="auto"/>
          <w:szCs w:val="21"/>
        </w:rPr>
        <w:t>（6）</w:t>
      </w:r>
      <w:r>
        <w:rPr>
          <w:rFonts w:hint="eastAsia" w:ascii="宋体" w:hAnsi="宋体" w:cs="宋体"/>
          <w:color w:val="auto"/>
          <w:szCs w:val="21"/>
        </w:rPr>
        <w:t>投标人截止开标时间前近半年内任意一个月或任一季度依法缴纳税收的证明材料【增值税发票(税收完税证明)或企业所得税完税证明或税务部门出具的免税证明】复印件</w:t>
      </w:r>
      <w:r>
        <w:rPr>
          <w:rFonts w:hint="eastAsia" w:ascii="宋体" w:hAnsi="宋体" w:cs="宋体"/>
          <w:b/>
          <w:bCs/>
          <w:color w:val="auto"/>
          <w:szCs w:val="21"/>
        </w:rPr>
        <w:t>（必须提供）；</w:t>
      </w:r>
    </w:p>
    <w:p w14:paraId="29380BAE">
      <w:pPr>
        <w:tabs>
          <w:tab w:val="left" w:pos="1305"/>
        </w:tabs>
        <w:spacing w:line="360" w:lineRule="auto"/>
        <w:ind w:firstLine="422" w:firstLineChars="200"/>
        <w:rPr>
          <w:rFonts w:hint="eastAsia" w:ascii="宋体" w:hAnsi="宋体"/>
          <w:color w:val="auto"/>
          <w:szCs w:val="21"/>
        </w:rPr>
      </w:pPr>
      <w:r>
        <w:rPr>
          <w:rFonts w:hint="eastAsia" w:ascii="宋体" w:hAnsi="宋体"/>
          <w:b/>
          <w:color w:val="auto"/>
          <w:szCs w:val="21"/>
        </w:rPr>
        <w:t>13.1.3商务、技术性响应及其他证明材料：</w:t>
      </w:r>
    </w:p>
    <w:p w14:paraId="6624D079">
      <w:pPr>
        <w:tabs>
          <w:tab w:val="left" w:pos="1305"/>
        </w:tabs>
        <w:spacing w:line="360" w:lineRule="auto"/>
        <w:ind w:firstLine="420" w:firstLineChars="200"/>
        <w:rPr>
          <w:rFonts w:hint="eastAsia" w:ascii="宋体" w:hAnsi="宋体"/>
          <w:color w:val="auto"/>
          <w:szCs w:val="21"/>
        </w:rPr>
      </w:pPr>
      <w:r>
        <w:rPr>
          <w:rFonts w:hint="eastAsia" w:ascii="宋体" w:hAnsi="宋体"/>
          <w:color w:val="auto"/>
          <w:szCs w:val="21"/>
        </w:rPr>
        <w:t>（1）技术规格响应偏离表</w:t>
      </w:r>
      <w:r>
        <w:rPr>
          <w:rFonts w:hint="eastAsia" w:ascii="宋体" w:hAnsi="宋体"/>
          <w:b/>
          <w:color w:val="auto"/>
          <w:szCs w:val="21"/>
        </w:rPr>
        <w:t>（</w:t>
      </w:r>
      <w:r>
        <w:rPr>
          <w:rFonts w:hint="eastAsia" w:ascii="宋体" w:hAnsi="宋体" w:cs="宋体"/>
          <w:b/>
          <w:bCs/>
          <w:color w:val="auto"/>
        </w:rPr>
        <w:t>格式见附件，</w:t>
      </w:r>
      <w:r>
        <w:rPr>
          <w:rFonts w:hint="eastAsia" w:ascii="宋体" w:hAnsi="宋体"/>
          <w:b/>
          <w:color w:val="auto"/>
          <w:szCs w:val="21"/>
        </w:rPr>
        <w:t>必须提供）；</w:t>
      </w:r>
    </w:p>
    <w:p w14:paraId="2D5EAFFD">
      <w:pPr>
        <w:tabs>
          <w:tab w:val="left" w:pos="1305"/>
        </w:tabs>
        <w:spacing w:line="360" w:lineRule="auto"/>
        <w:ind w:firstLine="420" w:firstLineChars="200"/>
        <w:rPr>
          <w:rFonts w:hint="eastAsia" w:ascii="宋体" w:hAnsi="宋体"/>
          <w:b/>
          <w:color w:val="auto"/>
          <w:szCs w:val="21"/>
        </w:rPr>
      </w:pPr>
      <w:r>
        <w:rPr>
          <w:rFonts w:hint="eastAsia" w:ascii="宋体" w:hAnsi="宋体"/>
          <w:color w:val="auto"/>
          <w:szCs w:val="21"/>
        </w:rPr>
        <w:t>（2）商务响应偏离表</w:t>
      </w:r>
      <w:r>
        <w:rPr>
          <w:rFonts w:hint="eastAsia" w:ascii="宋体" w:hAnsi="宋体"/>
          <w:b/>
          <w:color w:val="auto"/>
          <w:szCs w:val="21"/>
        </w:rPr>
        <w:t>（</w:t>
      </w:r>
      <w:r>
        <w:rPr>
          <w:rFonts w:hint="eastAsia" w:ascii="宋体" w:hAnsi="宋体" w:cs="宋体"/>
          <w:b/>
          <w:bCs/>
          <w:color w:val="auto"/>
        </w:rPr>
        <w:t>格式见附件，</w:t>
      </w:r>
      <w:r>
        <w:rPr>
          <w:rFonts w:hint="eastAsia" w:ascii="宋体" w:hAnsi="宋体"/>
          <w:b/>
          <w:color w:val="auto"/>
          <w:szCs w:val="21"/>
        </w:rPr>
        <w:t>必须提供）；</w:t>
      </w:r>
    </w:p>
    <w:p w14:paraId="24924452">
      <w:pPr>
        <w:snapToGrid w:val="0"/>
        <w:spacing w:line="360" w:lineRule="auto"/>
        <w:ind w:firstLine="420" w:firstLineChars="200"/>
        <w:rPr>
          <w:rFonts w:hint="eastAsia" w:ascii="宋体" w:hAnsi="宋体"/>
          <w:b/>
          <w:color w:val="auto"/>
          <w:szCs w:val="21"/>
        </w:rPr>
      </w:pPr>
      <w:r>
        <w:rPr>
          <w:rFonts w:hint="eastAsia" w:ascii="宋体" w:hAnsi="宋体"/>
          <w:color w:val="auto"/>
          <w:szCs w:val="21"/>
        </w:rPr>
        <w:t>（3）售后服务方案（根据评标方法自行编写，格式自拟）</w:t>
      </w:r>
      <w:r>
        <w:rPr>
          <w:rFonts w:hint="eastAsia" w:ascii="宋体" w:hAnsi="宋体"/>
          <w:b/>
          <w:color w:val="auto"/>
          <w:szCs w:val="21"/>
        </w:rPr>
        <w:t>（必须提供）；</w:t>
      </w:r>
    </w:p>
    <w:p w14:paraId="1A53B53D">
      <w:pPr>
        <w:snapToGrid w:val="0"/>
        <w:spacing w:line="360" w:lineRule="auto"/>
        <w:ind w:firstLine="420" w:firstLineChars="200"/>
        <w:rPr>
          <w:rFonts w:hint="eastAsia" w:ascii="宋体" w:hAnsi="宋体"/>
          <w:b/>
          <w:color w:val="auto"/>
          <w:szCs w:val="21"/>
        </w:rPr>
      </w:pPr>
      <w:r>
        <w:rPr>
          <w:rFonts w:hint="eastAsia" w:ascii="宋体" w:hAnsi="宋体"/>
          <w:color w:val="auto"/>
          <w:szCs w:val="21"/>
        </w:rPr>
        <w:t>（4）项目实施方案（根据评标方法自行编写，格式自拟）</w:t>
      </w:r>
      <w:r>
        <w:rPr>
          <w:rFonts w:hint="eastAsia" w:ascii="宋体" w:hAnsi="宋体"/>
          <w:b/>
          <w:color w:val="auto"/>
          <w:szCs w:val="21"/>
        </w:rPr>
        <w:t>（必须提供）；</w:t>
      </w:r>
    </w:p>
    <w:p w14:paraId="185CA886">
      <w:pPr>
        <w:spacing w:line="360" w:lineRule="auto"/>
        <w:ind w:firstLine="424" w:firstLineChars="202"/>
        <w:rPr>
          <w:rFonts w:hint="eastAsia" w:ascii="宋体" w:hAnsi="宋体"/>
          <w:b/>
          <w:color w:val="auto"/>
          <w:szCs w:val="21"/>
        </w:rPr>
      </w:pPr>
      <w:r>
        <w:rPr>
          <w:rFonts w:hint="eastAsia" w:ascii="宋体" w:hAnsi="宋体"/>
          <w:color w:val="auto"/>
          <w:szCs w:val="21"/>
        </w:rPr>
        <w:t>（5）“货物采购需求”需提供的有效证明文件</w:t>
      </w:r>
      <w:r>
        <w:rPr>
          <w:rFonts w:hint="eastAsia" w:ascii="宋体" w:hAnsi="宋体"/>
          <w:b/>
          <w:color w:val="auto"/>
          <w:szCs w:val="21"/>
        </w:rPr>
        <w:t>（按货物采购需求要求提供）；</w:t>
      </w:r>
    </w:p>
    <w:p w14:paraId="35B9DB78">
      <w:pPr>
        <w:spacing w:line="360" w:lineRule="auto"/>
        <w:ind w:firstLine="424" w:firstLineChars="202"/>
        <w:rPr>
          <w:rFonts w:hint="eastAsia" w:ascii="宋体" w:hAnsi="宋体"/>
          <w:color w:val="auto"/>
          <w:szCs w:val="21"/>
        </w:rPr>
      </w:pPr>
      <w:r>
        <w:rPr>
          <w:rFonts w:hint="eastAsia" w:ascii="宋体" w:hAnsi="宋体"/>
          <w:color w:val="auto"/>
          <w:szCs w:val="21"/>
        </w:rPr>
        <w:t>（6）项目实施人员一览表</w:t>
      </w:r>
      <w:r>
        <w:rPr>
          <w:rFonts w:hint="eastAsia" w:ascii="宋体" w:hAnsi="宋体"/>
          <w:b/>
          <w:color w:val="auto"/>
          <w:szCs w:val="21"/>
        </w:rPr>
        <w:t>（如有，请提供）</w:t>
      </w:r>
      <w:r>
        <w:rPr>
          <w:rFonts w:hint="eastAsia" w:ascii="宋体" w:hAnsi="宋体"/>
          <w:color w:val="auto"/>
          <w:szCs w:val="21"/>
        </w:rPr>
        <w:t>；</w:t>
      </w:r>
    </w:p>
    <w:p w14:paraId="36256CAD">
      <w:pPr>
        <w:spacing w:line="360" w:lineRule="auto"/>
        <w:ind w:firstLine="424" w:firstLineChars="202"/>
        <w:rPr>
          <w:rFonts w:hint="eastAsia" w:ascii="宋体" w:hAnsi="宋体"/>
          <w:b/>
          <w:color w:val="auto"/>
          <w:szCs w:val="21"/>
        </w:rPr>
      </w:pPr>
      <w:r>
        <w:rPr>
          <w:rFonts w:hint="eastAsia" w:ascii="宋体" w:hAnsi="宋体"/>
          <w:color w:val="auto"/>
          <w:szCs w:val="21"/>
        </w:rPr>
        <w:t>（7）履约能力</w:t>
      </w:r>
      <w:r>
        <w:rPr>
          <w:rFonts w:hint="eastAsia" w:ascii="宋体" w:hAnsi="宋体"/>
          <w:b/>
          <w:color w:val="auto"/>
          <w:szCs w:val="21"/>
        </w:rPr>
        <w:t>（根据评标方法自行提供）（如有，请提供）；</w:t>
      </w:r>
    </w:p>
    <w:p w14:paraId="54C6F9C5">
      <w:pPr>
        <w:pStyle w:val="232"/>
        <w:ind w:firstLine="420"/>
        <w:rPr>
          <w:rFonts w:hint="eastAsia" w:hAnsi="宋体"/>
          <w:color w:val="auto"/>
          <w:sz w:val="21"/>
          <w:szCs w:val="21"/>
        </w:rPr>
      </w:pPr>
      <w:r>
        <w:rPr>
          <w:rFonts w:hint="eastAsia" w:hAnsi="宋体"/>
          <w:color w:val="auto"/>
          <w:sz w:val="21"/>
          <w:szCs w:val="21"/>
        </w:rPr>
        <w:t xml:space="preserve">    ①投标人相关认证证书等复印件</w:t>
      </w:r>
      <w:r>
        <w:rPr>
          <w:rFonts w:hint="eastAsia" w:hAnsi="宋体"/>
          <w:b/>
          <w:color w:val="auto"/>
          <w:sz w:val="21"/>
          <w:szCs w:val="21"/>
        </w:rPr>
        <w:t>（如有，请提供）</w:t>
      </w:r>
    </w:p>
    <w:p w14:paraId="7068DAFF">
      <w:pPr>
        <w:spacing w:line="360" w:lineRule="auto"/>
        <w:rPr>
          <w:rFonts w:hint="eastAsia" w:ascii="宋体" w:hAnsi="宋体"/>
          <w:b/>
          <w:color w:val="auto"/>
          <w:szCs w:val="21"/>
        </w:rPr>
      </w:pPr>
      <w:r>
        <w:rPr>
          <w:rFonts w:hint="eastAsia" w:ascii="宋体" w:hAnsi="宋体"/>
          <w:color w:val="auto"/>
          <w:szCs w:val="21"/>
        </w:rPr>
        <w:t xml:space="preserve">        ②</w:t>
      </w:r>
      <w:r>
        <w:rPr>
          <w:rFonts w:hint="eastAsia" w:ascii="宋体" w:hAnsi="宋体" w:cs="宋体"/>
          <w:color w:val="auto"/>
          <w:kern w:val="0"/>
          <w:szCs w:val="21"/>
        </w:rPr>
        <w:t>投标人2022年以来具有同类产品的销售业绩的相关证明材料【以中标（成交）通知书和签订的销售合同复印件为准，须附有采购货物清单及金额，并能清晰反映所销售的货物名称、种类、时间等内容】</w:t>
      </w:r>
      <w:r>
        <w:rPr>
          <w:rFonts w:hint="eastAsia" w:ascii="宋体" w:hAnsi="宋体"/>
          <w:b/>
          <w:color w:val="auto"/>
          <w:szCs w:val="21"/>
        </w:rPr>
        <w:t>（如有，请提供）；</w:t>
      </w:r>
    </w:p>
    <w:p w14:paraId="01A66014">
      <w:pPr>
        <w:pStyle w:val="232"/>
        <w:ind w:firstLine="420"/>
        <w:rPr>
          <w:rFonts w:hint="eastAsia" w:hAnsi="宋体"/>
          <w:color w:val="auto"/>
          <w:sz w:val="21"/>
          <w:szCs w:val="21"/>
        </w:rPr>
      </w:pPr>
      <w:r>
        <w:rPr>
          <w:rFonts w:hint="eastAsia" w:hAnsi="宋体"/>
          <w:color w:val="auto"/>
          <w:sz w:val="21"/>
          <w:szCs w:val="21"/>
        </w:rPr>
        <w:t>（8）政策功能</w:t>
      </w:r>
      <w:r>
        <w:rPr>
          <w:rFonts w:hint="eastAsia" w:hAnsi="宋体"/>
          <w:bCs/>
          <w:color w:val="auto"/>
          <w:sz w:val="21"/>
          <w:szCs w:val="20"/>
        </w:rPr>
        <w:t>（节能、环保）相关证书复印件</w:t>
      </w:r>
      <w:r>
        <w:rPr>
          <w:rFonts w:hint="eastAsia" w:hAnsi="宋体"/>
          <w:b/>
          <w:color w:val="auto"/>
          <w:sz w:val="21"/>
          <w:szCs w:val="21"/>
        </w:rPr>
        <w:t>（根据评标方法自行提供）（如有，请提供）；</w:t>
      </w:r>
    </w:p>
    <w:p w14:paraId="66C0810E">
      <w:pPr>
        <w:pStyle w:val="232"/>
        <w:ind w:firstLine="850" w:firstLineChars="405"/>
        <w:rPr>
          <w:rFonts w:hint="eastAsia" w:hAnsi="宋体"/>
          <w:color w:val="auto"/>
          <w:sz w:val="21"/>
          <w:szCs w:val="21"/>
        </w:rPr>
      </w:pPr>
      <w:r>
        <w:rPr>
          <w:rFonts w:hint="eastAsia" w:hAnsi="宋体"/>
          <w:color w:val="auto"/>
          <w:sz w:val="21"/>
          <w:szCs w:val="21"/>
        </w:rPr>
        <w:t>①节能方面的证书复印件</w:t>
      </w:r>
      <w:r>
        <w:rPr>
          <w:rFonts w:hint="eastAsia" w:hAnsi="宋体"/>
          <w:b/>
          <w:color w:val="auto"/>
          <w:sz w:val="21"/>
          <w:szCs w:val="21"/>
        </w:rPr>
        <w:t>（如有，请提供）；</w:t>
      </w:r>
    </w:p>
    <w:p w14:paraId="0223F339">
      <w:pPr>
        <w:spacing w:line="360" w:lineRule="auto"/>
        <w:ind w:firstLine="850" w:firstLineChars="405"/>
        <w:rPr>
          <w:rFonts w:hint="eastAsia" w:ascii="宋体" w:hAnsi="宋体"/>
          <w:b/>
          <w:color w:val="auto"/>
          <w:szCs w:val="21"/>
        </w:rPr>
      </w:pPr>
      <w:r>
        <w:rPr>
          <w:rFonts w:hint="eastAsia" w:ascii="宋体" w:hAnsi="宋体"/>
          <w:color w:val="auto"/>
          <w:szCs w:val="21"/>
        </w:rPr>
        <w:t>②环保方面的证书复印件</w:t>
      </w:r>
      <w:r>
        <w:rPr>
          <w:rFonts w:hint="eastAsia" w:ascii="宋体" w:hAnsi="宋体"/>
          <w:b/>
          <w:color w:val="auto"/>
          <w:szCs w:val="21"/>
        </w:rPr>
        <w:t>（如有，请提供）；</w:t>
      </w:r>
    </w:p>
    <w:p w14:paraId="38367752">
      <w:pPr>
        <w:tabs>
          <w:tab w:val="left" w:pos="1305"/>
        </w:tabs>
        <w:spacing w:line="360" w:lineRule="auto"/>
        <w:ind w:firstLine="420" w:firstLineChars="200"/>
        <w:rPr>
          <w:rFonts w:hint="eastAsia" w:ascii="宋体" w:hAnsi="宋体"/>
          <w:color w:val="auto"/>
          <w:szCs w:val="21"/>
        </w:rPr>
      </w:pPr>
      <w:r>
        <w:rPr>
          <w:rFonts w:hint="eastAsia" w:ascii="宋体" w:hAnsi="宋体"/>
          <w:color w:val="auto"/>
          <w:szCs w:val="21"/>
        </w:rPr>
        <w:t>（9）投标人为生产厂家的，投标人的生产制造设备清单及专业技术能力说明</w:t>
      </w:r>
      <w:r>
        <w:rPr>
          <w:rFonts w:hint="eastAsia" w:ascii="宋体" w:hAnsi="宋体"/>
          <w:b/>
          <w:color w:val="auto"/>
          <w:szCs w:val="21"/>
        </w:rPr>
        <w:t>（如有，请提供）</w:t>
      </w:r>
      <w:r>
        <w:rPr>
          <w:rFonts w:hint="eastAsia" w:ascii="宋体" w:hAnsi="宋体"/>
          <w:color w:val="auto"/>
          <w:szCs w:val="21"/>
        </w:rPr>
        <w:t>；</w:t>
      </w:r>
    </w:p>
    <w:p w14:paraId="1C8C65AD">
      <w:pPr>
        <w:tabs>
          <w:tab w:val="left" w:pos="1305"/>
        </w:tabs>
        <w:spacing w:line="360" w:lineRule="auto"/>
        <w:ind w:firstLine="420" w:firstLineChars="200"/>
        <w:rPr>
          <w:rFonts w:hint="eastAsia" w:ascii="宋体" w:hAnsi="宋体"/>
          <w:b/>
          <w:color w:val="auto"/>
          <w:szCs w:val="21"/>
        </w:rPr>
      </w:pPr>
      <w:r>
        <w:rPr>
          <w:rFonts w:hint="eastAsia" w:ascii="宋体" w:hAnsi="宋体" w:cs="宋体"/>
          <w:color w:val="auto"/>
          <w:kern w:val="0"/>
        </w:rPr>
        <w:t>（10）</w:t>
      </w:r>
      <w:r>
        <w:rPr>
          <w:rFonts w:hint="eastAsia" w:ascii="宋体" w:hAnsi="宋体" w:cs="宋体"/>
          <w:color w:val="auto"/>
          <w:szCs w:val="21"/>
        </w:rPr>
        <w:t>《中小企业声明函》或《残疾人福利性单位声明函》或属于监狱企业的证明文件</w:t>
      </w:r>
      <w:r>
        <w:rPr>
          <w:rFonts w:hint="eastAsia" w:ascii="宋体" w:hAnsi="宋体" w:cs="宋体"/>
          <w:b/>
          <w:bCs/>
          <w:color w:val="auto"/>
          <w:szCs w:val="21"/>
        </w:rPr>
        <w:t>（</w:t>
      </w:r>
      <w:r>
        <w:rPr>
          <w:rFonts w:hint="eastAsia" w:ascii="宋体" w:hAnsi="宋体"/>
          <w:b/>
          <w:color w:val="auto"/>
          <w:szCs w:val="21"/>
        </w:rPr>
        <w:t>如有，请提供</w:t>
      </w:r>
      <w:r>
        <w:rPr>
          <w:rFonts w:hint="eastAsia" w:ascii="宋体" w:hAnsi="宋体" w:cs="宋体"/>
          <w:b/>
          <w:bCs/>
          <w:color w:val="auto"/>
          <w:szCs w:val="21"/>
        </w:rPr>
        <w:t>）</w:t>
      </w:r>
      <w:r>
        <w:rPr>
          <w:rFonts w:hint="eastAsia" w:ascii="宋体" w:hAnsi="宋体" w:cs="宋体"/>
          <w:color w:val="auto"/>
          <w:szCs w:val="21"/>
        </w:rPr>
        <w:t>；</w:t>
      </w:r>
    </w:p>
    <w:p w14:paraId="51256301">
      <w:pPr>
        <w:tabs>
          <w:tab w:val="left" w:pos="1305"/>
        </w:tabs>
        <w:spacing w:line="360" w:lineRule="auto"/>
        <w:ind w:firstLine="420" w:firstLineChars="200"/>
        <w:rPr>
          <w:rFonts w:hint="eastAsia" w:ascii="宋体" w:hAnsi="宋体"/>
          <w:color w:val="auto"/>
          <w:szCs w:val="21"/>
        </w:rPr>
      </w:pPr>
      <w:r>
        <w:rPr>
          <w:rFonts w:hint="eastAsia" w:ascii="宋体" w:hAnsi="宋体"/>
          <w:color w:val="auto"/>
          <w:szCs w:val="21"/>
        </w:rPr>
        <w:t>（11）投标人可结合本项目的评标办法视自身情况自行提交相关证明材料</w:t>
      </w:r>
      <w:r>
        <w:rPr>
          <w:rFonts w:hint="eastAsia" w:ascii="宋体" w:hAnsi="宋体"/>
          <w:b/>
          <w:color w:val="auto"/>
          <w:szCs w:val="21"/>
        </w:rPr>
        <w:t>（如有，请提供）</w:t>
      </w:r>
      <w:r>
        <w:rPr>
          <w:rFonts w:hint="eastAsia" w:ascii="宋体" w:hAnsi="宋体"/>
          <w:color w:val="auto"/>
          <w:szCs w:val="21"/>
        </w:rPr>
        <w:t>。</w:t>
      </w:r>
    </w:p>
    <w:p w14:paraId="2254104E">
      <w:pPr>
        <w:pStyle w:val="27"/>
        <w:spacing w:line="360" w:lineRule="auto"/>
        <w:ind w:firstLine="420"/>
        <w:rPr>
          <w:rFonts w:hint="eastAsia" w:hAnsi="宋体"/>
          <w:b/>
          <w:bCs/>
          <w:color w:val="auto"/>
          <w:szCs w:val="21"/>
        </w:rPr>
      </w:pPr>
      <w:r>
        <w:rPr>
          <w:rFonts w:hint="eastAsia" w:hAnsi="宋体"/>
          <w:b/>
          <w:bCs/>
          <w:color w:val="auto"/>
          <w:szCs w:val="21"/>
        </w:rPr>
        <w:t>投标人提供的以上相关证明材料必须真实有效，属于“必须提供”的文件应加盖投标人CA证书签章，否则投标无效；其中 “必须提供”的文件“投标文件（格式）”中有要求法定代表人(负责人、自然人)或相应的授权委托代理人在规定位置签字的，可使用法定代表人(负责人、自然人)或相应的授权委托代理人个人CA证书签章，没有办理政采云个人CA证书签章的可在投标文件中涉及到签字的位置手写签字后扫描或者拍照做成 PDF 的格式上传，无个人CA证书签章或手写签字的，投标文件按无效处理。</w:t>
      </w:r>
    </w:p>
    <w:p w14:paraId="0E024C3E">
      <w:pPr>
        <w:pStyle w:val="27"/>
        <w:spacing w:line="360" w:lineRule="auto"/>
        <w:ind w:firstLine="420"/>
        <w:rPr>
          <w:rFonts w:hint="eastAsia" w:hAnsi="宋体"/>
          <w:color w:val="auto"/>
        </w:rPr>
      </w:pPr>
      <w:r>
        <w:rPr>
          <w:rFonts w:hint="eastAsia" w:hAnsi="宋体"/>
          <w:color w:val="auto"/>
          <w:szCs w:val="21"/>
        </w:rPr>
        <w:t>13.2投标人应按招标文件第六章“投标文件（格式）”编制投标文件。</w:t>
      </w:r>
    </w:p>
    <w:p w14:paraId="09339A14">
      <w:pPr>
        <w:pStyle w:val="27"/>
        <w:spacing w:line="360" w:lineRule="auto"/>
        <w:ind w:firstLine="420"/>
        <w:rPr>
          <w:rFonts w:hint="eastAsia" w:hAnsi="宋体"/>
          <w:color w:val="auto"/>
        </w:rPr>
      </w:pPr>
      <w:r>
        <w:rPr>
          <w:rFonts w:hint="eastAsia" w:hAnsi="宋体"/>
          <w:color w:val="auto"/>
        </w:rPr>
        <w:t>13.3</w:t>
      </w:r>
      <w:r>
        <w:rPr>
          <w:rFonts w:hint="eastAsia" w:hAnsi="宋体" w:cs="宋体"/>
          <w:color w:val="auto"/>
          <w:kern w:val="0"/>
          <w:szCs w:val="21"/>
        </w:rPr>
        <w:t>投标人必须按照招标文件的要求编制投标文件。投标文件必须对招标文件提出的要求和条件作出明确响应。</w:t>
      </w:r>
    </w:p>
    <w:p w14:paraId="1BAAA38C">
      <w:pPr>
        <w:pStyle w:val="27"/>
        <w:spacing w:line="360" w:lineRule="auto"/>
        <w:ind w:firstLine="420"/>
        <w:rPr>
          <w:rFonts w:hint="eastAsia" w:hAnsi="宋体"/>
          <w:b/>
          <w:color w:val="auto"/>
          <w:szCs w:val="21"/>
        </w:rPr>
      </w:pPr>
      <w:r>
        <w:rPr>
          <w:rFonts w:hint="eastAsia" w:hAnsi="宋体"/>
          <w:b/>
          <w:color w:val="auto"/>
          <w:szCs w:val="21"/>
        </w:rPr>
        <w:t>14.投标文件的语言及计量</w:t>
      </w:r>
    </w:p>
    <w:p w14:paraId="7C50E0C3">
      <w:pPr>
        <w:pStyle w:val="27"/>
        <w:spacing w:line="360" w:lineRule="auto"/>
        <w:ind w:firstLine="420"/>
        <w:rPr>
          <w:rFonts w:hint="eastAsia" w:hAnsi="宋体"/>
          <w:color w:val="auto"/>
        </w:rPr>
      </w:pPr>
      <w:r>
        <w:rPr>
          <w:rFonts w:hint="eastAsia" w:hAnsi="宋体"/>
          <w:color w:val="auto"/>
        </w:rPr>
        <w:t>14.1投标文件以及投标人与招标采购单位就有关投标事宜的所有来往函电，均应以中文汉语书写。投标人提交的支持文件和印刷的文献可以使用别的语言，但其相应内容必须附有中文翻译文本，在解释投标文件时以中文翻译文本为主。</w:t>
      </w:r>
    </w:p>
    <w:p w14:paraId="45CB8DCE">
      <w:pPr>
        <w:pStyle w:val="27"/>
        <w:spacing w:line="360" w:lineRule="auto"/>
        <w:ind w:firstLine="420"/>
        <w:rPr>
          <w:rFonts w:hint="eastAsia" w:hAnsi="宋体"/>
          <w:color w:val="auto"/>
        </w:rPr>
      </w:pPr>
      <w:r>
        <w:rPr>
          <w:rFonts w:hint="eastAsia" w:hAnsi="宋体"/>
          <w:color w:val="auto"/>
        </w:rPr>
        <w:t>14.2投标计量单位，招标文件已有明确规定的，使用招标文件规定的计量单位；招标文件没有规定的，应采用中华人民共和国法定计量单位（货币单位：人民币元），否则视同未响应。</w:t>
      </w:r>
    </w:p>
    <w:p w14:paraId="2D0BE025">
      <w:pPr>
        <w:tabs>
          <w:tab w:val="left" w:pos="1305"/>
        </w:tabs>
        <w:spacing w:line="360" w:lineRule="auto"/>
        <w:ind w:firstLine="422" w:firstLineChars="200"/>
        <w:rPr>
          <w:rFonts w:hint="eastAsia" w:ascii="宋体" w:hAnsi="宋体"/>
          <w:b/>
          <w:color w:val="auto"/>
          <w:szCs w:val="21"/>
        </w:rPr>
      </w:pPr>
      <w:r>
        <w:rPr>
          <w:rFonts w:hint="eastAsia" w:ascii="宋体" w:hAnsi="宋体"/>
          <w:b/>
          <w:color w:val="auto"/>
          <w:szCs w:val="21"/>
        </w:rPr>
        <w:t>15. 采购预算金额及投标报价</w:t>
      </w:r>
    </w:p>
    <w:p w14:paraId="3BA2A9C8">
      <w:pPr>
        <w:spacing w:line="360" w:lineRule="auto"/>
        <w:ind w:firstLine="435"/>
        <w:rPr>
          <w:rFonts w:hint="eastAsia" w:ascii="宋体" w:hAnsi="宋体"/>
          <w:color w:val="auto"/>
          <w:szCs w:val="21"/>
        </w:rPr>
      </w:pPr>
      <w:r>
        <w:rPr>
          <w:rFonts w:hint="eastAsia" w:ascii="宋体" w:hAnsi="宋体"/>
          <w:color w:val="auto"/>
        </w:rPr>
        <w:t>15.1项目采购预算金额（人民币）：</w:t>
      </w:r>
      <w:r>
        <w:rPr>
          <w:rFonts w:hint="eastAsia" w:ascii="宋体" w:hAnsi="宋体"/>
          <w:color w:val="auto"/>
          <w:szCs w:val="21"/>
        </w:rPr>
        <w:t>详见《投标人须知前附表》第4条。</w:t>
      </w:r>
      <w:r>
        <w:rPr>
          <w:rFonts w:hint="eastAsia" w:ascii="宋体" w:hAnsi="宋体"/>
          <w:b/>
          <w:color w:val="auto"/>
        </w:rPr>
        <w:t>投标人的报价明显低于其他通过符合性审查投标人的报价，有可能影响产品质量或者不能诚信履约的，其应当在评标现场合理的时间内提供书面说明，必要时提交相关证明材料；投标人不能证明其报价合理性的，评标委员会将其作为无效投标处理。</w:t>
      </w:r>
    </w:p>
    <w:p w14:paraId="6A583C4A">
      <w:pPr>
        <w:pStyle w:val="27"/>
        <w:spacing w:line="360" w:lineRule="auto"/>
        <w:ind w:firstLine="420"/>
        <w:rPr>
          <w:rFonts w:hint="eastAsia" w:hAnsi="宋体"/>
          <w:color w:val="auto"/>
        </w:rPr>
      </w:pPr>
      <w:r>
        <w:rPr>
          <w:rFonts w:hint="eastAsia" w:hAnsi="宋体"/>
          <w:color w:val="auto"/>
        </w:rPr>
        <w:t>15.2投标报价</w:t>
      </w:r>
    </w:p>
    <w:p w14:paraId="560DCC88">
      <w:pPr>
        <w:pStyle w:val="27"/>
        <w:spacing w:line="360" w:lineRule="auto"/>
        <w:ind w:firstLine="420"/>
        <w:rPr>
          <w:rFonts w:hint="eastAsia" w:hAnsi="宋体"/>
          <w:color w:val="auto"/>
        </w:rPr>
      </w:pPr>
      <w:r>
        <w:rPr>
          <w:rFonts w:hint="eastAsia" w:hAnsi="宋体"/>
          <w:color w:val="auto"/>
        </w:rPr>
        <w:t>15.2.1投标报价必须按招标文件中第六章“投标文件（格式）”填写，投标报价超过采购预算金额的，投标文件按无效处理。</w:t>
      </w:r>
    </w:p>
    <w:p w14:paraId="6A6C5B97">
      <w:pPr>
        <w:pStyle w:val="27"/>
        <w:spacing w:line="360" w:lineRule="auto"/>
        <w:ind w:firstLine="420"/>
        <w:rPr>
          <w:rFonts w:hint="eastAsia" w:hAnsi="宋体"/>
          <w:color w:val="auto"/>
          <w:szCs w:val="21"/>
        </w:rPr>
      </w:pPr>
      <w:r>
        <w:rPr>
          <w:rFonts w:hint="eastAsia" w:hAnsi="宋体"/>
          <w:color w:val="auto"/>
          <w:szCs w:val="21"/>
        </w:rPr>
        <w:t>15.2.2投标人必须就《货物采购需求》中所有货物和服务内容作完整唯一报价，否则，其投标将被拒绝；投标文件只允许有一个报价，有选择的或有条件的报价将不予接受。</w:t>
      </w:r>
    </w:p>
    <w:p w14:paraId="5A02960E">
      <w:pPr>
        <w:snapToGrid w:val="0"/>
        <w:spacing w:line="360" w:lineRule="exact"/>
        <w:ind w:firstLine="422" w:firstLineChars="200"/>
        <w:jc w:val="left"/>
        <w:rPr>
          <w:rFonts w:hint="eastAsia" w:ascii="宋体" w:hAnsi="宋体"/>
          <w:color w:val="auto"/>
          <w:szCs w:val="21"/>
        </w:rPr>
      </w:pPr>
      <w:r>
        <w:rPr>
          <w:rFonts w:hint="eastAsia" w:ascii="宋体" w:hAnsi="宋体"/>
          <w:b/>
          <w:color w:val="auto"/>
        </w:rPr>
        <w:t>15.2.3</w:t>
      </w:r>
      <w:r>
        <w:rPr>
          <w:rFonts w:hint="eastAsia" w:ascii="宋体" w:hAnsi="宋体"/>
          <w:b/>
          <w:color w:val="auto"/>
          <w:szCs w:val="21"/>
        </w:rPr>
        <w:t>投标报价为履行合同的最终价格。本项目为交钥匙项目，实行总价包干。投标报价包括本次招标采购范围内货物价款、货物随配标准附件、包装、运输、装卸、保险、税金、货到位以及安装、安装所需辅材、调试、检验、售后服务、培训、保修、验收及其他所有成本费用的总和，投标人应综合考虑在报价中。投标人应充分考虑施工期间各类材料的市场价格变化和可能的国家政策性调整，确定风险系数，对本项目的所有内容范围的设备及施工进行总承包报价。</w:t>
      </w:r>
    </w:p>
    <w:p w14:paraId="30438E00">
      <w:pPr>
        <w:pStyle w:val="27"/>
        <w:spacing w:line="360" w:lineRule="auto"/>
        <w:ind w:firstLine="420"/>
        <w:rPr>
          <w:rFonts w:hint="eastAsia" w:hAnsi="宋体"/>
          <w:b/>
          <w:color w:val="auto"/>
          <w:szCs w:val="21"/>
        </w:rPr>
      </w:pPr>
      <w:r>
        <w:rPr>
          <w:rFonts w:hint="eastAsia" w:hAnsi="宋体"/>
          <w:b/>
          <w:color w:val="auto"/>
          <w:szCs w:val="21"/>
        </w:rPr>
        <w:t>16.投标有效期</w:t>
      </w:r>
    </w:p>
    <w:p w14:paraId="2AAB5398">
      <w:pPr>
        <w:tabs>
          <w:tab w:val="left" w:pos="1305"/>
        </w:tabs>
        <w:spacing w:line="360" w:lineRule="auto"/>
        <w:ind w:firstLine="420" w:firstLineChars="200"/>
        <w:rPr>
          <w:rFonts w:hint="eastAsia" w:ascii="宋体" w:hAnsi="宋体" w:cs="Arial"/>
          <w:color w:val="auto"/>
          <w:sz w:val="22"/>
          <w:szCs w:val="22"/>
        </w:rPr>
      </w:pPr>
      <w:r>
        <w:rPr>
          <w:rFonts w:hint="eastAsia" w:ascii="宋体" w:hAnsi="宋体"/>
          <w:color w:val="auto"/>
          <w:szCs w:val="21"/>
        </w:rPr>
        <w:t>16.1投标有效期：</w:t>
      </w:r>
      <w:r>
        <w:rPr>
          <w:rFonts w:hint="eastAsia" w:ascii="宋体" w:hAnsi="宋体" w:cs="宋体"/>
          <w:color w:val="auto"/>
        </w:rPr>
        <w:t>投标截止时间之日起90天</w:t>
      </w:r>
      <w:r>
        <w:rPr>
          <w:rFonts w:hint="eastAsia" w:ascii="宋体" w:hAnsi="宋体" w:cs="宋体"/>
          <w:color w:val="auto"/>
          <w:sz w:val="22"/>
          <w:szCs w:val="22"/>
        </w:rPr>
        <w:t>。</w:t>
      </w:r>
    </w:p>
    <w:p w14:paraId="09B2AD89">
      <w:pPr>
        <w:tabs>
          <w:tab w:val="left" w:pos="1305"/>
        </w:tabs>
        <w:spacing w:line="360" w:lineRule="auto"/>
        <w:ind w:firstLine="420" w:firstLineChars="200"/>
        <w:rPr>
          <w:rFonts w:hint="eastAsia" w:ascii="宋体" w:hAnsi="宋体"/>
          <w:color w:val="auto"/>
          <w:szCs w:val="21"/>
        </w:rPr>
      </w:pPr>
      <w:r>
        <w:rPr>
          <w:rFonts w:hint="eastAsia" w:ascii="宋体" w:hAnsi="宋体"/>
          <w:color w:val="auto"/>
          <w:szCs w:val="21"/>
        </w:rPr>
        <w:t>16.2出现特殊情况下，需要延长投标有效期的，采购代理机构以书面形式通知所有投标人延长投标有效期。投标人同意延长的，投标文件为有效文件，但不能修改投标文件。投标人拒绝延长的，其投标无效。</w:t>
      </w:r>
    </w:p>
    <w:p w14:paraId="26B826E7">
      <w:pPr>
        <w:tabs>
          <w:tab w:val="left" w:pos="1305"/>
        </w:tabs>
        <w:spacing w:line="360" w:lineRule="auto"/>
        <w:ind w:firstLine="422" w:firstLineChars="200"/>
        <w:rPr>
          <w:rFonts w:hint="eastAsia" w:ascii="宋体" w:hAnsi="宋体"/>
          <w:b/>
          <w:color w:val="auto"/>
          <w:szCs w:val="21"/>
        </w:rPr>
      </w:pPr>
      <w:r>
        <w:rPr>
          <w:rFonts w:hint="eastAsia" w:ascii="宋体" w:hAnsi="宋体"/>
          <w:b/>
          <w:color w:val="auto"/>
          <w:szCs w:val="21"/>
        </w:rPr>
        <w:t>17.</w:t>
      </w:r>
      <w:r>
        <w:rPr>
          <w:rFonts w:hint="eastAsia" w:ascii="宋体" w:hAnsi="宋体"/>
          <w:color w:val="auto"/>
        </w:rPr>
        <w:t xml:space="preserve"> </w:t>
      </w:r>
      <w:r>
        <w:rPr>
          <w:rFonts w:hint="eastAsia" w:ascii="宋体" w:hAnsi="宋体"/>
          <w:b/>
          <w:color w:val="auto"/>
          <w:szCs w:val="21"/>
        </w:rPr>
        <w:t>电子投标文件的制作、加密、投标人公章及签字</w:t>
      </w:r>
    </w:p>
    <w:p w14:paraId="01B9465C">
      <w:pPr>
        <w:tabs>
          <w:tab w:val="left" w:pos="1305"/>
        </w:tabs>
        <w:spacing w:line="360" w:lineRule="auto"/>
        <w:ind w:firstLine="422" w:firstLineChars="200"/>
        <w:rPr>
          <w:rFonts w:hint="eastAsia" w:ascii="宋体" w:hAnsi="宋体"/>
          <w:b/>
          <w:color w:val="auto"/>
          <w:szCs w:val="21"/>
        </w:rPr>
      </w:pPr>
      <w:r>
        <w:rPr>
          <w:rFonts w:hint="eastAsia" w:ascii="宋体" w:hAnsi="宋体"/>
          <w:b/>
          <w:color w:val="auto"/>
          <w:szCs w:val="21"/>
        </w:rPr>
        <w:t>17.1电子投标文件的制作、加密</w:t>
      </w:r>
    </w:p>
    <w:p w14:paraId="3BCCF41D">
      <w:pPr>
        <w:tabs>
          <w:tab w:val="left" w:pos="1305"/>
        </w:tabs>
        <w:spacing w:line="360" w:lineRule="auto"/>
        <w:ind w:firstLine="420" w:firstLineChars="200"/>
        <w:rPr>
          <w:rFonts w:hint="eastAsia" w:ascii="宋体" w:hAnsi="宋体"/>
          <w:color w:val="auto"/>
          <w:szCs w:val="21"/>
        </w:rPr>
      </w:pPr>
      <w:r>
        <w:rPr>
          <w:rFonts w:hint="eastAsia" w:ascii="宋体" w:hAnsi="宋体"/>
          <w:color w:val="auto"/>
          <w:szCs w:val="21"/>
        </w:rPr>
        <w:t>17.1.1投标人制作电子投标文件前，必须登陆“广西政府采购云”平台进行招标文件的获取操作。</w:t>
      </w:r>
    </w:p>
    <w:p w14:paraId="40BDDB52">
      <w:pPr>
        <w:tabs>
          <w:tab w:val="left" w:pos="1305"/>
        </w:tabs>
        <w:spacing w:line="360" w:lineRule="auto"/>
        <w:ind w:firstLine="420" w:firstLineChars="200"/>
        <w:rPr>
          <w:rFonts w:hint="eastAsia" w:ascii="宋体" w:hAnsi="宋体"/>
          <w:color w:val="auto"/>
          <w:szCs w:val="21"/>
        </w:rPr>
      </w:pPr>
      <w:r>
        <w:rPr>
          <w:rFonts w:hint="eastAsia" w:ascii="宋体" w:hAnsi="宋体"/>
          <w:color w:val="auto"/>
          <w:szCs w:val="21"/>
        </w:rPr>
        <w:t>17.1.2投标人下载或获取招标文件后，登录“广西政府采购云平台电子投标客户端”，按照本招标文件规定的投标文件格式、顺序以及“广西政府采购云”平台的要求，通过“广西政府采购云平台电子投标客户端”编制电子投标文件。</w:t>
      </w:r>
    </w:p>
    <w:p w14:paraId="4E93C104">
      <w:pPr>
        <w:tabs>
          <w:tab w:val="left" w:pos="1305"/>
        </w:tabs>
        <w:spacing w:line="360" w:lineRule="auto"/>
        <w:ind w:firstLine="420" w:firstLineChars="200"/>
        <w:rPr>
          <w:rFonts w:hint="eastAsia" w:ascii="宋体" w:hAnsi="宋体"/>
          <w:color w:val="auto"/>
          <w:szCs w:val="21"/>
        </w:rPr>
      </w:pPr>
      <w:r>
        <w:rPr>
          <w:rFonts w:hint="eastAsia" w:ascii="宋体" w:hAnsi="宋体"/>
          <w:color w:val="auto"/>
          <w:szCs w:val="21"/>
        </w:rPr>
        <w:t>17.1.3投标人应按“广西政府采购云电子投标客户端”载明的“标书关联”功能进行电子投标文件相应内容的关联定位，以便评标委员会在评审时点击相应评审项可直接定位到该评审内容；如投标人的电子投标文件未能关联定位相应内容，或者关联定位的内容与该评审项不符，导致评标委员会无法查询并做出对投标人不利的评审，相关后果由投标人自行承担。</w:t>
      </w:r>
    </w:p>
    <w:p w14:paraId="15608355">
      <w:pPr>
        <w:tabs>
          <w:tab w:val="left" w:pos="1305"/>
        </w:tabs>
        <w:spacing w:line="360" w:lineRule="auto"/>
        <w:ind w:firstLine="420" w:firstLineChars="200"/>
        <w:rPr>
          <w:rFonts w:hint="eastAsia" w:ascii="宋体" w:hAnsi="宋体"/>
          <w:color w:val="auto"/>
          <w:szCs w:val="21"/>
        </w:rPr>
      </w:pPr>
      <w:r>
        <w:rPr>
          <w:rFonts w:hint="eastAsia" w:ascii="宋体" w:hAnsi="宋体"/>
          <w:color w:val="auto"/>
          <w:szCs w:val="21"/>
        </w:rPr>
        <w:t>17.1.4电子投标文件不得涂改，若有修改错漏处，须由法定代表人（负责人、自然人）或授权委托代理人通过“广西政府采购云平台电子投标客户端”采用广西政府采购云平台个人CA证书签章，没有办理广西政府采购云平台个人CA证书签章的，在投标文件中响应位置手写签字后扫描或者拍照做成 PDF 的格式上传。因投标文件字迹潦草、表达不清、内容不完整、编排混乱导致投标文件被误读、漏读，或者在按招标文件规定的部位查找不到相关内容的，其不利后果由投标人自行承担。</w:t>
      </w:r>
    </w:p>
    <w:p w14:paraId="329B154B">
      <w:pPr>
        <w:tabs>
          <w:tab w:val="left" w:pos="1305"/>
        </w:tabs>
        <w:spacing w:line="360" w:lineRule="auto"/>
        <w:ind w:firstLine="420" w:firstLineChars="200"/>
        <w:rPr>
          <w:rFonts w:hint="eastAsia" w:ascii="宋体" w:hAnsi="宋体"/>
          <w:color w:val="auto"/>
          <w:szCs w:val="21"/>
        </w:rPr>
      </w:pPr>
      <w:r>
        <w:rPr>
          <w:rFonts w:hint="eastAsia" w:ascii="宋体" w:hAnsi="宋体"/>
          <w:color w:val="auto"/>
          <w:szCs w:val="21"/>
        </w:rPr>
        <w:t>17.1.5投标人编制、生成电子投标文件后应当加密投标文件。投标人未按规定编制并加密的投标文件，“广西政府采购云”平台将予以拒收。</w:t>
      </w:r>
    </w:p>
    <w:p w14:paraId="028CA7AE">
      <w:pPr>
        <w:tabs>
          <w:tab w:val="left" w:pos="1305"/>
        </w:tabs>
        <w:spacing w:line="360" w:lineRule="auto"/>
        <w:ind w:firstLine="422" w:firstLineChars="200"/>
        <w:rPr>
          <w:rFonts w:hint="eastAsia" w:ascii="宋体" w:hAnsi="宋体"/>
          <w:b/>
          <w:color w:val="auto"/>
          <w:szCs w:val="21"/>
        </w:rPr>
      </w:pPr>
      <w:r>
        <w:rPr>
          <w:rFonts w:hint="eastAsia" w:ascii="宋体" w:hAnsi="宋体"/>
          <w:b/>
          <w:color w:val="auto"/>
          <w:szCs w:val="21"/>
        </w:rPr>
        <w:t>17.2投标人公章及签字</w:t>
      </w:r>
    </w:p>
    <w:p w14:paraId="690971FC">
      <w:pPr>
        <w:tabs>
          <w:tab w:val="left" w:pos="1305"/>
        </w:tabs>
        <w:spacing w:line="360" w:lineRule="auto"/>
        <w:ind w:firstLine="420" w:firstLineChars="200"/>
        <w:rPr>
          <w:rFonts w:hint="eastAsia" w:ascii="宋体" w:hAnsi="宋体"/>
          <w:color w:val="auto"/>
          <w:szCs w:val="21"/>
        </w:rPr>
      </w:pPr>
      <w:r>
        <w:rPr>
          <w:rFonts w:hint="eastAsia" w:ascii="宋体" w:hAnsi="宋体"/>
          <w:color w:val="auto"/>
          <w:szCs w:val="21"/>
        </w:rPr>
        <w:t>17.2.1本招标文件中描述投标人的“公章”是指投标人通过指定电子化政府采购平台办理数字证书（CA认证证书）获得的以法定主体行为名称制作的电子印章。</w:t>
      </w:r>
    </w:p>
    <w:p w14:paraId="2A66BE19">
      <w:pPr>
        <w:tabs>
          <w:tab w:val="left" w:pos="1305"/>
        </w:tabs>
        <w:spacing w:line="360" w:lineRule="auto"/>
        <w:ind w:firstLine="420" w:firstLineChars="200"/>
        <w:rPr>
          <w:rFonts w:hint="eastAsia" w:ascii="宋体" w:hAnsi="宋体"/>
          <w:color w:val="auto"/>
          <w:szCs w:val="21"/>
        </w:rPr>
      </w:pPr>
      <w:r>
        <w:rPr>
          <w:rFonts w:hint="eastAsia" w:ascii="宋体" w:hAnsi="宋体"/>
          <w:color w:val="auto"/>
          <w:szCs w:val="21"/>
        </w:rPr>
        <w:t>17.2.2本招标文件中要求投标人对其电子投标文件的相关内容加盖公章的，均指采用CA证书签章。</w:t>
      </w:r>
    </w:p>
    <w:p w14:paraId="42977EA1">
      <w:pPr>
        <w:tabs>
          <w:tab w:val="left" w:pos="1305"/>
        </w:tabs>
        <w:spacing w:line="360" w:lineRule="auto"/>
        <w:ind w:firstLine="420" w:firstLineChars="200"/>
        <w:rPr>
          <w:rFonts w:hint="eastAsia" w:ascii="宋体" w:hAnsi="宋体"/>
          <w:color w:val="auto"/>
          <w:szCs w:val="21"/>
        </w:rPr>
      </w:pPr>
      <w:r>
        <w:rPr>
          <w:rFonts w:hint="eastAsia" w:ascii="宋体" w:hAnsi="宋体"/>
          <w:color w:val="auto"/>
          <w:szCs w:val="21"/>
        </w:rPr>
        <w:t>17.2.3本招标文件中描述投标人的“签字”是指投标人通过指定电子化政府采购平台办理数字证书（CA认证证书）获得的以投标人法定代表人（自负责人、自然人）或者委托代理人姓名制作的个人电子印章或手写签字。没有办理个人CA证书的，可以为手写签字的形式。</w:t>
      </w:r>
    </w:p>
    <w:p w14:paraId="48E1AD25">
      <w:pPr>
        <w:tabs>
          <w:tab w:val="left" w:pos="1305"/>
        </w:tabs>
        <w:spacing w:line="360" w:lineRule="auto"/>
        <w:ind w:firstLine="422" w:firstLineChars="200"/>
        <w:rPr>
          <w:rFonts w:hint="eastAsia" w:ascii="宋体" w:hAnsi="宋体"/>
          <w:b/>
          <w:color w:val="auto"/>
          <w:szCs w:val="21"/>
        </w:rPr>
      </w:pPr>
      <w:r>
        <w:rPr>
          <w:rFonts w:hint="eastAsia" w:ascii="宋体" w:hAnsi="宋体"/>
          <w:b/>
          <w:color w:val="auto"/>
          <w:szCs w:val="21"/>
        </w:rPr>
        <w:t>18.投标文件的补充、修改和撤回</w:t>
      </w:r>
    </w:p>
    <w:p w14:paraId="14BC494C">
      <w:pPr>
        <w:tabs>
          <w:tab w:val="left" w:pos="1305"/>
        </w:tabs>
        <w:spacing w:line="360" w:lineRule="auto"/>
        <w:ind w:firstLine="420" w:firstLineChars="200"/>
        <w:rPr>
          <w:rFonts w:hint="eastAsia" w:ascii="宋体" w:hAnsi="宋体"/>
          <w:color w:val="auto"/>
          <w:szCs w:val="21"/>
        </w:rPr>
      </w:pPr>
      <w:r>
        <w:rPr>
          <w:rFonts w:hint="eastAsia" w:ascii="宋体" w:hAnsi="宋体"/>
          <w:color w:val="auto"/>
          <w:szCs w:val="21"/>
        </w:rPr>
        <w:t>18.1投标人应当在提交投标文件截止时间前，将生成的电子投标文件上传提交至“广西政府采购云”平台。投标文件提交截止时间前可以补充、修改或撤回电子投标文件，补充、修改电子投标文件的，应当先行撤回原文件，补充、修改后重新传输提交。在投标文件提交截止时间后的投标文件有效期内，投标人不得撤回其投标文件。提交投标文件截止时间前未成功将电子投标文件上传“广西政府采购云”平台的，视为未提交投标文件。</w:t>
      </w:r>
    </w:p>
    <w:p w14:paraId="1654AED2">
      <w:pPr>
        <w:tabs>
          <w:tab w:val="left" w:pos="1305"/>
        </w:tabs>
        <w:spacing w:line="360" w:lineRule="auto"/>
        <w:ind w:firstLine="420" w:firstLineChars="200"/>
        <w:rPr>
          <w:rFonts w:hint="eastAsia" w:ascii="宋体" w:hAnsi="宋体" w:cs="宋体"/>
          <w:color w:val="auto"/>
        </w:rPr>
      </w:pPr>
      <w:r>
        <w:rPr>
          <w:rFonts w:hint="eastAsia" w:ascii="宋体" w:hAnsi="宋体"/>
          <w:color w:val="auto"/>
          <w:szCs w:val="21"/>
        </w:rPr>
        <w:t>18.2在投标文件递交截止时间后的投标文件有效期内，投标人不得撤回其投标文件。</w:t>
      </w:r>
    </w:p>
    <w:p w14:paraId="49C36955">
      <w:pPr>
        <w:snapToGrid w:val="0"/>
        <w:spacing w:line="360" w:lineRule="auto"/>
        <w:ind w:firstLine="316" w:firstLineChars="150"/>
        <w:jc w:val="left"/>
        <w:rPr>
          <w:rFonts w:hint="eastAsia" w:ascii="宋体" w:hAnsi="宋体"/>
          <w:b/>
          <w:color w:val="auto"/>
          <w:szCs w:val="21"/>
        </w:rPr>
      </w:pPr>
      <w:r>
        <w:rPr>
          <w:rFonts w:hint="eastAsia" w:ascii="宋体" w:hAnsi="宋体"/>
          <w:b/>
          <w:color w:val="auto"/>
          <w:szCs w:val="21"/>
        </w:rPr>
        <w:t>19. 提交投标文件截止时间、地点及投标文件解密</w:t>
      </w:r>
    </w:p>
    <w:p w14:paraId="68ACC0D0">
      <w:pPr>
        <w:snapToGrid w:val="0"/>
        <w:spacing w:line="360" w:lineRule="auto"/>
        <w:ind w:firstLine="316" w:firstLineChars="150"/>
        <w:jc w:val="left"/>
        <w:rPr>
          <w:rFonts w:hint="eastAsia" w:ascii="宋体" w:hAnsi="宋体"/>
          <w:b/>
          <w:color w:val="auto"/>
          <w:szCs w:val="21"/>
        </w:rPr>
      </w:pPr>
      <w:r>
        <w:rPr>
          <w:rFonts w:hint="eastAsia" w:ascii="宋体" w:hAnsi="宋体"/>
          <w:b/>
          <w:color w:val="auto"/>
          <w:szCs w:val="21"/>
        </w:rPr>
        <w:t>19.1提交投标文件截止时间、地点</w:t>
      </w:r>
    </w:p>
    <w:p w14:paraId="466DCAB9">
      <w:pPr>
        <w:spacing w:line="360" w:lineRule="auto"/>
        <w:ind w:firstLine="315" w:firstLineChars="150"/>
        <w:rPr>
          <w:rFonts w:hint="eastAsia" w:ascii="宋体" w:hAnsi="宋体"/>
          <w:color w:val="auto"/>
          <w:szCs w:val="21"/>
        </w:rPr>
      </w:pPr>
      <w:r>
        <w:rPr>
          <w:rFonts w:hint="eastAsia" w:ascii="宋体" w:hAnsi="宋体"/>
          <w:color w:val="auto"/>
          <w:szCs w:val="21"/>
        </w:rPr>
        <w:t>19.1.1提交投标文件截止时间：详见《投标人须知前附表》第9条。</w:t>
      </w:r>
    </w:p>
    <w:p w14:paraId="7D06E8E7">
      <w:pPr>
        <w:spacing w:line="360" w:lineRule="auto"/>
        <w:ind w:firstLine="315" w:firstLineChars="150"/>
        <w:rPr>
          <w:rFonts w:hint="eastAsia" w:ascii="宋体" w:hAnsi="宋体"/>
          <w:color w:val="auto"/>
          <w:szCs w:val="21"/>
        </w:rPr>
      </w:pPr>
      <w:r>
        <w:rPr>
          <w:rFonts w:hint="eastAsia" w:ascii="宋体" w:hAnsi="宋体"/>
          <w:color w:val="auto"/>
          <w:szCs w:val="21"/>
        </w:rPr>
        <w:t>19.1.2地点：详见《投标人须知前附表》第9条。</w:t>
      </w:r>
    </w:p>
    <w:p w14:paraId="0D21F3FC">
      <w:pPr>
        <w:snapToGrid w:val="0"/>
        <w:spacing w:line="360" w:lineRule="auto"/>
        <w:ind w:firstLine="315" w:firstLineChars="150"/>
        <w:jc w:val="left"/>
        <w:rPr>
          <w:rFonts w:hint="eastAsia" w:ascii="宋体" w:hAnsi="宋体"/>
          <w:color w:val="auto"/>
          <w:szCs w:val="21"/>
        </w:rPr>
      </w:pPr>
      <w:r>
        <w:rPr>
          <w:rFonts w:hint="eastAsia" w:ascii="宋体" w:hAnsi="宋体"/>
          <w:color w:val="auto"/>
          <w:szCs w:val="21"/>
        </w:rPr>
        <w:t>19.1.3除招标文件另有规定外，投标人所递交的电子投标文件不予退还。</w:t>
      </w:r>
    </w:p>
    <w:p w14:paraId="6A99CD02">
      <w:pPr>
        <w:snapToGrid w:val="0"/>
        <w:spacing w:line="360" w:lineRule="auto"/>
        <w:ind w:firstLine="315" w:firstLineChars="150"/>
        <w:jc w:val="left"/>
        <w:rPr>
          <w:rFonts w:hint="eastAsia" w:ascii="宋体" w:hAnsi="宋体"/>
          <w:color w:val="auto"/>
          <w:szCs w:val="21"/>
        </w:rPr>
      </w:pPr>
      <w:r>
        <w:rPr>
          <w:rFonts w:hint="eastAsia" w:ascii="宋体" w:hAnsi="宋体"/>
          <w:color w:val="auto"/>
          <w:szCs w:val="21"/>
        </w:rPr>
        <w:t>19.1.4如有特殊情况，采购代理机构延长截止时间和开标时间，采购代理机构和投标人的权利和义务将受到新的截止时间和开标时间的约束。</w:t>
      </w:r>
    </w:p>
    <w:p w14:paraId="295AA3FD">
      <w:pPr>
        <w:snapToGrid w:val="0"/>
        <w:spacing w:line="360" w:lineRule="auto"/>
        <w:ind w:firstLine="316" w:firstLineChars="150"/>
        <w:jc w:val="left"/>
        <w:rPr>
          <w:rFonts w:hint="eastAsia" w:ascii="宋体" w:hAnsi="宋体"/>
          <w:b/>
          <w:color w:val="auto"/>
          <w:szCs w:val="21"/>
        </w:rPr>
      </w:pPr>
      <w:r>
        <w:rPr>
          <w:rFonts w:hint="eastAsia" w:ascii="宋体" w:hAnsi="宋体"/>
          <w:b/>
          <w:color w:val="auto"/>
          <w:szCs w:val="21"/>
        </w:rPr>
        <w:t>19.2投标文件解密</w:t>
      </w:r>
    </w:p>
    <w:p w14:paraId="1551E7B8">
      <w:pPr>
        <w:spacing w:line="360" w:lineRule="auto"/>
        <w:ind w:firstLine="424" w:firstLineChars="202"/>
        <w:rPr>
          <w:rFonts w:hint="eastAsia" w:ascii="宋体" w:hAnsi="宋体" w:cs="宋体"/>
          <w:bCs/>
          <w:color w:val="auto"/>
          <w:szCs w:val="21"/>
        </w:rPr>
      </w:pPr>
      <w:r>
        <w:rPr>
          <w:rFonts w:hint="eastAsia" w:ascii="宋体" w:hAnsi="宋体"/>
          <w:color w:val="auto"/>
          <w:szCs w:val="21"/>
        </w:rPr>
        <w:t>提交投</w:t>
      </w:r>
      <w:r>
        <w:rPr>
          <w:rFonts w:hint="eastAsia" w:ascii="宋体" w:hAnsi="宋体"/>
          <w:bCs/>
          <w:color w:val="auto"/>
        </w:rPr>
        <w:t>标文件截止时间，“广西政府采购云”平台自动提取所有投标人投标文件，各投标人须在提交投标文件截止</w:t>
      </w:r>
      <w:r>
        <w:rPr>
          <w:rFonts w:hint="eastAsia" w:ascii="宋体" w:hAnsi="宋体" w:cs="宋体"/>
          <w:bCs/>
          <w:color w:val="auto"/>
          <w:szCs w:val="21"/>
        </w:rPr>
        <w:t>后30分钟内（</w:t>
      </w:r>
      <w:r>
        <w:rPr>
          <w:rFonts w:hint="eastAsia" w:ascii="宋体" w:hAnsi="宋体"/>
          <w:color w:val="auto"/>
          <w:szCs w:val="21"/>
        </w:rPr>
        <w:t>2025年</w:t>
      </w:r>
      <w:r>
        <w:rPr>
          <w:rFonts w:hint="eastAsia" w:ascii="宋体" w:hAnsi="宋体"/>
          <w:color w:val="auto"/>
          <w:szCs w:val="21"/>
          <w:lang w:val="en-US" w:eastAsia="zh-CN"/>
        </w:rPr>
        <w:t>7</w:t>
      </w:r>
      <w:r>
        <w:rPr>
          <w:rFonts w:hint="eastAsia" w:ascii="宋体" w:hAnsi="宋体"/>
          <w:color w:val="auto"/>
          <w:szCs w:val="21"/>
        </w:rPr>
        <w:t>月</w:t>
      </w:r>
      <w:r>
        <w:rPr>
          <w:rFonts w:hint="eastAsia" w:ascii="宋体" w:hAnsi="宋体"/>
          <w:color w:val="auto"/>
          <w:szCs w:val="21"/>
          <w:lang w:val="en-US" w:eastAsia="zh-CN"/>
        </w:rPr>
        <w:t>30</w:t>
      </w:r>
      <w:r>
        <w:rPr>
          <w:rFonts w:hint="eastAsia" w:ascii="宋体" w:hAnsi="宋体"/>
          <w:color w:val="auto"/>
          <w:szCs w:val="21"/>
        </w:rPr>
        <w:t>日</w:t>
      </w:r>
      <w:r>
        <w:rPr>
          <w:rFonts w:hint="eastAsia" w:ascii="宋体" w:hAnsi="宋体" w:cs="宋体"/>
          <w:bCs/>
          <w:color w:val="auto"/>
          <w:szCs w:val="21"/>
        </w:rPr>
        <w:t>上午09时30至10时00分)，登录“广西政府采购云”平台，通过“项目采购-开标评标”功能解密电子投标文件。若投标人在规定时间内无法解密或解密失败的，</w:t>
      </w:r>
      <w:r>
        <w:rPr>
          <w:rFonts w:ascii="宋体" w:hAnsi="宋体" w:cs="宋体"/>
          <w:b/>
          <w:color w:val="auto"/>
          <w:szCs w:val="21"/>
          <w:u w:val="single"/>
        </w:rPr>
        <w:t>可以以电子备份投标文件作为依据</w:t>
      </w:r>
      <w:r>
        <w:rPr>
          <w:rFonts w:ascii="宋体" w:hAnsi="宋体" w:cs="宋体"/>
          <w:b/>
          <w:bCs/>
          <w:color w:val="auto"/>
          <w:szCs w:val="21"/>
          <w:u w:val="single"/>
        </w:rPr>
        <w:t>【在接到无法解密或解密失败的通知后，投标人可根据自身实际情况按通知时要求的时间到</w:t>
      </w:r>
      <w:r>
        <w:rPr>
          <w:rFonts w:hint="eastAsia" w:ascii="宋体" w:hAnsi="宋体"/>
          <w:b/>
          <w:color w:val="auto"/>
          <w:szCs w:val="21"/>
          <w:u w:val="single"/>
        </w:rPr>
        <w:t>桂林市公共资源交易中心</w:t>
      </w:r>
      <w:r>
        <w:rPr>
          <w:rFonts w:hint="eastAsia" w:ascii="宋体" w:hAnsi="宋体"/>
          <w:b/>
          <w:color w:val="auto"/>
          <w:szCs w:val="21"/>
          <w:u w:val="single"/>
          <w:lang w:val="en-US" w:eastAsia="zh-CN"/>
        </w:rPr>
        <w:t>5</w:t>
      </w:r>
      <w:r>
        <w:rPr>
          <w:rFonts w:hint="eastAsia" w:ascii="宋体" w:hAnsi="宋体"/>
          <w:b/>
          <w:color w:val="auto"/>
          <w:szCs w:val="21"/>
          <w:u w:val="single"/>
        </w:rPr>
        <w:t>号政采开标仓</w:t>
      </w:r>
      <w:r>
        <w:rPr>
          <w:rFonts w:ascii="宋体" w:hAnsi="宋体"/>
          <w:b/>
          <w:color w:val="auto"/>
          <w:szCs w:val="21"/>
          <w:u w:val="single"/>
        </w:rPr>
        <w:t>（</w:t>
      </w:r>
      <w:r>
        <w:rPr>
          <w:rFonts w:hint="eastAsia" w:ascii="宋体" w:hAnsi="宋体"/>
          <w:b/>
          <w:color w:val="auto"/>
          <w:szCs w:val="21"/>
          <w:u w:val="single"/>
        </w:rPr>
        <w:t>广西壮族自治区桂林市临桂区西城中路69号创业大厦西辅楼4楼</w:t>
      </w:r>
      <w:r>
        <w:rPr>
          <w:rFonts w:ascii="宋体" w:hAnsi="宋体"/>
          <w:b/>
          <w:color w:val="auto"/>
          <w:szCs w:val="21"/>
          <w:u w:val="single"/>
        </w:rPr>
        <w:t>）</w:t>
      </w:r>
      <w:r>
        <w:rPr>
          <w:rFonts w:ascii="宋体" w:hAnsi="宋体" w:cs="宋体"/>
          <w:b/>
          <w:bCs/>
          <w:color w:val="auto"/>
          <w:szCs w:val="21"/>
          <w:u w:val="single"/>
        </w:rPr>
        <w:t>现场提交或以电子邮件的形式（以通知时所告知的电子邮箱地址为准）提交电子备份投标文件】</w:t>
      </w:r>
      <w:r>
        <w:rPr>
          <w:rFonts w:ascii="宋体" w:hAnsi="宋体" w:cs="宋体"/>
          <w:b/>
          <w:color w:val="auto"/>
          <w:szCs w:val="21"/>
          <w:u w:val="single"/>
        </w:rPr>
        <w:t>，若投标人在规定时间内无法解密或解密失败且未提供电子备份投标文件的(包含提供的电子备份文件无效或无法解密的情况)</w:t>
      </w:r>
      <w:r>
        <w:rPr>
          <w:rFonts w:hint="eastAsia" w:ascii="宋体" w:hAnsi="宋体" w:cs="宋体"/>
          <w:b/>
          <w:bCs/>
          <w:color w:val="auto"/>
          <w:szCs w:val="21"/>
        </w:rPr>
        <w:t>视为自动放弃</w:t>
      </w:r>
      <w:r>
        <w:rPr>
          <w:rFonts w:hint="eastAsia" w:ascii="宋体" w:hAnsi="宋体" w:cs="宋体"/>
          <w:bCs/>
          <w:color w:val="auto"/>
          <w:szCs w:val="21"/>
        </w:rPr>
        <w:t>，投标文件按投标无效处理。</w:t>
      </w:r>
    </w:p>
    <w:p w14:paraId="02334A46">
      <w:pPr>
        <w:pStyle w:val="232"/>
        <w:ind w:firstLine="480"/>
        <w:rPr>
          <w:rFonts w:ascii="Times New Roman"/>
          <w:color w:val="auto"/>
        </w:rPr>
      </w:pPr>
    </w:p>
    <w:p w14:paraId="04B51D66">
      <w:pPr>
        <w:jc w:val="left"/>
        <w:rPr>
          <w:rFonts w:hint="eastAsia" w:ascii="宋体" w:hAnsi="宋体"/>
          <w:b/>
          <w:color w:val="auto"/>
          <w:sz w:val="28"/>
          <w:szCs w:val="28"/>
        </w:rPr>
      </w:pPr>
      <w:bookmarkStart w:id="5" w:name="_Toc90288701"/>
      <w:r>
        <w:rPr>
          <w:rFonts w:hint="eastAsia" w:ascii="宋体" w:hAnsi="宋体"/>
          <w:b/>
          <w:color w:val="auto"/>
          <w:sz w:val="28"/>
          <w:szCs w:val="28"/>
        </w:rPr>
        <w:br w:type="page"/>
      </w:r>
    </w:p>
    <w:p w14:paraId="33358DDA">
      <w:pPr>
        <w:tabs>
          <w:tab w:val="left" w:pos="1305"/>
        </w:tabs>
        <w:spacing w:line="360" w:lineRule="auto"/>
        <w:ind w:firstLine="562" w:firstLineChars="200"/>
        <w:jc w:val="center"/>
        <w:outlineLvl w:val="0"/>
        <w:rPr>
          <w:rFonts w:hint="eastAsia" w:ascii="宋体" w:hAnsi="宋体"/>
          <w:b/>
          <w:color w:val="auto"/>
          <w:sz w:val="28"/>
          <w:szCs w:val="28"/>
        </w:rPr>
      </w:pPr>
      <w:r>
        <w:rPr>
          <w:rFonts w:hint="eastAsia" w:ascii="宋体" w:hAnsi="宋体"/>
          <w:b/>
          <w:color w:val="auto"/>
          <w:sz w:val="28"/>
          <w:szCs w:val="28"/>
        </w:rPr>
        <w:t>四、开标</w:t>
      </w:r>
      <w:bookmarkEnd w:id="5"/>
    </w:p>
    <w:p w14:paraId="288FACB8">
      <w:pPr>
        <w:tabs>
          <w:tab w:val="left" w:pos="1305"/>
        </w:tabs>
        <w:spacing w:line="360" w:lineRule="auto"/>
        <w:ind w:firstLine="422" w:firstLineChars="200"/>
        <w:rPr>
          <w:rFonts w:hint="eastAsia" w:ascii="宋体" w:hAnsi="宋体"/>
          <w:b/>
          <w:color w:val="auto"/>
          <w:szCs w:val="21"/>
        </w:rPr>
      </w:pPr>
      <w:r>
        <w:rPr>
          <w:rFonts w:hint="eastAsia" w:ascii="宋体" w:hAnsi="宋体"/>
          <w:b/>
          <w:color w:val="auto"/>
          <w:szCs w:val="21"/>
        </w:rPr>
        <w:t>20.开标的时间和地点</w:t>
      </w:r>
    </w:p>
    <w:p w14:paraId="2AE1D2D8">
      <w:pPr>
        <w:snapToGrid w:val="0"/>
        <w:spacing w:line="360" w:lineRule="auto"/>
        <w:ind w:firstLine="420" w:firstLineChars="200"/>
        <w:jc w:val="left"/>
        <w:rPr>
          <w:rFonts w:hint="eastAsia" w:ascii="宋体" w:hAnsi="宋体"/>
          <w:color w:val="auto"/>
          <w:szCs w:val="21"/>
        </w:rPr>
      </w:pPr>
      <w:r>
        <w:rPr>
          <w:rFonts w:hint="eastAsia" w:ascii="宋体" w:hAnsi="宋体"/>
          <w:color w:val="auto"/>
          <w:szCs w:val="21"/>
        </w:rPr>
        <w:t>20.1开标时间及地点：</w:t>
      </w:r>
    </w:p>
    <w:p w14:paraId="346268F2">
      <w:pPr>
        <w:spacing w:line="360" w:lineRule="auto"/>
        <w:ind w:firstLine="435"/>
        <w:rPr>
          <w:rFonts w:hint="eastAsia" w:ascii="宋体" w:hAnsi="宋体"/>
          <w:color w:val="auto"/>
          <w:szCs w:val="21"/>
        </w:rPr>
      </w:pPr>
      <w:r>
        <w:rPr>
          <w:rFonts w:hint="eastAsia" w:ascii="宋体" w:hAnsi="宋体"/>
          <w:color w:val="auto"/>
          <w:szCs w:val="21"/>
        </w:rPr>
        <w:t>20.1.1开标时间：详见《投标人须知前附表》第11条。</w:t>
      </w:r>
    </w:p>
    <w:p w14:paraId="3E60DE26">
      <w:pPr>
        <w:snapToGrid w:val="0"/>
        <w:spacing w:line="360" w:lineRule="auto"/>
        <w:ind w:firstLine="420" w:firstLineChars="200"/>
        <w:jc w:val="left"/>
        <w:rPr>
          <w:rFonts w:hint="eastAsia" w:ascii="宋体" w:hAnsi="宋体"/>
          <w:color w:val="auto"/>
          <w:szCs w:val="21"/>
        </w:rPr>
      </w:pPr>
      <w:r>
        <w:rPr>
          <w:rFonts w:hint="eastAsia" w:ascii="宋体" w:hAnsi="宋体"/>
          <w:color w:val="auto"/>
          <w:szCs w:val="21"/>
        </w:rPr>
        <w:t>20.1.2开标地点：详见《投标人须知前附表》第11条。</w:t>
      </w:r>
    </w:p>
    <w:p w14:paraId="25372BEA">
      <w:pPr>
        <w:snapToGrid w:val="0"/>
        <w:spacing w:line="360" w:lineRule="auto"/>
        <w:ind w:firstLine="420" w:firstLineChars="200"/>
        <w:jc w:val="left"/>
        <w:rPr>
          <w:rFonts w:hint="eastAsia" w:ascii="宋体" w:hAnsi="宋体"/>
          <w:color w:val="auto"/>
          <w:szCs w:val="21"/>
        </w:rPr>
      </w:pPr>
      <w:r>
        <w:rPr>
          <w:rFonts w:hint="eastAsia" w:ascii="宋体" w:hAnsi="宋体"/>
          <w:color w:val="auto"/>
          <w:szCs w:val="21"/>
        </w:rPr>
        <w:t>20.1.3投标人可以由法定代表人（负责人、自然人）或其委托代理人出席开标会议。</w:t>
      </w:r>
    </w:p>
    <w:p w14:paraId="509C728B">
      <w:pPr>
        <w:snapToGrid w:val="0"/>
        <w:spacing w:line="360" w:lineRule="auto"/>
        <w:ind w:firstLine="420" w:firstLineChars="200"/>
        <w:jc w:val="left"/>
        <w:rPr>
          <w:rFonts w:hint="eastAsia" w:ascii="宋体" w:hAnsi="宋体"/>
          <w:color w:val="auto"/>
          <w:szCs w:val="21"/>
        </w:rPr>
      </w:pPr>
      <w:r>
        <w:rPr>
          <w:rFonts w:hint="eastAsia" w:ascii="宋体" w:hAnsi="宋体"/>
          <w:color w:val="auto"/>
          <w:szCs w:val="21"/>
        </w:rPr>
        <w:t>20.2投标人不足3家的，不得开标，采购人或者采购代理机构应当重新组织采购。</w:t>
      </w:r>
    </w:p>
    <w:p w14:paraId="1CE323BA">
      <w:pPr>
        <w:tabs>
          <w:tab w:val="left" w:pos="1305"/>
        </w:tabs>
        <w:spacing w:line="360" w:lineRule="auto"/>
        <w:ind w:firstLine="422" w:firstLineChars="200"/>
        <w:rPr>
          <w:rFonts w:hint="eastAsia" w:ascii="宋体" w:hAnsi="宋体"/>
          <w:b/>
          <w:color w:val="auto"/>
          <w:szCs w:val="21"/>
        </w:rPr>
      </w:pPr>
      <w:r>
        <w:rPr>
          <w:rFonts w:hint="eastAsia" w:ascii="宋体" w:hAnsi="宋体"/>
          <w:b/>
          <w:color w:val="auto"/>
          <w:szCs w:val="21"/>
        </w:rPr>
        <w:t>21. 开标准备及开标程序</w:t>
      </w:r>
    </w:p>
    <w:p w14:paraId="50DE5941">
      <w:pPr>
        <w:tabs>
          <w:tab w:val="left" w:pos="1305"/>
        </w:tabs>
        <w:spacing w:line="360" w:lineRule="auto"/>
        <w:ind w:firstLine="422" w:firstLineChars="200"/>
        <w:rPr>
          <w:rFonts w:hint="eastAsia" w:ascii="宋体" w:hAnsi="宋体"/>
          <w:b/>
          <w:color w:val="auto"/>
          <w:szCs w:val="21"/>
        </w:rPr>
      </w:pPr>
      <w:r>
        <w:rPr>
          <w:rFonts w:hint="eastAsia" w:ascii="宋体" w:hAnsi="宋体"/>
          <w:b/>
          <w:color w:val="auto"/>
          <w:szCs w:val="21"/>
        </w:rPr>
        <w:t>21.1开标准备</w:t>
      </w:r>
    </w:p>
    <w:p w14:paraId="7D1305C6">
      <w:pPr>
        <w:spacing w:line="360" w:lineRule="auto"/>
        <w:ind w:firstLine="420" w:firstLineChars="200"/>
        <w:rPr>
          <w:rFonts w:hint="eastAsia" w:ascii="宋体" w:hAnsi="宋体"/>
          <w:color w:val="auto"/>
          <w:szCs w:val="21"/>
        </w:rPr>
      </w:pPr>
      <w:r>
        <w:rPr>
          <w:rFonts w:hint="eastAsia" w:ascii="宋体" w:hAnsi="宋体"/>
          <w:color w:val="auto"/>
          <w:szCs w:val="21"/>
        </w:rPr>
        <w:t>21.1.1开标的准备工作由采购代理机构负责落实；</w:t>
      </w:r>
    </w:p>
    <w:p w14:paraId="5DD18419">
      <w:pPr>
        <w:spacing w:line="360" w:lineRule="auto"/>
        <w:ind w:firstLine="420" w:firstLineChars="200"/>
        <w:rPr>
          <w:rFonts w:hint="eastAsia" w:ascii="宋体" w:hAnsi="宋体"/>
          <w:color w:val="auto"/>
          <w:szCs w:val="21"/>
        </w:rPr>
      </w:pPr>
      <w:r>
        <w:rPr>
          <w:rFonts w:hint="eastAsia" w:ascii="宋体" w:hAnsi="宋体"/>
          <w:color w:val="auto"/>
          <w:szCs w:val="21"/>
        </w:rPr>
        <w:t>21.1.2采购代理机构将按照招标文件规定的时间通过“广西政府采购云平台”组织开标、开启投标文件，所有投标人均应当准时在线参加。投标人如不参加开标会的，视同认可开标结果，事后不得对采购相关人员、开标过程和开标结果提出异议，同时投标人因未在线参加开标而导致投标文件无法按时解密等一切后果由投标人自己承担。</w:t>
      </w:r>
    </w:p>
    <w:p w14:paraId="49C5A6FF">
      <w:pPr>
        <w:tabs>
          <w:tab w:val="left" w:pos="1305"/>
        </w:tabs>
        <w:spacing w:line="360" w:lineRule="auto"/>
        <w:ind w:firstLine="422" w:firstLineChars="200"/>
        <w:rPr>
          <w:rFonts w:hint="eastAsia" w:ascii="宋体" w:hAnsi="宋体"/>
          <w:b/>
          <w:color w:val="auto"/>
          <w:szCs w:val="21"/>
        </w:rPr>
      </w:pPr>
      <w:r>
        <w:rPr>
          <w:rFonts w:hint="eastAsia" w:ascii="宋体" w:hAnsi="宋体"/>
          <w:b/>
          <w:color w:val="auto"/>
          <w:szCs w:val="21"/>
        </w:rPr>
        <w:t>21.2开标程序</w:t>
      </w:r>
    </w:p>
    <w:p w14:paraId="3EA45E67">
      <w:pPr>
        <w:spacing w:line="360" w:lineRule="auto"/>
        <w:ind w:firstLine="420" w:firstLineChars="200"/>
        <w:rPr>
          <w:rFonts w:hint="eastAsia" w:ascii="宋体" w:hAnsi="宋体"/>
          <w:color w:val="auto"/>
          <w:szCs w:val="21"/>
        </w:rPr>
      </w:pPr>
      <w:r>
        <w:rPr>
          <w:rFonts w:hint="eastAsia" w:ascii="宋体" w:hAnsi="宋体"/>
          <w:color w:val="auto"/>
          <w:szCs w:val="21"/>
        </w:rPr>
        <w:t>21.2.1系统向各投标人发出电子加密投标文件【开始解密】通知，由投标人按招标文件规定的时间内对投标文件进行自行解密。</w:t>
      </w:r>
      <w:r>
        <w:rPr>
          <w:rFonts w:hint="eastAsia" w:ascii="宋体" w:hAnsi="宋体" w:cs="宋体"/>
          <w:bCs/>
          <w:color w:val="auto"/>
          <w:szCs w:val="21"/>
        </w:rPr>
        <w:t>若投标人在规定时间内无法解密或解密失败或超时解密的，系统默认自动放弃，投标文件按投标无效处理</w:t>
      </w:r>
      <w:r>
        <w:rPr>
          <w:rFonts w:hint="eastAsia" w:ascii="宋体" w:hAnsi="宋体"/>
          <w:color w:val="auto"/>
          <w:szCs w:val="21"/>
        </w:rPr>
        <w:t>。在线解密时间为30分钟。</w:t>
      </w:r>
    </w:p>
    <w:p w14:paraId="42C6601F">
      <w:pPr>
        <w:spacing w:line="360" w:lineRule="auto"/>
        <w:ind w:firstLine="420" w:firstLineChars="200"/>
        <w:rPr>
          <w:rFonts w:hint="eastAsia" w:ascii="宋体" w:hAnsi="宋体"/>
          <w:color w:val="auto"/>
          <w:szCs w:val="21"/>
        </w:rPr>
      </w:pPr>
      <w:r>
        <w:rPr>
          <w:rFonts w:hint="eastAsia" w:ascii="宋体" w:hAnsi="宋体"/>
          <w:color w:val="auto"/>
          <w:szCs w:val="21"/>
        </w:rPr>
        <w:t>21.2.2投标文件解密结束后，开标活动组织人员在线开启投标文件。</w:t>
      </w:r>
    </w:p>
    <w:p w14:paraId="4F6262C6">
      <w:pPr>
        <w:spacing w:line="360" w:lineRule="auto"/>
        <w:ind w:firstLine="420" w:firstLineChars="200"/>
        <w:rPr>
          <w:rFonts w:hint="eastAsia" w:ascii="宋体" w:hAnsi="宋体"/>
          <w:color w:val="auto"/>
          <w:szCs w:val="21"/>
        </w:rPr>
      </w:pPr>
      <w:r>
        <w:rPr>
          <w:rFonts w:hint="eastAsia" w:ascii="宋体" w:hAnsi="宋体"/>
          <w:color w:val="auto"/>
          <w:szCs w:val="21"/>
        </w:rPr>
        <w:t>21.2.3开启投标人报价文件，电子开标大厅记录显示并记录投标人投标报价表的投标报价、折扣等。</w:t>
      </w:r>
    </w:p>
    <w:p w14:paraId="0C7413C9">
      <w:pPr>
        <w:spacing w:line="360" w:lineRule="auto"/>
        <w:ind w:firstLine="420" w:firstLineChars="200"/>
        <w:rPr>
          <w:rFonts w:hint="eastAsia" w:ascii="宋体" w:hAnsi="宋体"/>
          <w:color w:val="auto"/>
          <w:szCs w:val="21"/>
        </w:rPr>
      </w:pPr>
      <w:r>
        <w:rPr>
          <w:rFonts w:hint="eastAsia" w:ascii="宋体" w:hAnsi="宋体"/>
          <w:color w:val="auto"/>
          <w:szCs w:val="21"/>
        </w:rPr>
        <w:t>21.2.4开标结束后，投标人线上确认投标报价。</w:t>
      </w:r>
    </w:p>
    <w:p w14:paraId="5C27AEEE">
      <w:pPr>
        <w:spacing w:line="360" w:lineRule="auto"/>
        <w:ind w:firstLine="420" w:firstLineChars="200"/>
        <w:rPr>
          <w:rFonts w:hint="eastAsia" w:ascii="宋体" w:hAnsi="宋体"/>
          <w:color w:val="auto"/>
          <w:szCs w:val="21"/>
        </w:rPr>
      </w:pPr>
      <w:r>
        <w:rPr>
          <w:rFonts w:hint="eastAsia" w:ascii="宋体" w:hAnsi="宋体"/>
          <w:color w:val="auto"/>
          <w:szCs w:val="21"/>
        </w:rPr>
        <w:t>21.2.5如发现开标结果与所提交的投标文件不一致的，由评标委员会根据投标文件内容进行修正。</w:t>
      </w:r>
    </w:p>
    <w:p w14:paraId="796EC10A">
      <w:pPr>
        <w:spacing w:line="360" w:lineRule="auto"/>
        <w:ind w:firstLine="420" w:firstLineChars="200"/>
        <w:rPr>
          <w:rFonts w:hint="eastAsia" w:ascii="宋体" w:hAnsi="宋体"/>
          <w:color w:val="auto"/>
          <w:szCs w:val="21"/>
        </w:rPr>
      </w:pPr>
      <w:r>
        <w:rPr>
          <w:rFonts w:hint="eastAsia" w:ascii="宋体" w:hAnsi="宋体"/>
          <w:color w:val="auto"/>
          <w:szCs w:val="21"/>
        </w:rPr>
        <w:t>21.2.6</w:t>
      </w:r>
      <w:r>
        <w:rPr>
          <w:rFonts w:ascii="宋体" w:hAnsi="宋体"/>
          <w:color w:val="auto"/>
          <w:szCs w:val="21"/>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28F0A202">
      <w:pPr>
        <w:spacing w:line="360" w:lineRule="auto"/>
        <w:ind w:firstLine="422" w:firstLineChars="200"/>
        <w:rPr>
          <w:rFonts w:hint="eastAsia" w:ascii="宋体" w:hAnsi="宋体"/>
          <w:b/>
          <w:color w:val="auto"/>
          <w:szCs w:val="21"/>
        </w:rPr>
      </w:pPr>
      <w:r>
        <w:rPr>
          <w:rFonts w:hint="eastAsia" w:ascii="宋体" w:hAnsi="宋体"/>
          <w:b/>
          <w:color w:val="auto"/>
          <w:szCs w:val="21"/>
        </w:rPr>
        <w:t>特别说明：</w:t>
      </w:r>
    </w:p>
    <w:p w14:paraId="3283E67E">
      <w:pPr>
        <w:spacing w:line="360" w:lineRule="auto"/>
        <w:ind w:firstLine="422" w:firstLineChars="200"/>
        <w:rPr>
          <w:rFonts w:hint="eastAsia" w:ascii="宋体" w:hAnsi="宋体"/>
          <w:b/>
          <w:color w:val="auto"/>
          <w:szCs w:val="21"/>
        </w:rPr>
      </w:pPr>
      <w:r>
        <w:rPr>
          <w:rFonts w:hint="eastAsia" w:ascii="宋体" w:hAnsi="宋体"/>
          <w:b/>
          <w:color w:val="auto"/>
          <w:szCs w:val="21"/>
        </w:rPr>
        <w:t>①如遇“广西政府采购云平台”电子化开标或评审程序调整的，按调整后程序执行。</w:t>
      </w:r>
    </w:p>
    <w:p w14:paraId="092E395B">
      <w:pPr>
        <w:snapToGrid w:val="0"/>
        <w:spacing w:line="360" w:lineRule="auto"/>
        <w:ind w:firstLine="422" w:firstLineChars="200"/>
        <w:jc w:val="left"/>
        <w:rPr>
          <w:rFonts w:hint="eastAsia" w:ascii="宋体" w:hAnsi="宋体"/>
          <w:b/>
          <w:color w:val="auto"/>
          <w:szCs w:val="21"/>
        </w:rPr>
      </w:pPr>
      <w:r>
        <w:rPr>
          <w:rFonts w:hint="eastAsia" w:ascii="宋体" w:hAnsi="宋体"/>
          <w:b/>
          <w:color w:val="auto"/>
          <w:szCs w:val="21"/>
        </w:rPr>
        <w:t>②开标后,某标项投标人不足3家的，本采购代理机构将按政府采购管理的有关规定处理。</w:t>
      </w:r>
    </w:p>
    <w:p w14:paraId="4D5B19C5">
      <w:pPr>
        <w:snapToGrid w:val="0"/>
        <w:spacing w:line="360" w:lineRule="auto"/>
        <w:ind w:firstLine="420" w:firstLineChars="200"/>
        <w:jc w:val="left"/>
        <w:rPr>
          <w:rFonts w:hint="eastAsia" w:ascii="宋体" w:hAnsi="宋体"/>
          <w:color w:val="auto"/>
          <w:szCs w:val="21"/>
        </w:rPr>
      </w:pPr>
      <w:r>
        <w:rPr>
          <w:rFonts w:hint="eastAsia" w:ascii="宋体" w:hAnsi="宋体"/>
          <w:color w:val="auto"/>
          <w:szCs w:val="21"/>
        </w:rPr>
        <w:t>21.2.7开标会议结束。</w:t>
      </w:r>
    </w:p>
    <w:p w14:paraId="3AF87FDF">
      <w:pPr>
        <w:pStyle w:val="232"/>
        <w:ind w:firstLine="480"/>
        <w:rPr>
          <w:rFonts w:ascii="Times New Roman"/>
          <w:color w:val="auto"/>
        </w:rPr>
      </w:pPr>
    </w:p>
    <w:p w14:paraId="6A4E57AA">
      <w:pPr>
        <w:jc w:val="left"/>
        <w:rPr>
          <w:rFonts w:hint="eastAsia" w:ascii="宋体" w:hAnsi="宋体"/>
          <w:b/>
          <w:color w:val="auto"/>
          <w:sz w:val="28"/>
          <w:szCs w:val="28"/>
        </w:rPr>
      </w:pPr>
      <w:bookmarkStart w:id="6" w:name="_Toc90288702"/>
      <w:r>
        <w:rPr>
          <w:rFonts w:hint="eastAsia" w:ascii="宋体" w:hAnsi="宋体"/>
          <w:b/>
          <w:color w:val="auto"/>
          <w:sz w:val="28"/>
          <w:szCs w:val="28"/>
        </w:rPr>
        <w:br w:type="page"/>
      </w:r>
    </w:p>
    <w:p w14:paraId="5A8603CD">
      <w:pPr>
        <w:tabs>
          <w:tab w:val="left" w:pos="1305"/>
        </w:tabs>
        <w:spacing w:line="360" w:lineRule="auto"/>
        <w:ind w:firstLine="562" w:firstLineChars="200"/>
        <w:jc w:val="center"/>
        <w:outlineLvl w:val="0"/>
        <w:rPr>
          <w:rFonts w:hint="eastAsia" w:ascii="宋体" w:hAnsi="宋体"/>
          <w:b/>
          <w:color w:val="auto"/>
          <w:sz w:val="28"/>
          <w:szCs w:val="28"/>
        </w:rPr>
      </w:pPr>
      <w:r>
        <w:rPr>
          <w:rFonts w:hint="eastAsia" w:ascii="宋体" w:hAnsi="宋体"/>
          <w:b/>
          <w:color w:val="auto"/>
          <w:sz w:val="28"/>
          <w:szCs w:val="28"/>
        </w:rPr>
        <w:t>五、资格性审查</w:t>
      </w:r>
      <w:bookmarkEnd w:id="6"/>
    </w:p>
    <w:p w14:paraId="624CB0A7">
      <w:pPr>
        <w:tabs>
          <w:tab w:val="left" w:pos="1305"/>
        </w:tabs>
        <w:spacing w:line="360" w:lineRule="auto"/>
        <w:ind w:firstLine="422" w:firstLineChars="200"/>
        <w:rPr>
          <w:rFonts w:hint="eastAsia" w:ascii="宋体" w:hAnsi="宋体"/>
          <w:b/>
          <w:color w:val="auto"/>
          <w:szCs w:val="21"/>
        </w:rPr>
      </w:pPr>
      <w:r>
        <w:rPr>
          <w:rFonts w:hint="eastAsia" w:ascii="宋体" w:hAnsi="宋体"/>
          <w:b/>
          <w:color w:val="auto"/>
          <w:szCs w:val="21"/>
        </w:rPr>
        <w:t>22.资格性审查</w:t>
      </w:r>
    </w:p>
    <w:p w14:paraId="3321E710">
      <w:pPr>
        <w:pStyle w:val="27"/>
        <w:snapToGrid w:val="0"/>
        <w:spacing w:line="360" w:lineRule="auto"/>
        <w:ind w:firstLine="422" w:firstLineChars="200"/>
        <w:rPr>
          <w:rFonts w:hint="eastAsia" w:hAnsi="宋体"/>
          <w:b/>
          <w:color w:val="auto"/>
          <w:szCs w:val="21"/>
        </w:rPr>
      </w:pPr>
      <w:r>
        <w:rPr>
          <w:rFonts w:hint="eastAsia" w:hAnsi="宋体"/>
          <w:b/>
          <w:color w:val="auto"/>
          <w:szCs w:val="21"/>
        </w:rPr>
        <w:t>22.1</w:t>
      </w:r>
      <w:r>
        <w:rPr>
          <w:rFonts w:hAnsi="宋体"/>
          <w:b/>
          <w:color w:val="auto"/>
          <w:szCs w:val="21"/>
        </w:rPr>
        <w:t>公开招标采购项目开标结束后，采购人</w:t>
      </w:r>
      <w:r>
        <w:rPr>
          <w:rFonts w:hint="eastAsia" w:hAnsi="宋体"/>
          <w:b/>
          <w:color w:val="auto"/>
          <w:szCs w:val="21"/>
        </w:rPr>
        <w:t>或者采购代理机构</w:t>
      </w:r>
      <w:r>
        <w:rPr>
          <w:rFonts w:hAnsi="宋体"/>
          <w:b/>
          <w:color w:val="auto"/>
          <w:szCs w:val="21"/>
        </w:rPr>
        <w:t>应当依法对投标人的资格进行审查。合格投标人不足3家的，不得评标。</w:t>
      </w:r>
    </w:p>
    <w:p w14:paraId="36AA15F9">
      <w:pPr>
        <w:spacing w:line="360" w:lineRule="auto"/>
        <w:ind w:firstLine="422" w:firstLineChars="200"/>
        <w:rPr>
          <w:rFonts w:hint="eastAsia" w:ascii="宋体" w:hAnsi="宋体"/>
          <w:b/>
          <w:color w:val="auto"/>
          <w:szCs w:val="21"/>
        </w:rPr>
      </w:pPr>
      <w:r>
        <w:rPr>
          <w:rFonts w:hint="eastAsia" w:ascii="宋体" w:hAnsi="宋体"/>
          <w:b/>
          <w:color w:val="auto"/>
          <w:szCs w:val="21"/>
        </w:rPr>
        <w:t>22.2采购人或</w:t>
      </w:r>
      <w:r>
        <w:rPr>
          <w:rFonts w:ascii="宋体" w:hAnsi="宋体"/>
          <w:b/>
          <w:color w:val="auto"/>
          <w:szCs w:val="21"/>
        </w:rPr>
        <w:t>采购代理机构</w:t>
      </w:r>
      <w:r>
        <w:rPr>
          <w:rFonts w:hint="eastAsia" w:ascii="宋体" w:hAnsi="宋体"/>
          <w:b/>
          <w:color w:val="auto"/>
          <w:szCs w:val="21"/>
        </w:rPr>
        <w:t>在对投标人进行资格性审查时，将对投标人企业股东及出资等信息进行查询。根据《中华人民共和国政府采购法实施条例》第十八条第一款规定，审查中如发现投标人存在单位负责人为同一人或者存在直接控股、管理关系的不同投标人参加同一合同项下的政府采购活动的，按投标无效处理。</w:t>
      </w:r>
    </w:p>
    <w:p w14:paraId="3619BE09">
      <w:pPr>
        <w:spacing w:line="360" w:lineRule="auto"/>
        <w:ind w:firstLine="420" w:firstLineChars="200"/>
        <w:rPr>
          <w:rFonts w:hint="eastAsia" w:ascii="宋体" w:hAnsi="宋体"/>
          <w:color w:val="auto"/>
          <w:szCs w:val="21"/>
        </w:rPr>
      </w:pPr>
      <w:r>
        <w:rPr>
          <w:rFonts w:hint="eastAsia" w:ascii="宋体" w:hAnsi="宋体"/>
          <w:color w:val="auto"/>
          <w:szCs w:val="21"/>
        </w:rPr>
        <w:t>查询渠道：《国家企业信用信息公示系统》（网址：</w:t>
      </w:r>
      <w:r>
        <w:rPr>
          <w:color w:val="auto"/>
        </w:rPr>
        <w:fldChar w:fldCharType="begin"/>
      </w:r>
      <w:r>
        <w:rPr>
          <w:color w:val="auto"/>
        </w:rPr>
        <w:instrText xml:space="preserve"> HYPERLINK "http://www.gsxt.gov.cn/index.html" </w:instrText>
      </w:r>
      <w:r>
        <w:rPr>
          <w:color w:val="auto"/>
        </w:rPr>
        <w:fldChar w:fldCharType="separate"/>
      </w:r>
      <w:r>
        <w:rPr>
          <w:rFonts w:ascii="宋体" w:hAnsi="宋体"/>
          <w:color w:val="auto"/>
          <w:szCs w:val="21"/>
        </w:rPr>
        <w:t>http://www.gsxt.gov.cn/index.html</w:t>
      </w:r>
      <w:r>
        <w:rPr>
          <w:rFonts w:ascii="宋体" w:hAnsi="宋体"/>
          <w:color w:val="auto"/>
          <w:szCs w:val="21"/>
        </w:rPr>
        <w:fldChar w:fldCharType="end"/>
      </w:r>
      <w:r>
        <w:rPr>
          <w:rFonts w:hint="eastAsia" w:ascii="宋体" w:hAnsi="宋体"/>
          <w:color w:val="auto"/>
          <w:szCs w:val="21"/>
        </w:rPr>
        <w:t>）</w:t>
      </w:r>
    </w:p>
    <w:p w14:paraId="149C2B2D">
      <w:pPr>
        <w:spacing w:line="360" w:lineRule="auto"/>
        <w:ind w:firstLine="420" w:firstLineChars="200"/>
        <w:rPr>
          <w:rFonts w:hint="eastAsia" w:ascii="宋体" w:hAnsi="宋体"/>
          <w:color w:val="auto"/>
          <w:szCs w:val="21"/>
        </w:rPr>
      </w:pPr>
      <w:r>
        <w:rPr>
          <w:rFonts w:hint="eastAsia" w:ascii="宋体" w:hAnsi="宋体"/>
          <w:color w:val="auto"/>
          <w:szCs w:val="21"/>
        </w:rPr>
        <w:t>审查流程：</w:t>
      </w:r>
    </w:p>
    <w:p w14:paraId="463110E6">
      <w:pPr>
        <w:spacing w:line="360" w:lineRule="auto"/>
        <w:ind w:firstLine="420" w:firstLineChars="200"/>
        <w:rPr>
          <w:rFonts w:hint="eastAsia" w:ascii="宋体" w:hAnsi="宋体"/>
          <w:color w:val="auto"/>
          <w:szCs w:val="21"/>
        </w:rPr>
      </w:pPr>
      <w:r>
        <w:rPr>
          <w:rFonts w:hint="eastAsia" w:ascii="宋体" w:hAnsi="宋体"/>
          <w:color w:val="auto"/>
          <w:szCs w:val="21"/>
        </w:rPr>
        <w:t>（1）进入《国家企业信用信息公示系统》（网址：</w:t>
      </w:r>
      <w:r>
        <w:rPr>
          <w:rFonts w:ascii="宋体" w:hAnsi="宋体"/>
          <w:color w:val="auto"/>
          <w:szCs w:val="21"/>
        </w:rPr>
        <w:t>http://www.gsxt.gov.cn/index.html</w:t>
      </w:r>
      <w:r>
        <w:rPr>
          <w:rFonts w:hint="eastAsia" w:ascii="宋体" w:hAnsi="宋体"/>
          <w:color w:val="auto"/>
          <w:szCs w:val="21"/>
        </w:rPr>
        <w:t>），输入企业名称，进入企业信息主页面；</w:t>
      </w:r>
    </w:p>
    <w:p w14:paraId="63622031">
      <w:pPr>
        <w:spacing w:line="360" w:lineRule="auto"/>
        <w:ind w:firstLine="420" w:firstLineChars="200"/>
        <w:rPr>
          <w:rFonts w:hint="eastAsia" w:ascii="宋体" w:hAnsi="宋体"/>
          <w:color w:val="auto"/>
          <w:szCs w:val="21"/>
        </w:rPr>
      </w:pPr>
      <w:r>
        <w:rPr>
          <w:rFonts w:hint="eastAsia" w:ascii="宋体" w:hAnsi="宋体"/>
          <w:color w:val="auto"/>
          <w:szCs w:val="21"/>
        </w:rPr>
        <w:t>（2）查看主页“股东及出资信息”栏，或年报中的“股东及出资信息”栏信息；</w:t>
      </w:r>
    </w:p>
    <w:p w14:paraId="4679F36F">
      <w:pPr>
        <w:spacing w:line="360" w:lineRule="auto"/>
        <w:ind w:firstLine="420" w:firstLineChars="200"/>
        <w:rPr>
          <w:rFonts w:hint="eastAsia" w:ascii="宋体" w:hAnsi="宋体"/>
          <w:color w:val="auto"/>
          <w:szCs w:val="21"/>
        </w:rPr>
      </w:pPr>
      <w:r>
        <w:rPr>
          <w:rFonts w:hint="eastAsia" w:ascii="宋体" w:hAnsi="宋体"/>
          <w:color w:val="auto"/>
          <w:szCs w:val="21"/>
        </w:rPr>
        <w:t>（3）将各投标人的股东及出资信息进行比对，得出审查结论；</w:t>
      </w:r>
    </w:p>
    <w:p w14:paraId="4F7CB7EC">
      <w:pPr>
        <w:snapToGrid w:val="0"/>
        <w:spacing w:line="360" w:lineRule="auto"/>
        <w:ind w:firstLine="420" w:firstLineChars="200"/>
        <w:rPr>
          <w:rFonts w:hint="eastAsia" w:ascii="宋体" w:hAnsi="宋体"/>
          <w:color w:val="auto"/>
          <w:szCs w:val="21"/>
        </w:rPr>
      </w:pPr>
      <w:r>
        <w:rPr>
          <w:rFonts w:hint="eastAsia" w:ascii="宋体" w:hAnsi="宋体"/>
          <w:color w:val="auto"/>
          <w:szCs w:val="21"/>
        </w:rPr>
        <w:t>（4）将相关资料作为评审资料打印存档。</w:t>
      </w:r>
    </w:p>
    <w:p w14:paraId="7EA8C753">
      <w:pPr>
        <w:pStyle w:val="27"/>
        <w:snapToGrid w:val="0"/>
        <w:spacing w:line="360" w:lineRule="auto"/>
        <w:ind w:firstLine="413" w:firstLineChars="196"/>
        <w:rPr>
          <w:rFonts w:hint="eastAsia" w:hAnsi="宋体"/>
          <w:b/>
          <w:color w:val="auto"/>
          <w:szCs w:val="21"/>
        </w:rPr>
      </w:pPr>
      <w:r>
        <w:rPr>
          <w:rFonts w:hint="eastAsia" w:hAnsi="宋体"/>
          <w:b/>
          <w:color w:val="auto"/>
          <w:szCs w:val="21"/>
        </w:rPr>
        <w:t>22.3对未通过资格性审查的投标人，由采购人或者采购代理机构在评标现场以电话或通过“广西政府采购云”平台告知未通过资格性审查的投标人未通过资格性审查的原因并做相应记录。</w:t>
      </w:r>
    </w:p>
    <w:p w14:paraId="2BF3BF41">
      <w:pPr>
        <w:pStyle w:val="27"/>
        <w:snapToGrid w:val="0"/>
        <w:spacing w:line="360" w:lineRule="auto"/>
        <w:ind w:firstLine="413" w:firstLineChars="196"/>
        <w:rPr>
          <w:rFonts w:hint="eastAsia" w:hAnsi="宋体"/>
          <w:b/>
          <w:color w:val="auto"/>
          <w:szCs w:val="21"/>
        </w:rPr>
      </w:pPr>
    </w:p>
    <w:p w14:paraId="40FCDD15">
      <w:pPr>
        <w:widowControl/>
        <w:jc w:val="left"/>
        <w:rPr>
          <w:color w:val="auto"/>
        </w:rPr>
      </w:pPr>
    </w:p>
    <w:p w14:paraId="3FBA3882">
      <w:pPr>
        <w:tabs>
          <w:tab w:val="center" w:pos="4411"/>
          <w:tab w:val="left" w:pos="5475"/>
        </w:tabs>
        <w:spacing w:line="360" w:lineRule="auto"/>
        <w:jc w:val="center"/>
        <w:outlineLvl w:val="0"/>
        <w:rPr>
          <w:rFonts w:hint="eastAsia" w:ascii="宋体" w:hAnsi="宋体"/>
          <w:b/>
          <w:color w:val="auto"/>
          <w:sz w:val="28"/>
          <w:szCs w:val="28"/>
        </w:rPr>
      </w:pPr>
      <w:bookmarkStart w:id="7" w:name="_Toc90288703"/>
      <w:r>
        <w:rPr>
          <w:rFonts w:hint="eastAsia" w:ascii="宋体" w:hAnsi="宋体"/>
          <w:b/>
          <w:color w:val="auto"/>
          <w:sz w:val="28"/>
          <w:szCs w:val="28"/>
        </w:rPr>
        <w:t>六、评标</w:t>
      </w:r>
      <w:bookmarkEnd w:id="7"/>
    </w:p>
    <w:p w14:paraId="6616B0CF">
      <w:pPr>
        <w:tabs>
          <w:tab w:val="center" w:pos="4411"/>
          <w:tab w:val="left" w:pos="5475"/>
        </w:tabs>
        <w:spacing w:line="360" w:lineRule="auto"/>
        <w:ind w:firstLine="422" w:firstLineChars="200"/>
        <w:jc w:val="left"/>
        <w:rPr>
          <w:rFonts w:hint="eastAsia" w:ascii="宋体" w:hAnsi="宋体"/>
          <w:b/>
          <w:color w:val="auto"/>
          <w:szCs w:val="21"/>
        </w:rPr>
      </w:pPr>
      <w:r>
        <w:rPr>
          <w:rFonts w:hint="eastAsia" w:ascii="宋体" w:hAnsi="宋体"/>
          <w:b/>
          <w:color w:val="auto"/>
          <w:szCs w:val="21"/>
        </w:rPr>
        <w:t>23.评标委员会组成</w:t>
      </w:r>
    </w:p>
    <w:p w14:paraId="0F89F062">
      <w:pPr>
        <w:pStyle w:val="27"/>
        <w:snapToGrid w:val="0"/>
        <w:spacing w:line="360" w:lineRule="auto"/>
        <w:ind w:firstLine="420" w:firstLineChars="200"/>
        <w:rPr>
          <w:rFonts w:hint="eastAsia" w:hAnsi="宋体"/>
          <w:color w:val="auto"/>
          <w:szCs w:val="21"/>
        </w:rPr>
      </w:pPr>
      <w:r>
        <w:rPr>
          <w:rFonts w:hint="eastAsia" w:hAnsi="宋体"/>
          <w:color w:val="auto"/>
          <w:szCs w:val="21"/>
        </w:rPr>
        <w:t>23.1评标委员会构成：详见《投标人须知前附表》第12条。</w:t>
      </w:r>
    </w:p>
    <w:p w14:paraId="39D7AAC1">
      <w:pPr>
        <w:pStyle w:val="27"/>
        <w:snapToGrid w:val="0"/>
        <w:spacing w:line="360" w:lineRule="auto"/>
        <w:ind w:firstLine="420" w:firstLineChars="200"/>
        <w:rPr>
          <w:rFonts w:hint="eastAsia" w:hAnsi="宋体"/>
          <w:color w:val="auto"/>
          <w:szCs w:val="21"/>
        </w:rPr>
      </w:pPr>
      <w:r>
        <w:rPr>
          <w:rFonts w:hint="eastAsia" w:hAnsi="宋体"/>
          <w:color w:val="auto"/>
          <w:szCs w:val="21"/>
        </w:rPr>
        <w:t>23.2专家确定方式：详见《投标人须知前附表》第12条。</w:t>
      </w:r>
    </w:p>
    <w:p w14:paraId="21BE8F13">
      <w:pPr>
        <w:pStyle w:val="27"/>
        <w:snapToGrid w:val="0"/>
        <w:spacing w:line="360" w:lineRule="auto"/>
        <w:ind w:firstLine="422" w:firstLineChars="200"/>
        <w:rPr>
          <w:rFonts w:hint="eastAsia" w:hAnsi="宋体"/>
          <w:color w:val="auto"/>
          <w:szCs w:val="21"/>
        </w:rPr>
      </w:pPr>
      <w:r>
        <w:rPr>
          <w:rFonts w:hint="eastAsia" w:hAnsi="宋体"/>
          <w:b/>
          <w:color w:val="auto"/>
          <w:szCs w:val="21"/>
        </w:rPr>
        <w:t>24. 评标原则和评标办法</w:t>
      </w:r>
    </w:p>
    <w:p w14:paraId="26838107">
      <w:pPr>
        <w:pStyle w:val="27"/>
        <w:snapToGrid w:val="0"/>
        <w:spacing w:line="360" w:lineRule="auto"/>
        <w:ind w:firstLine="420" w:firstLineChars="200"/>
        <w:rPr>
          <w:rFonts w:hint="eastAsia" w:hAnsi="宋体"/>
          <w:color w:val="auto"/>
          <w:szCs w:val="21"/>
        </w:rPr>
      </w:pPr>
      <w:r>
        <w:rPr>
          <w:rFonts w:hint="eastAsia" w:hAnsi="宋体"/>
          <w:color w:val="auto"/>
          <w:szCs w:val="21"/>
        </w:rPr>
        <w:t>24.1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1DF9BB11">
      <w:pPr>
        <w:tabs>
          <w:tab w:val="left" w:pos="1140"/>
        </w:tabs>
        <w:spacing w:line="360" w:lineRule="auto"/>
        <w:ind w:firstLine="420" w:firstLineChars="200"/>
        <w:rPr>
          <w:rFonts w:hint="eastAsia" w:ascii="宋体" w:hAnsi="宋体"/>
          <w:color w:val="auto"/>
          <w:szCs w:val="21"/>
        </w:rPr>
      </w:pPr>
      <w:r>
        <w:rPr>
          <w:rFonts w:hint="eastAsia" w:ascii="宋体" w:hAnsi="宋体"/>
          <w:color w:val="auto"/>
          <w:szCs w:val="21"/>
        </w:rPr>
        <w:t>24.2评标办法：综合评分法，具体评标内容及标准详见第四章。</w:t>
      </w:r>
    </w:p>
    <w:p w14:paraId="108A46A2">
      <w:pPr>
        <w:tabs>
          <w:tab w:val="left" w:pos="1140"/>
        </w:tabs>
        <w:spacing w:line="360" w:lineRule="auto"/>
        <w:ind w:firstLine="420" w:firstLineChars="200"/>
        <w:rPr>
          <w:rFonts w:hint="eastAsia" w:ascii="宋体" w:hAnsi="宋体"/>
          <w:color w:val="auto"/>
        </w:rPr>
      </w:pPr>
      <w:r>
        <w:rPr>
          <w:rFonts w:hint="eastAsia" w:ascii="宋体" w:hAnsi="宋体"/>
          <w:color w:val="auto"/>
          <w:szCs w:val="21"/>
        </w:rPr>
        <w:t>24.3评标委员会应按招标文件进行评标，不得擅自更改评标办法。</w:t>
      </w:r>
      <w:r>
        <w:rPr>
          <w:rFonts w:hint="eastAsia" w:ascii="宋体" w:hAnsi="宋体"/>
          <w:color w:val="auto"/>
        </w:rPr>
        <w:t>　　　　　　　　　　　　　　　　　　　　　　　　　　　　　　　　　　　　　　　　　　　　　　　　　　　　　　　　　　</w:t>
      </w:r>
    </w:p>
    <w:p w14:paraId="23C464F5">
      <w:pPr>
        <w:tabs>
          <w:tab w:val="left" w:pos="1140"/>
        </w:tabs>
        <w:spacing w:line="360" w:lineRule="auto"/>
        <w:ind w:firstLine="422" w:firstLineChars="200"/>
        <w:rPr>
          <w:rFonts w:hint="eastAsia" w:ascii="宋体" w:hAnsi="宋体"/>
          <w:b/>
          <w:bCs/>
          <w:color w:val="auto"/>
          <w:szCs w:val="21"/>
        </w:rPr>
      </w:pPr>
      <w:r>
        <w:rPr>
          <w:rFonts w:hint="eastAsia" w:ascii="宋体" w:hAnsi="宋体"/>
          <w:b/>
          <w:color w:val="auto"/>
          <w:szCs w:val="21"/>
        </w:rPr>
        <w:t>25.</w:t>
      </w:r>
      <w:r>
        <w:rPr>
          <w:rFonts w:hint="eastAsia" w:ascii="宋体" w:hAnsi="宋体"/>
          <w:b/>
          <w:bCs/>
          <w:color w:val="auto"/>
          <w:szCs w:val="21"/>
        </w:rPr>
        <w:t xml:space="preserve"> 评标程序</w:t>
      </w:r>
    </w:p>
    <w:p w14:paraId="4061D602">
      <w:pPr>
        <w:tabs>
          <w:tab w:val="left" w:pos="1140"/>
        </w:tabs>
        <w:spacing w:line="360" w:lineRule="auto"/>
        <w:ind w:firstLine="420" w:firstLineChars="200"/>
        <w:rPr>
          <w:rFonts w:hint="eastAsia" w:ascii="宋体" w:hAnsi="宋体"/>
          <w:color w:val="auto"/>
          <w:szCs w:val="21"/>
        </w:rPr>
      </w:pPr>
      <w:r>
        <w:rPr>
          <w:rFonts w:hint="eastAsia" w:ascii="宋体" w:hAnsi="宋体"/>
          <w:color w:val="auto"/>
          <w:szCs w:val="21"/>
        </w:rPr>
        <w:t>25.1采购代理机构负责评标组织工作；评标委员会自行登录“广西政府采购云”平台进入评审项目，签到、阅读评标工作职责与纪律，确认回避原则，</w:t>
      </w:r>
      <w:r>
        <w:rPr>
          <w:rFonts w:ascii="宋体" w:hAnsi="宋体"/>
          <w:color w:val="auto"/>
          <w:szCs w:val="21"/>
        </w:rPr>
        <w:t>评标委员会推选评标组长，采购人代表不得担任组长</w:t>
      </w:r>
      <w:r>
        <w:rPr>
          <w:rFonts w:hint="eastAsia" w:ascii="宋体" w:hAnsi="宋体"/>
          <w:color w:val="auto"/>
          <w:szCs w:val="21"/>
        </w:rPr>
        <w:t>；</w:t>
      </w:r>
      <w:r>
        <w:rPr>
          <w:rFonts w:ascii="宋体" w:hAnsi="宋体"/>
          <w:color w:val="auto"/>
          <w:szCs w:val="21"/>
        </w:rPr>
        <w:t>公布投标人名单；</w:t>
      </w:r>
      <w:r>
        <w:rPr>
          <w:rFonts w:hint="eastAsia" w:ascii="宋体" w:hAnsi="宋体"/>
          <w:color w:val="auto"/>
          <w:szCs w:val="21"/>
        </w:rPr>
        <w:t>在评标期间由桂林市公共资源交易中心采取必要的通讯管理措施并保证评标活动不受外界干扰</w:t>
      </w:r>
      <w:r>
        <w:rPr>
          <w:rFonts w:ascii="宋体" w:hAnsi="宋体"/>
          <w:color w:val="auto"/>
          <w:szCs w:val="21"/>
        </w:rPr>
        <w:t>；</w:t>
      </w:r>
      <w:r>
        <w:rPr>
          <w:rFonts w:hint="eastAsia" w:ascii="宋体" w:hAnsi="宋体"/>
          <w:color w:val="auto"/>
          <w:szCs w:val="21"/>
        </w:rPr>
        <w:t>采购代理机构</w:t>
      </w:r>
      <w:r>
        <w:rPr>
          <w:rFonts w:ascii="宋体" w:hAnsi="宋体"/>
          <w:color w:val="auto"/>
          <w:szCs w:val="21"/>
        </w:rPr>
        <w:t>根据评标委员会的要求介绍政府采购相关政策法规、招标文件；维护评标秩序，监督评标委员会依照招标文件规定的评标程序、方法和标准进行独立评审，及时制止和纠正采购人代表、评</w:t>
      </w:r>
      <w:r>
        <w:rPr>
          <w:rFonts w:hint="eastAsia" w:ascii="宋体" w:hAnsi="宋体"/>
          <w:color w:val="auto"/>
          <w:szCs w:val="21"/>
        </w:rPr>
        <w:t>标</w:t>
      </w:r>
      <w:r>
        <w:rPr>
          <w:rFonts w:ascii="宋体" w:hAnsi="宋体"/>
          <w:color w:val="auto"/>
          <w:szCs w:val="21"/>
        </w:rPr>
        <w:t>专家的倾向性言论或者违法违规行为；核对评标结果，有</w:t>
      </w:r>
      <w:r>
        <w:rPr>
          <w:rFonts w:hint="eastAsia" w:ascii="宋体" w:hAnsi="宋体"/>
          <w:color w:val="auto"/>
          <w:szCs w:val="21"/>
        </w:rPr>
        <w:t>投标无效</w:t>
      </w:r>
      <w:r>
        <w:rPr>
          <w:rFonts w:ascii="宋体" w:hAnsi="宋体"/>
          <w:color w:val="auto"/>
          <w:szCs w:val="21"/>
        </w:rPr>
        <w:t>情形的，要求评标委员会复核或者书面说明理由，评标委员会拒绝的，应予记录并向本级财政部门报告；评</w:t>
      </w:r>
      <w:r>
        <w:rPr>
          <w:rFonts w:hint="eastAsia" w:ascii="宋体" w:hAnsi="宋体"/>
          <w:color w:val="auto"/>
          <w:szCs w:val="21"/>
        </w:rPr>
        <w:t>审</w:t>
      </w:r>
      <w:r>
        <w:rPr>
          <w:rFonts w:ascii="宋体" w:hAnsi="宋体"/>
          <w:color w:val="auto"/>
          <w:szCs w:val="21"/>
        </w:rPr>
        <w:t>工作完成后，按照规定向评</w:t>
      </w:r>
      <w:r>
        <w:rPr>
          <w:rFonts w:hint="eastAsia" w:ascii="宋体" w:hAnsi="宋体"/>
          <w:color w:val="auto"/>
          <w:szCs w:val="21"/>
        </w:rPr>
        <w:t>审</w:t>
      </w:r>
      <w:r>
        <w:rPr>
          <w:rFonts w:ascii="宋体" w:hAnsi="宋体"/>
          <w:color w:val="auto"/>
          <w:szCs w:val="21"/>
        </w:rPr>
        <w:t>专家支付劳务报酬和异地评审差旅费，不得向评</w:t>
      </w:r>
      <w:r>
        <w:rPr>
          <w:rFonts w:hint="eastAsia" w:ascii="宋体" w:hAnsi="宋体"/>
          <w:color w:val="auto"/>
          <w:szCs w:val="21"/>
        </w:rPr>
        <w:t>审</w:t>
      </w:r>
      <w:r>
        <w:rPr>
          <w:rFonts w:ascii="宋体" w:hAnsi="宋体"/>
          <w:color w:val="auto"/>
          <w:szCs w:val="21"/>
        </w:rPr>
        <w:t>专家以外的其他人员支付评审劳务报酬；</w:t>
      </w:r>
    </w:p>
    <w:p w14:paraId="045BDDC0">
      <w:pPr>
        <w:pStyle w:val="47"/>
        <w:shd w:val="clear" w:color="auto" w:fill="FFFFFF"/>
        <w:spacing w:before="0" w:beforeAutospacing="0" w:after="0" w:afterAutospacing="0" w:line="360" w:lineRule="auto"/>
        <w:ind w:firstLine="420" w:firstLineChars="200"/>
        <w:rPr>
          <w:rFonts w:hint="eastAsia"/>
          <w:color w:val="auto"/>
          <w:kern w:val="2"/>
          <w:sz w:val="21"/>
          <w:szCs w:val="21"/>
        </w:rPr>
      </w:pPr>
      <w:r>
        <w:rPr>
          <w:rFonts w:hint="eastAsia"/>
          <w:color w:val="auto"/>
          <w:kern w:val="2"/>
          <w:sz w:val="21"/>
          <w:szCs w:val="21"/>
        </w:rPr>
        <w:t>25.2评标委员会负责具体评标事务；</w:t>
      </w:r>
      <w:r>
        <w:rPr>
          <w:color w:val="auto"/>
          <w:kern w:val="2"/>
          <w:sz w:val="21"/>
          <w:szCs w:val="21"/>
        </w:rPr>
        <w:t>审查、评价投标文件是否符合招标文件的商务、技术等实质性要求；要求投标人对投标文件有关事项作出澄清或者说明；对投标文件进行比较和评价；确定中标候选人名单，以及根据采购人委托直接确定中标人；向采购人、采购代理机构或者有关部门报告评标中发现的违法行为。</w:t>
      </w:r>
    </w:p>
    <w:p w14:paraId="5356CC1E">
      <w:pPr>
        <w:pStyle w:val="47"/>
        <w:shd w:val="clear" w:color="auto" w:fill="FFFFFF"/>
        <w:spacing w:before="0" w:beforeAutospacing="0" w:after="0" w:afterAutospacing="0" w:line="360" w:lineRule="auto"/>
        <w:ind w:firstLine="420" w:firstLineChars="200"/>
        <w:rPr>
          <w:rFonts w:hint="eastAsia"/>
          <w:color w:val="auto"/>
          <w:kern w:val="2"/>
          <w:sz w:val="21"/>
          <w:szCs w:val="21"/>
        </w:rPr>
      </w:pPr>
      <w:r>
        <w:rPr>
          <w:rFonts w:hint="eastAsia"/>
          <w:color w:val="auto"/>
          <w:kern w:val="2"/>
          <w:sz w:val="21"/>
          <w:szCs w:val="21"/>
        </w:rPr>
        <w:t>25.3在评标过程中，评标委员会任何人不得对某个投标人发表任何倾向性意见，不得向其他专家评委明示或者暗示自己的评审意见。</w:t>
      </w:r>
    </w:p>
    <w:p w14:paraId="43E16BAC">
      <w:pPr>
        <w:tabs>
          <w:tab w:val="left" w:pos="1140"/>
        </w:tabs>
        <w:spacing w:line="360" w:lineRule="auto"/>
        <w:ind w:firstLine="420" w:firstLineChars="200"/>
        <w:rPr>
          <w:rFonts w:hint="eastAsia" w:ascii="宋体" w:hAnsi="宋体"/>
          <w:color w:val="auto"/>
          <w:szCs w:val="21"/>
        </w:rPr>
      </w:pPr>
      <w:r>
        <w:rPr>
          <w:rFonts w:hint="eastAsia" w:ascii="宋体" w:hAnsi="宋体"/>
          <w:color w:val="auto"/>
          <w:szCs w:val="21"/>
        </w:rPr>
        <w:t>25.4</w:t>
      </w:r>
      <w:r>
        <w:rPr>
          <w:rFonts w:ascii="宋体" w:hAnsi="宋体"/>
          <w:color w:val="auto"/>
          <w:szCs w:val="21"/>
        </w:rPr>
        <w:t>评标委员会应当对符合资格的投标人的投标文件进行符合性审查，以确定其是否满足招标文件的实质性要求。</w:t>
      </w:r>
    </w:p>
    <w:p w14:paraId="39EC77FB">
      <w:pPr>
        <w:pStyle w:val="27"/>
        <w:snapToGrid w:val="0"/>
        <w:spacing w:line="360" w:lineRule="auto"/>
        <w:ind w:firstLine="413" w:firstLineChars="196"/>
        <w:rPr>
          <w:rFonts w:hint="eastAsia" w:hAnsi="宋体"/>
          <w:b/>
          <w:color w:val="auto"/>
          <w:szCs w:val="21"/>
        </w:rPr>
      </w:pPr>
      <w:r>
        <w:rPr>
          <w:rFonts w:hint="eastAsia" w:hAnsi="宋体"/>
          <w:b/>
          <w:color w:val="auto"/>
          <w:szCs w:val="21"/>
        </w:rPr>
        <w:t>对未通过符合性审查的投标人，由评标委员会在评标现场以电话或通过“广西政府采购云”平台告知未通过符合性审查的投标人未通过符合性审查的原因并做相应记录。</w:t>
      </w:r>
    </w:p>
    <w:p w14:paraId="3FC3B180">
      <w:pPr>
        <w:tabs>
          <w:tab w:val="left" w:pos="1140"/>
        </w:tabs>
        <w:spacing w:line="360" w:lineRule="auto"/>
        <w:ind w:firstLine="422" w:firstLineChars="200"/>
        <w:rPr>
          <w:rFonts w:hint="eastAsia" w:ascii="宋体" w:hAnsi="宋体"/>
          <w:color w:val="auto"/>
          <w:szCs w:val="21"/>
        </w:rPr>
      </w:pPr>
      <w:r>
        <w:rPr>
          <w:rFonts w:hint="eastAsia" w:ascii="宋体" w:hAnsi="宋体"/>
          <w:b/>
          <w:color w:val="auto"/>
          <w:szCs w:val="21"/>
        </w:rPr>
        <w:t>25.5澄清问题的形式</w:t>
      </w:r>
    </w:p>
    <w:p w14:paraId="517D42C2">
      <w:pPr>
        <w:tabs>
          <w:tab w:val="left" w:pos="1140"/>
        </w:tabs>
        <w:spacing w:line="360" w:lineRule="auto"/>
        <w:ind w:firstLine="420" w:firstLineChars="200"/>
        <w:rPr>
          <w:rFonts w:hint="eastAsia" w:ascii="宋体" w:hAnsi="宋体" w:cs="宋体"/>
          <w:color w:val="auto"/>
          <w:szCs w:val="21"/>
        </w:rPr>
      </w:pPr>
      <w:r>
        <w:rPr>
          <w:rFonts w:ascii="宋体" w:hAnsi="宋体" w:cs="宋体"/>
          <w:color w:val="auto"/>
          <w:szCs w:val="21"/>
        </w:rPr>
        <w:t>对于投标文件中含义不明确、同类问题表述不一致或者有明显文字和计算错误的内容，评标委员会应当</w:t>
      </w:r>
      <w:r>
        <w:rPr>
          <w:rFonts w:hint="eastAsia" w:ascii="宋体" w:hAnsi="宋体" w:cs="宋体"/>
          <w:color w:val="auto"/>
          <w:szCs w:val="21"/>
        </w:rPr>
        <w:t>在线发起澄清的形式</w:t>
      </w:r>
      <w:r>
        <w:rPr>
          <w:rFonts w:ascii="宋体" w:hAnsi="宋体" w:cs="宋体"/>
          <w:color w:val="auto"/>
          <w:szCs w:val="21"/>
        </w:rPr>
        <w:t>要求投标人作出必要的澄清、说明或者补正。</w:t>
      </w:r>
    </w:p>
    <w:p w14:paraId="4D76DC5A">
      <w:pPr>
        <w:tabs>
          <w:tab w:val="left" w:pos="1140"/>
        </w:tabs>
        <w:spacing w:line="360" w:lineRule="auto"/>
        <w:ind w:firstLine="420" w:firstLineChars="200"/>
        <w:rPr>
          <w:rFonts w:hint="eastAsia" w:ascii="宋体" w:hAnsi="宋体"/>
          <w:color w:val="auto"/>
          <w:szCs w:val="21"/>
        </w:rPr>
      </w:pPr>
      <w:r>
        <w:rPr>
          <w:rFonts w:hint="eastAsia" w:ascii="宋体" w:hAnsi="宋体" w:cs="宋体"/>
          <w:color w:val="auto"/>
          <w:szCs w:val="21"/>
        </w:rPr>
        <w:t>投标人的澄清、说明或者补正应当采用书面形式，并加盖投标人CA证书签章，或者由法定代表人或其授权委托代理人签字（或个人CA证书签章）。投标人的澄清、说明或者补正不得超出投标文件的范围或者改变投标文件的实质性内容。</w:t>
      </w:r>
    </w:p>
    <w:p w14:paraId="63F0344C">
      <w:pPr>
        <w:pStyle w:val="27"/>
        <w:spacing w:line="360" w:lineRule="auto"/>
        <w:ind w:firstLine="411" w:firstLineChars="196"/>
        <w:rPr>
          <w:rFonts w:hint="eastAsia" w:hAnsi="宋体"/>
          <w:color w:val="auto"/>
          <w:szCs w:val="21"/>
        </w:rPr>
      </w:pPr>
      <w:r>
        <w:rPr>
          <w:rFonts w:hint="eastAsia" w:hAnsi="宋体"/>
          <w:color w:val="auto"/>
          <w:szCs w:val="21"/>
        </w:rPr>
        <w:t>25.6</w:t>
      </w:r>
      <w:r>
        <w:rPr>
          <w:rFonts w:hAnsi="宋体"/>
          <w:color w:val="auto"/>
          <w:szCs w:val="21"/>
        </w:rPr>
        <w:t>评标委员会应当按照招标文件中规定的评标方法和标准，对符合性审查合格的投标文件进行商务和技术评估，综合比较与评价。</w:t>
      </w:r>
    </w:p>
    <w:p w14:paraId="11132C04">
      <w:pPr>
        <w:pStyle w:val="47"/>
        <w:shd w:val="clear" w:color="auto" w:fill="FFFFFF"/>
        <w:spacing w:before="0" w:beforeAutospacing="0" w:after="0" w:afterAutospacing="0" w:line="360" w:lineRule="auto"/>
        <w:ind w:firstLine="422" w:firstLineChars="200"/>
        <w:rPr>
          <w:rFonts w:hint="eastAsia"/>
          <w:b/>
          <w:color w:val="auto"/>
          <w:kern w:val="2"/>
          <w:sz w:val="21"/>
          <w:szCs w:val="21"/>
        </w:rPr>
      </w:pPr>
      <w:r>
        <w:rPr>
          <w:rFonts w:hint="eastAsia"/>
          <w:b/>
          <w:color w:val="auto"/>
          <w:kern w:val="2"/>
          <w:sz w:val="21"/>
          <w:szCs w:val="21"/>
        </w:rPr>
        <w:t>25.7</w:t>
      </w:r>
      <w:r>
        <w:rPr>
          <w:rFonts w:hint="eastAsia"/>
          <w:b/>
          <w:color w:val="auto"/>
          <w:sz w:val="21"/>
          <w:szCs w:val="21"/>
        </w:rPr>
        <w:t>投标文件错误修正</w:t>
      </w:r>
    </w:p>
    <w:p w14:paraId="278C5837">
      <w:pPr>
        <w:pStyle w:val="27"/>
        <w:snapToGrid w:val="0"/>
        <w:spacing w:line="360" w:lineRule="auto"/>
        <w:ind w:firstLine="420" w:firstLineChars="200"/>
        <w:rPr>
          <w:rFonts w:hint="eastAsia" w:hAnsi="宋体"/>
          <w:color w:val="auto"/>
          <w:szCs w:val="21"/>
        </w:rPr>
      </w:pPr>
      <w:r>
        <w:rPr>
          <w:rFonts w:hint="eastAsia" w:hAnsi="宋体"/>
          <w:color w:val="auto"/>
          <w:szCs w:val="21"/>
        </w:rPr>
        <w:t>（1）投标文件中开标一览表（报价表）内容与投标文件中相应内容不一致的，以开标一览表（报价表）为准；</w:t>
      </w:r>
    </w:p>
    <w:p w14:paraId="4E2109C0">
      <w:pPr>
        <w:pStyle w:val="27"/>
        <w:snapToGrid w:val="0"/>
        <w:spacing w:line="360" w:lineRule="auto"/>
        <w:ind w:firstLine="420" w:firstLineChars="200"/>
        <w:rPr>
          <w:rFonts w:hint="eastAsia" w:hAnsi="宋体"/>
          <w:color w:val="auto"/>
          <w:szCs w:val="21"/>
        </w:rPr>
      </w:pPr>
      <w:r>
        <w:rPr>
          <w:rFonts w:hint="eastAsia" w:hAnsi="宋体"/>
          <w:color w:val="auto"/>
          <w:szCs w:val="21"/>
        </w:rPr>
        <w:t>（2）大写金额和小写金额不一致的，以大写金额为准；</w:t>
      </w:r>
    </w:p>
    <w:p w14:paraId="647FE76F">
      <w:pPr>
        <w:pStyle w:val="27"/>
        <w:snapToGrid w:val="0"/>
        <w:spacing w:line="360" w:lineRule="auto"/>
        <w:ind w:firstLine="420" w:firstLineChars="200"/>
        <w:rPr>
          <w:rFonts w:hint="eastAsia" w:hAnsi="宋体"/>
          <w:color w:val="auto"/>
          <w:szCs w:val="21"/>
        </w:rPr>
      </w:pPr>
      <w:r>
        <w:rPr>
          <w:rFonts w:hint="eastAsia" w:hAnsi="宋体"/>
          <w:color w:val="auto"/>
          <w:szCs w:val="21"/>
        </w:rPr>
        <w:t>（3）单价金额小数点或者百分比有明显错位的，以开标一览表的总价为准，并修改单价；</w:t>
      </w:r>
    </w:p>
    <w:p w14:paraId="19DE819E">
      <w:pPr>
        <w:pStyle w:val="27"/>
        <w:snapToGrid w:val="0"/>
        <w:spacing w:line="360" w:lineRule="auto"/>
        <w:ind w:firstLine="420" w:firstLineChars="200"/>
        <w:rPr>
          <w:rFonts w:hint="eastAsia" w:hAnsi="宋体"/>
          <w:color w:val="auto"/>
          <w:szCs w:val="21"/>
        </w:rPr>
      </w:pPr>
      <w:r>
        <w:rPr>
          <w:rFonts w:hint="eastAsia" w:hAnsi="宋体"/>
          <w:color w:val="auto"/>
          <w:szCs w:val="21"/>
        </w:rPr>
        <w:t>（4）总价金额与按单价汇总金额不一致的，以单价金额计算结果为准。</w:t>
      </w:r>
    </w:p>
    <w:p w14:paraId="081F3A48">
      <w:pPr>
        <w:pStyle w:val="27"/>
        <w:snapToGrid w:val="0"/>
        <w:spacing w:line="360" w:lineRule="auto"/>
        <w:ind w:firstLine="422" w:firstLineChars="200"/>
        <w:rPr>
          <w:rFonts w:hint="eastAsia" w:hAnsi="宋体"/>
          <w:b/>
          <w:bCs/>
          <w:color w:val="auto"/>
          <w:szCs w:val="21"/>
        </w:rPr>
      </w:pPr>
      <w:r>
        <w:rPr>
          <w:rFonts w:hint="eastAsia" w:hAnsi="宋体"/>
          <w:b/>
          <w:color w:val="auto"/>
          <w:szCs w:val="21"/>
        </w:rPr>
        <w:t>同时出现两种以上不一致的，按照第（1）-（4）规定的顺序修正。</w:t>
      </w:r>
      <w:r>
        <w:rPr>
          <w:rFonts w:hint="eastAsia" w:hAnsi="宋体"/>
          <w:b/>
          <w:bCs/>
          <w:color w:val="auto"/>
          <w:szCs w:val="21"/>
        </w:rPr>
        <w:t>修正的报价经投标人确认后产生约束力，投标人不确认的，其投标无效。</w:t>
      </w:r>
    </w:p>
    <w:p w14:paraId="310B9241">
      <w:pPr>
        <w:pStyle w:val="27"/>
        <w:spacing w:line="360" w:lineRule="auto"/>
        <w:ind w:firstLine="413" w:firstLineChars="196"/>
        <w:rPr>
          <w:rFonts w:hint="eastAsia" w:hAnsi="宋体"/>
          <w:b/>
          <w:color w:val="auto"/>
          <w:szCs w:val="21"/>
        </w:rPr>
      </w:pPr>
      <w:r>
        <w:rPr>
          <w:rFonts w:hint="eastAsia" w:hAnsi="宋体"/>
          <w:b/>
          <w:color w:val="auto"/>
          <w:szCs w:val="21"/>
        </w:rPr>
        <w:t>25.8</w:t>
      </w:r>
      <w:r>
        <w:rPr>
          <w:rFonts w:hAnsi="宋体"/>
          <w:b/>
          <w:color w:val="auto"/>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23F6A700">
      <w:pPr>
        <w:pStyle w:val="27"/>
        <w:spacing w:line="360" w:lineRule="auto"/>
        <w:ind w:firstLine="411" w:firstLineChars="196"/>
        <w:rPr>
          <w:rFonts w:hint="eastAsia" w:hAnsi="宋体"/>
          <w:color w:val="auto"/>
          <w:szCs w:val="21"/>
        </w:rPr>
      </w:pPr>
      <w:r>
        <w:rPr>
          <w:rFonts w:hint="eastAsia" w:hAnsi="宋体"/>
          <w:color w:val="auto"/>
          <w:szCs w:val="21"/>
        </w:rPr>
        <w:t>25.9</w:t>
      </w:r>
      <w:r>
        <w:rPr>
          <w:rFonts w:hAnsi="宋体"/>
          <w:color w:val="auto"/>
          <w:szCs w:val="21"/>
        </w:rPr>
        <w:t>评标委员会成员对需要共同认定的事项存在争议的，应当按照少数服从多数的原则作出结论。持不同意见的评标委员会成员应当在评标报告上签署不同意见及理由，否则视为同意评标报告。</w:t>
      </w:r>
    </w:p>
    <w:p w14:paraId="4871673E">
      <w:pPr>
        <w:snapToGrid w:val="0"/>
        <w:spacing w:line="360" w:lineRule="auto"/>
        <w:ind w:firstLine="420" w:firstLineChars="200"/>
        <w:rPr>
          <w:rFonts w:hint="eastAsia" w:ascii="宋体" w:hAnsi="宋体"/>
          <w:color w:val="auto"/>
          <w:szCs w:val="21"/>
        </w:rPr>
      </w:pPr>
      <w:r>
        <w:rPr>
          <w:rFonts w:hint="eastAsia" w:ascii="宋体" w:hAnsi="宋体"/>
          <w:color w:val="auto"/>
          <w:szCs w:val="21"/>
        </w:rPr>
        <w:t>25.10</w:t>
      </w:r>
      <w:r>
        <w:rPr>
          <w:rFonts w:ascii="宋体" w:hAnsi="宋体"/>
          <w:color w:val="auto"/>
          <w:szCs w:val="21"/>
        </w:rPr>
        <w:t>评标结果汇总完成后，除下列情形外，任何人不得修改评标结果：</w:t>
      </w:r>
    </w:p>
    <w:p w14:paraId="419290DC">
      <w:pPr>
        <w:snapToGrid w:val="0"/>
        <w:spacing w:line="360" w:lineRule="auto"/>
        <w:ind w:firstLine="420" w:firstLineChars="200"/>
        <w:rPr>
          <w:rFonts w:hint="eastAsia" w:ascii="宋体" w:hAnsi="宋体"/>
          <w:color w:val="auto"/>
          <w:szCs w:val="21"/>
        </w:rPr>
      </w:pPr>
      <w:r>
        <w:rPr>
          <w:rFonts w:ascii="宋体" w:hAnsi="宋体"/>
          <w:color w:val="auto"/>
          <w:szCs w:val="21"/>
        </w:rPr>
        <w:t>（一）分值汇总计算错误的；</w:t>
      </w:r>
    </w:p>
    <w:p w14:paraId="2ECC31DF">
      <w:pPr>
        <w:snapToGrid w:val="0"/>
        <w:spacing w:line="360" w:lineRule="auto"/>
        <w:ind w:firstLine="420" w:firstLineChars="200"/>
        <w:rPr>
          <w:rFonts w:hint="eastAsia" w:ascii="宋体" w:hAnsi="宋体"/>
          <w:color w:val="auto"/>
          <w:szCs w:val="21"/>
        </w:rPr>
      </w:pPr>
      <w:r>
        <w:rPr>
          <w:rFonts w:ascii="宋体" w:hAnsi="宋体"/>
          <w:color w:val="auto"/>
          <w:szCs w:val="21"/>
        </w:rPr>
        <w:t>（二）分项评分超出评分标准范围的；</w:t>
      </w:r>
    </w:p>
    <w:p w14:paraId="6AA20BB4">
      <w:pPr>
        <w:snapToGrid w:val="0"/>
        <w:spacing w:line="360" w:lineRule="auto"/>
        <w:ind w:firstLine="420" w:firstLineChars="200"/>
        <w:rPr>
          <w:rFonts w:hint="eastAsia" w:ascii="宋体" w:hAnsi="宋体"/>
          <w:color w:val="auto"/>
          <w:szCs w:val="21"/>
        </w:rPr>
      </w:pPr>
      <w:r>
        <w:rPr>
          <w:rFonts w:ascii="宋体" w:hAnsi="宋体"/>
          <w:color w:val="auto"/>
          <w:szCs w:val="21"/>
        </w:rPr>
        <w:t>（三）评标委员会成员对客观评审因素评分不一致的；</w:t>
      </w:r>
    </w:p>
    <w:p w14:paraId="65A7F478">
      <w:pPr>
        <w:snapToGrid w:val="0"/>
        <w:spacing w:line="360" w:lineRule="auto"/>
        <w:ind w:firstLine="420" w:firstLineChars="200"/>
        <w:rPr>
          <w:rFonts w:hint="eastAsia" w:ascii="宋体" w:hAnsi="宋体"/>
          <w:color w:val="auto"/>
          <w:szCs w:val="21"/>
        </w:rPr>
      </w:pPr>
      <w:r>
        <w:rPr>
          <w:rFonts w:ascii="宋体" w:hAnsi="宋体"/>
          <w:color w:val="auto"/>
          <w:szCs w:val="21"/>
        </w:rPr>
        <w:t>（四）经评标委员会认定评分畸高、畸低的。</w:t>
      </w:r>
    </w:p>
    <w:p w14:paraId="775A9800">
      <w:pPr>
        <w:snapToGrid w:val="0"/>
        <w:spacing w:line="360" w:lineRule="auto"/>
        <w:ind w:firstLine="420" w:firstLineChars="200"/>
        <w:rPr>
          <w:rFonts w:hint="eastAsia" w:ascii="宋体" w:hAnsi="宋体"/>
          <w:color w:val="auto"/>
          <w:szCs w:val="21"/>
        </w:rPr>
      </w:pPr>
      <w:r>
        <w:rPr>
          <w:rFonts w:ascii="宋体" w:hAnsi="宋体"/>
          <w:color w:val="auto"/>
          <w:szCs w:val="21"/>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6986343B">
      <w:pPr>
        <w:snapToGrid w:val="0"/>
        <w:spacing w:line="360" w:lineRule="auto"/>
        <w:ind w:firstLine="420" w:firstLineChars="200"/>
        <w:rPr>
          <w:rFonts w:hint="eastAsia" w:ascii="宋体" w:hAnsi="宋体"/>
          <w:color w:val="auto"/>
          <w:szCs w:val="21"/>
        </w:rPr>
      </w:pPr>
      <w:r>
        <w:rPr>
          <w:rFonts w:ascii="宋体" w:hAnsi="宋体"/>
          <w:color w:val="auto"/>
          <w:szCs w:val="21"/>
        </w:rPr>
        <w:t>投标人对本条第一款情形提出质疑的，采购人或者采购代理机构可以组织原评标委员会进行重新评审，重新评审改变评标结果的，应当书面报告本级财政部门。</w:t>
      </w:r>
    </w:p>
    <w:p w14:paraId="5C8E9B91">
      <w:pPr>
        <w:pStyle w:val="27"/>
        <w:snapToGrid w:val="0"/>
        <w:spacing w:line="360" w:lineRule="auto"/>
        <w:ind w:firstLine="420" w:firstLineChars="200"/>
        <w:rPr>
          <w:rFonts w:hint="eastAsia" w:hAnsi="宋体"/>
          <w:color w:val="auto"/>
          <w:szCs w:val="21"/>
        </w:rPr>
      </w:pPr>
      <w:r>
        <w:rPr>
          <w:rFonts w:hint="eastAsia" w:hAnsi="宋体"/>
          <w:color w:val="auto"/>
          <w:szCs w:val="21"/>
        </w:rPr>
        <w:t>25.11在采购项目出现废标后，评标委员会应出具招标文件是否存在不合理条款等的认证意见并提出修改建议。</w:t>
      </w:r>
    </w:p>
    <w:p w14:paraId="65F2E53C">
      <w:pPr>
        <w:pStyle w:val="27"/>
        <w:spacing w:line="360" w:lineRule="auto"/>
        <w:ind w:firstLine="411" w:firstLineChars="196"/>
        <w:rPr>
          <w:rFonts w:hint="eastAsia" w:hAnsi="宋体"/>
          <w:color w:val="auto"/>
          <w:szCs w:val="21"/>
        </w:rPr>
      </w:pPr>
      <w:r>
        <w:rPr>
          <w:rFonts w:hint="eastAsia" w:hAnsi="宋体"/>
          <w:color w:val="auto"/>
          <w:szCs w:val="21"/>
        </w:rPr>
        <w:t>25.12采购代理机构发现评标委员会有明显的违规倾向或歧视现象，或不按评标办法进行，或其他不正常行为的，应当及时制止。如制止无效，应及时向阳朔县人民政府采购管理办公室报告。</w:t>
      </w:r>
    </w:p>
    <w:p w14:paraId="32512DA7">
      <w:pPr>
        <w:pStyle w:val="27"/>
        <w:tabs>
          <w:tab w:val="left" w:pos="4214"/>
        </w:tabs>
        <w:spacing w:line="360" w:lineRule="auto"/>
        <w:ind w:firstLine="422" w:firstLineChars="200"/>
        <w:rPr>
          <w:rFonts w:hint="eastAsia" w:hAnsi="宋体"/>
          <w:b/>
          <w:color w:val="auto"/>
        </w:rPr>
      </w:pPr>
      <w:r>
        <w:rPr>
          <w:rFonts w:hint="eastAsia" w:hAnsi="宋体"/>
          <w:b/>
          <w:color w:val="auto"/>
        </w:rPr>
        <w:t>26</w:t>
      </w:r>
      <w:r>
        <w:rPr>
          <w:rFonts w:hint="eastAsia" w:hAnsi="宋体"/>
          <w:color w:val="auto"/>
        </w:rPr>
        <w:t>.</w:t>
      </w:r>
      <w:r>
        <w:rPr>
          <w:rFonts w:hint="eastAsia" w:hAnsi="宋体"/>
          <w:b/>
          <w:color w:val="auto"/>
        </w:rPr>
        <w:t>推荐及确定中标候选投标人原则</w:t>
      </w:r>
    </w:p>
    <w:p w14:paraId="6F5126FF">
      <w:pPr>
        <w:pStyle w:val="27"/>
        <w:tabs>
          <w:tab w:val="left" w:pos="4214"/>
        </w:tabs>
        <w:spacing w:line="360" w:lineRule="auto"/>
        <w:ind w:firstLine="420" w:firstLineChars="200"/>
        <w:rPr>
          <w:rFonts w:hint="eastAsia" w:hAnsi="宋体"/>
          <w:color w:val="auto"/>
          <w:szCs w:val="21"/>
        </w:rPr>
      </w:pPr>
      <w:r>
        <w:rPr>
          <w:rFonts w:hint="eastAsia" w:hAnsi="宋体"/>
          <w:color w:val="auto"/>
          <w:szCs w:val="21"/>
        </w:rPr>
        <w:t>26.1评标委员会将根据得分由高到低排列次序（得分相同时，以投标报价由低到高顺序排列；得分相同且投标报价相同的，则依次按</w:t>
      </w:r>
      <w:r>
        <w:rPr>
          <w:rFonts w:hint="eastAsia" w:hAnsi="宋体" w:cs="宋体"/>
          <w:color w:val="auto"/>
          <w:szCs w:val="21"/>
        </w:rPr>
        <w:t>货物性能、项目实施方案、售后服务方案、履约能力得分</w:t>
      </w:r>
      <w:r>
        <w:rPr>
          <w:rFonts w:hint="eastAsia" w:hAnsi="宋体"/>
          <w:color w:val="auto"/>
          <w:szCs w:val="21"/>
        </w:rPr>
        <w:t>由高到低的顺序排列）并推荐前三名为中标候选人。</w:t>
      </w:r>
    </w:p>
    <w:p w14:paraId="175201D8">
      <w:pPr>
        <w:pStyle w:val="27"/>
        <w:tabs>
          <w:tab w:val="left" w:pos="4214"/>
        </w:tabs>
        <w:spacing w:line="360" w:lineRule="auto"/>
        <w:ind w:firstLine="420" w:firstLineChars="200"/>
        <w:rPr>
          <w:rFonts w:hint="eastAsia" w:hAnsi="宋体"/>
          <w:color w:val="auto"/>
          <w:szCs w:val="21"/>
        </w:rPr>
      </w:pPr>
      <w:r>
        <w:rPr>
          <w:rFonts w:hint="eastAsia" w:hAnsi="宋体"/>
          <w:color w:val="auto"/>
          <w:szCs w:val="21"/>
        </w:rPr>
        <w:t>26.2评标委员会可推荐前三名为中标候选人，采购人应当确定评标委员会推荐排名第一的中标候选人为中标人。</w:t>
      </w:r>
    </w:p>
    <w:p w14:paraId="401D8307">
      <w:pPr>
        <w:pStyle w:val="27"/>
        <w:spacing w:line="360" w:lineRule="auto"/>
        <w:ind w:firstLine="447" w:firstLineChars="213"/>
        <w:rPr>
          <w:rFonts w:hint="eastAsia" w:hAnsi="宋体"/>
          <w:color w:val="auto"/>
          <w:szCs w:val="21"/>
        </w:rPr>
      </w:pPr>
      <w:r>
        <w:rPr>
          <w:rFonts w:hint="eastAsia" w:hAnsi="宋体"/>
          <w:color w:val="auto"/>
          <w:szCs w:val="21"/>
        </w:rPr>
        <w:t>26.3排名第一的中标候选人放弃中标、因不可抗力提出不能履行合同，或者招标文件规定应当提交履约保证金而在规定的期限内未能提交的，或因失信行为被取消中标候选人资格的，采购人可以确定排名第二的中标候选人为中标人或重新招标，并依此类推。</w:t>
      </w:r>
    </w:p>
    <w:p w14:paraId="473868ED">
      <w:pPr>
        <w:snapToGrid w:val="0"/>
        <w:spacing w:line="360" w:lineRule="auto"/>
        <w:ind w:firstLine="422" w:firstLineChars="200"/>
        <w:rPr>
          <w:rFonts w:hint="eastAsia" w:ascii="宋体" w:hAnsi="宋体"/>
          <w:b/>
          <w:color w:val="auto"/>
          <w:szCs w:val="21"/>
        </w:rPr>
      </w:pPr>
      <w:r>
        <w:rPr>
          <w:rFonts w:hint="eastAsia" w:ascii="宋体" w:hAnsi="宋体"/>
          <w:b/>
          <w:bCs/>
          <w:color w:val="auto"/>
          <w:szCs w:val="21"/>
        </w:rPr>
        <w:t>27</w:t>
      </w:r>
      <w:r>
        <w:rPr>
          <w:rFonts w:hint="eastAsia" w:ascii="宋体" w:hAnsi="宋体"/>
          <w:b/>
          <w:color w:val="auto"/>
        </w:rPr>
        <w:t>.</w:t>
      </w:r>
      <w:r>
        <w:rPr>
          <w:rFonts w:hint="eastAsia" w:ascii="宋体" w:hAnsi="宋体"/>
          <w:b/>
          <w:color w:val="auto"/>
          <w:szCs w:val="21"/>
        </w:rPr>
        <w:t>属于下列情况之一者，投标无效：</w:t>
      </w:r>
    </w:p>
    <w:p w14:paraId="5A1E2D94">
      <w:pPr>
        <w:snapToGrid w:val="0"/>
        <w:spacing w:line="360" w:lineRule="auto"/>
        <w:ind w:firstLine="411" w:firstLineChars="196"/>
        <w:rPr>
          <w:rFonts w:hint="eastAsia" w:ascii="宋体" w:hAnsi="宋体"/>
          <w:color w:val="auto"/>
          <w:szCs w:val="21"/>
        </w:rPr>
      </w:pPr>
      <w:r>
        <w:rPr>
          <w:rFonts w:hint="eastAsia" w:ascii="宋体" w:hAnsi="宋体"/>
          <w:color w:val="auto"/>
          <w:szCs w:val="21"/>
        </w:rPr>
        <w:t>（1）未按照招标文件规定要求签字、盖章的；</w:t>
      </w:r>
    </w:p>
    <w:p w14:paraId="52C76CAB">
      <w:pPr>
        <w:snapToGrid w:val="0"/>
        <w:spacing w:line="360" w:lineRule="auto"/>
        <w:ind w:firstLine="420" w:firstLineChars="200"/>
        <w:rPr>
          <w:rFonts w:hint="eastAsia" w:ascii="宋体" w:hAnsi="宋体"/>
          <w:color w:val="auto"/>
          <w:szCs w:val="21"/>
        </w:rPr>
      </w:pPr>
      <w:r>
        <w:rPr>
          <w:rFonts w:hint="eastAsia" w:ascii="宋体" w:hAnsi="宋体"/>
          <w:color w:val="auto"/>
          <w:szCs w:val="21"/>
        </w:rPr>
        <w:t>（2）</w:t>
      </w:r>
      <w:r>
        <w:rPr>
          <w:rFonts w:ascii="宋体" w:hAnsi="宋体"/>
          <w:color w:val="auto"/>
          <w:szCs w:val="21"/>
        </w:rPr>
        <w:t>报价超过招标文件中规定的预算金额的；</w:t>
      </w:r>
    </w:p>
    <w:p w14:paraId="47A0B729">
      <w:pPr>
        <w:snapToGrid w:val="0"/>
        <w:spacing w:line="360" w:lineRule="auto"/>
        <w:ind w:firstLine="411" w:firstLineChars="196"/>
        <w:rPr>
          <w:rFonts w:hint="eastAsia" w:ascii="宋体" w:hAnsi="宋体"/>
          <w:color w:val="auto"/>
          <w:szCs w:val="21"/>
        </w:rPr>
      </w:pPr>
      <w:r>
        <w:rPr>
          <w:rFonts w:hint="eastAsia" w:ascii="宋体" w:hAnsi="宋体"/>
          <w:color w:val="auto"/>
          <w:szCs w:val="21"/>
        </w:rPr>
        <w:t>（3）不具备招标文件中规定的资格要求的</w:t>
      </w:r>
      <w:r>
        <w:rPr>
          <w:rFonts w:hint="eastAsia" w:ascii="宋体" w:hAnsi="宋体"/>
          <w:color w:val="auto"/>
        </w:rPr>
        <w:t>；</w:t>
      </w:r>
    </w:p>
    <w:p w14:paraId="7B9F6DF7">
      <w:pPr>
        <w:snapToGrid w:val="0"/>
        <w:spacing w:line="360" w:lineRule="auto"/>
        <w:ind w:firstLine="411" w:firstLineChars="196"/>
        <w:rPr>
          <w:rFonts w:hint="eastAsia" w:ascii="宋体" w:hAnsi="宋体"/>
          <w:color w:val="auto"/>
          <w:szCs w:val="21"/>
        </w:rPr>
      </w:pPr>
      <w:r>
        <w:rPr>
          <w:rFonts w:hint="eastAsia" w:ascii="宋体" w:hAnsi="宋体"/>
          <w:color w:val="auto"/>
          <w:szCs w:val="21"/>
        </w:rPr>
        <w:t>（4）</w:t>
      </w:r>
      <w:r>
        <w:rPr>
          <w:rFonts w:ascii="宋体" w:hAnsi="宋体"/>
          <w:color w:val="auto"/>
          <w:szCs w:val="21"/>
        </w:rPr>
        <w:t>投标文件含有采购人不能接受的附加条件的</w:t>
      </w:r>
      <w:r>
        <w:rPr>
          <w:rFonts w:hint="eastAsia" w:ascii="宋体" w:hAnsi="宋体"/>
          <w:color w:val="auto"/>
          <w:szCs w:val="21"/>
        </w:rPr>
        <w:t>；</w:t>
      </w:r>
    </w:p>
    <w:p w14:paraId="2E4AA746">
      <w:pPr>
        <w:snapToGrid w:val="0"/>
        <w:spacing w:line="360" w:lineRule="auto"/>
        <w:ind w:firstLine="411" w:firstLineChars="196"/>
        <w:rPr>
          <w:rFonts w:hint="eastAsia" w:ascii="宋体" w:hAnsi="宋体"/>
          <w:color w:val="auto"/>
          <w:szCs w:val="21"/>
        </w:rPr>
      </w:pPr>
      <w:r>
        <w:rPr>
          <w:rFonts w:hint="eastAsia" w:ascii="宋体" w:hAnsi="宋体"/>
          <w:color w:val="auto"/>
          <w:szCs w:val="21"/>
        </w:rPr>
        <w:t>（5）投标文件未按招标文件的内容和要求编制，或提供虚假或无效材料的；</w:t>
      </w:r>
    </w:p>
    <w:p w14:paraId="00FFFCBA">
      <w:pPr>
        <w:snapToGrid w:val="0"/>
        <w:spacing w:line="360" w:lineRule="auto"/>
        <w:ind w:firstLine="411" w:firstLineChars="196"/>
        <w:rPr>
          <w:rFonts w:hint="eastAsia" w:ascii="宋体" w:hAnsi="宋体"/>
          <w:color w:val="auto"/>
          <w:szCs w:val="21"/>
        </w:rPr>
      </w:pPr>
      <w:r>
        <w:rPr>
          <w:rFonts w:hint="eastAsia" w:ascii="宋体" w:hAnsi="宋体"/>
          <w:color w:val="auto"/>
          <w:szCs w:val="21"/>
        </w:rPr>
        <w:t>（6）投标文件有效期、服务时间、售后服务不能满足招标文件要求的；</w:t>
      </w:r>
    </w:p>
    <w:p w14:paraId="778F2C4E">
      <w:pPr>
        <w:snapToGrid w:val="0"/>
        <w:spacing w:line="360" w:lineRule="auto"/>
        <w:ind w:firstLine="411" w:firstLineChars="196"/>
        <w:rPr>
          <w:rFonts w:hint="eastAsia" w:ascii="宋体" w:hAnsi="宋体"/>
          <w:color w:val="auto"/>
        </w:rPr>
      </w:pPr>
      <w:r>
        <w:rPr>
          <w:rFonts w:hint="eastAsia" w:ascii="宋体" w:hAnsi="宋体"/>
          <w:color w:val="auto"/>
          <w:szCs w:val="21"/>
        </w:rPr>
        <w:t>（7）</w:t>
      </w:r>
      <w:r>
        <w:rPr>
          <w:rFonts w:hint="eastAsia" w:ascii="宋体" w:hAnsi="宋体"/>
          <w:color w:val="auto"/>
        </w:rPr>
        <w:t>投标</w:t>
      </w:r>
      <w:r>
        <w:rPr>
          <w:rFonts w:hint="eastAsia" w:ascii="宋体" w:hAnsi="宋体"/>
          <w:color w:val="auto"/>
          <w:szCs w:val="21"/>
        </w:rPr>
        <w:t>人未就“</w:t>
      </w:r>
      <w:r>
        <w:rPr>
          <w:rFonts w:hint="eastAsia" w:ascii="宋体" w:hAnsi="宋体"/>
          <w:color w:val="auto"/>
          <w:szCs w:val="21"/>
          <w:u w:val="single"/>
        </w:rPr>
        <w:t>货物采购需求</w:t>
      </w:r>
      <w:r>
        <w:rPr>
          <w:rFonts w:hint="eastAsia" w:ascii="宋体" w:hAnsi="宋体"/>
          <w:color w:val="auto"/>
          <w:szCs w:val="21"/>
        </w:rPr>
        <w:t>”中所投项目的所有</w:t>
      </w:r>
      <w:r>
        <w:rPr>
          <w:rFonts w:hint="eastAsia" w:ascii="宋体" w:hAnsi="宋体"/>
          <w:color w:val="auto"/>
          <w:szCs w:val="21"/>
          <w:u w:val="single"/>
        </w:rPr>
        <w:t>货物和</w:t>
      </w:r>
      <w:r>
        <w:rPr>
          <w:rFonts w:hint="eastAsia" w:ascii="宋体" w:hAnsi="宋体"/>
          <w:color w:val="auto"/>
          <w:szCs w:val="21"/>
        </w:rPr>
        <w:t>服务内容作完整唯一报价的</w:t>
      </w:r>
      <w:r>
        <w:rPr>
          <w:rFonts w:hint="eastAsia" w:ascii="宋体" w:hAnsi="宋体"/>
          <w:color w:val="auto"/>
        </w:rPr>
        <w:t>；</w:t>
      </w:r>
    </w:p>
    <w:p w14:paraId="4AA3AA24">
      <w:pPr>
        <w:snapToGrid w:val="0"/>
        <w:spacing w:line="360" w:lineRule="auto"/>
        <w:ind w:firstLine="411" w:firstLineChars="196"/>
        <w:rPr>
          <w:rFonts w:hint="eastAsia" w:ascii="宋体" w:hAnsi="宋体"/>
          <w:color w:val="auto"/>
          <w:szCs w:val="21"/>
        </w:rPr>
      </w:pPr>
      <w:r>
        <w:rPr>
          <w:rFonts w:hint="eastAsia" w:ascii="宋体" w:hAnsi="宋体"/>
          <w:color w:val="auto"/>
          <w:szCs w:val="21"/>
        </w:rPr>
        <w:t>（8）未完全响应招标文件实质性要求的；</w:t>
      </w:r>
    </w:p>
    <w:p w14:paraId="03C30B90">
      <w:pPr>
        <w:pStyle w:val="27"/>
        <w:spacing w:line="360" w:lineRule="auto"/>
        <w:ind w:firstLine="420" w:firstLineChars="200"/>
        <w:rPr>
          <w:rFonts w:hint="eastAsia" w:hAnsi="宋体"/>
          <w:color w:val="auto"/>
          <w:szCs w:val="24"/>
        </w:rPr>
      </w:pPr>
      <w:r>
        <w:rPr>
          <w:rFonts w:hint="eastAsia" w:hAnsi="宋体"/>
          <w:color w:val="auto"/>
          <w:szCs w:val="21"/>
        </w:rPr>
        <w:t>（9）单位负责人为同一人或者存在直接控股、管理关系的不同投标人参加同一合同项下分标或未划分分标的同一合同项下的政府采购活动；</w:t>
      </w:r>
    </w:p>
    <w:p w14:paraId="6C9F36AD">
      <w:pPr>
        <w:pStyle w:val="27"/>
        <w:spacing w:line="360" w:lineRule="auto"/>
        <w:ind w:firstLine="420" w:firstLineChars="200"/>
        <w:rPr>
          <w:rFonts w:hint="eastAsia" w:hAnsi="宋体"/>
          <w:color w:val="auto"/>
          <w:szCs w:val="21"/>
        </w:rPr>
      </w:pPr>
      <w:r>
        <w:rPr>
          <w:rFonts w:hint="eastAsia" w:hAnsi="宋体"/>
          <w:color w:val="auto"/>
          <w:szCs w:val="21"/>
        </w:rPr>
        <w:t>（10）</w:t>
      </w:r>
      <w:r>
        <w:rPr>
          <w:rFonts w:hAnsi="宋体"/>
          <w:color w:val="auto"/>
          <w:szCs w:val="21"/>
        </w:rPr>
        <w:t>法律、法规和招标文件规定的其他无效情形。</w:t>
      </w:r>
    </w:p>
    <w:p w14:paraId="330180DC">
      <w:pPr>
        <w:snapToGrid w:val="0"/>
        <w:spacing w:line="360" w:lineRule="auto"/>
        <w:ind w:firstLine="527" w:firstLineChars="250"/>
        <w:rPr>
          <w:rFonts w:hint="eastAsia" w:ascii="宋体" w:hAnsi="宋体"/>
          <w:b/>
          <w:color w:val="auto"/>
          <w:szCs w:val="21"/>
        </w:rPr>
      </w:pPr>
      <w:r>
        <w:rPr>
          <w:rFonts w:hint="eastAsia" w:ascii="宋体" w:hAnsi="宋体"/>
          <w:b/>
          <w:color w:val="auto"/>
          <w:szCs w:val="21"/>
        </w:rPr>
        <w:t>28.投标人有下列情形之一的，视为串通投标，投标文件将被视为无效：</w:t>
      </w:r>
    </w:p>
    <w:p w14:paraId="5BB9550E">
      <w:pPr>
        <w:snapToGrid w:val="0"/>
        <w:spacing w:line="360" w:lineRule="auto"/>
        <w:ind w:left="355" w:leftChars="169" w:firstLine="102" w:firstLineChars="49"/>
        <w:rPr>
          <w:rFonts w:hint="eastAsia" w:ascii="宋体" w:hAnsi="宋体"/>
          <w:color w:val="auto"/>
        </w:rPr>
      </w:pPr>
      <w:r>
        <w:rPr>
          <w:rFonts w:hint="eastAsia" w:ascii="宋体" w:hAnsi="宋体"/>
          <w:color w:val="auto"/>
        </w:rPr>
        <w:t>（1）不同投标人的投标文件由同一单位或者个人编制；或不同投标人报名的IP地址一致的；</w:t>
      </w:r>
    </w:p>
    <w:p w14:paraId="7000F1D2">
      <w:pPr>
        <w:snapToGrid w:val="0"/>
        <w:spacing w:line="360" w:lineRule="auto"/>
        <w:ind w:left="355" w:leftChars="169" w:firstLine="102" w:firstLineChars="49"/>
        <w:rPr>
          <w:rFonts w:hint="eastAsia" w:ascii="宋体" w:hAnsi="宋体"/>
          <w:color w:val="auto"/>
        </w:rPr>
      </w:pPr>
      <w:r>
        <w:rPr>
          <w:rFonts w:hint="eastAsia" w:ascii="宋体" w:hAnsi="宋体"/>
          <w:color w:val="auto"/>
        </w:rPr>
        <w:t>（2）不同投标人委托同一单位或者个人办理投标事宜；</w:t>
      </w:r>
    </w:p>
    <w:p w14:paraId="6F49E92A">
      <w:pPr>
        <w:snapToGrid w:val="0"/>
        <w:spacing w:line="360" w:lineRule="auto"/>
        <w:ind w:left="355" w:leftChars="169" w:firstLine="102" w:firstLineChars="49"/>
        <w:rPr>
          <w:rFonts w:hint="eastAsia" w:ascii="宋体" w:hAnsi="宋体"/>
          <w:color w:val="auto"/>
        </w:rPr>
      </w:pPr>
      <w:r>
        <w:rPr>
          <w:rFonts w:hint="eastAsia" w:ascii="宋体" w:hAnsi="宋体"/>
          <w:color w:val="auto"/>
        </w:rPr>
        <w:t>（3）不同的投标人的投标文件载明的项目管理员或者联系人员为同一个人；</w:t>
      </w:r>
    </w:p>
    <w:p w14:paraId="0182F569">
      <w:pPr>
        <w:snapToGrid w:val="0"/>
        <w:spacing w:line="360" w:lineRule="auto"/>
        <w:ind w:left="355" w:leftChars="169" w:firstLine="102" w:firstLineChars="49"/>
        <w:rPr>
          <w:rFonts w:hint="eastAsia" w:ascii="宋体" w:hAnsi="宋体"/>
          <w:color w:val="auto"/>
        </w:rPr>
      </w:pPr>
      <w:r>
        <w:rPr>
          <w:rFonts w:hint="eastAsia" w:ascii="宋体" w:hAnsi="宋体"/>
          <w:color w:val="auto"/>
        </w:rPr>
        <w:t xml:space="preserve">（4）不同投标人的投标文件异常一致或投标报价呈规律性差异； </w:t>
      </w:r>
    </w:p>
    <w:p w14:paraId="180D6815">
      <w:pPr>
        <w:snapToGrid w:val="0"/>
        <w:spacing w:line="360" w:lineRule="auto"/>
        <w:ind w:left="355" w:leftChars="169" w:firstLine="102" w:firstLineChars="49"/>
        <w:rPr>
          <w:rFonts w:hint="eastAsia" w:ascii="宋体" w:hAnsi="宋体"/>
          <w:color w:val="auto"/>
        </w:rPr>
      </w:pPr>
      <w:r>
        <w:rPr>
          <w:rFonts w:hint="eastAsia" w:ascii="宋体" w:hAnsi="宋体"/>
          <w:color w:val="auto"/>
        </w:rPr>
        <w:t>（5）不同投标人的投标文件相互混装。</w:t>
      </w:r>
    </w:p>
    <w:p w14:paraId="555EA42D">
      <w:pPr>
        <w:snapToGrid w:val="0"/>
        <w:spacing w:line="360" w:lineRule="auto"/>
        <w:ind w:firstLine="517" w:firstLineChars="245"/>
        <w:rPr>
          <w:rFonts w:hint="eastAsia" w:ascii="宋体" w:hAnsi="宋体"/>
          <w:b/>
          <w:color w:val="auto"/>
          <w:szCs w:val="21"/>
        </w:rPr>
      </w:pPr>
      <w:r>
        <w:rPr>
          <w:rFonts w:hint="eastAsia" w:ascii="宋体" w:hAnsi="宋体"/>
          <w:b/>
          <w:color w:val="auto"/>
        </w:rPr>
        <w:t>29.属于</w:t>
      </w:r>
      <w:r>
        <w:rPr>
          <w:rFonts w:hint="eastAsia" w:ascii="宋体" w:hAnsi="宋体"/>
          <w:b/>
          <w:color w:val="auto"/>
          <w:szCs w:val="21"/>
        </w:rPr>
        <w:t>下列情形之一的，应予废标：</w:t>
      </w:r>
    </w:p>
    <w:p w14:paraId="2ACD40AE">
      <w:pPr>
        <w:tabs>
          <w:tab w:val="left" w:pos="840"/>
        </w:tabs>
        <w:snapToGrid w:val="0"/>
        <w:spacing w:line="360" w:lineRule="auto"/>
        <w:ind w:left="330" w:leftChars="157" w:firstLine="102" w:firstLineChars="49"/>
        <w:rPr>
          <w:rFonts w:hint="eastAsia" w:ascii="宋体" w:hAnsi="宋体"/>
          <w:color w:val="auto"/>
          <w:szCs w:val="21"/>
        </w:rPr>
      </w:pPr>
      <w:r>
        <w:rPr>
          <w:rFonts w:hint="eastAsia" w:ascii="宋体" w:hAnsi="宋体"/>
          <w:color w:val="auto"/>
          <w:szCs w:val="21"/>
        </w:rPr>
        <w:t>（1）符合专业条件的投标人或者对招标文件作实质响应的投标人不足3家的；</w:t>
      </w:r>
    </w:p>
    <w:p w14:paraId="1F372BC7">
      <w:pPr>
        <w:tabs>
          <w:tab w:val="left" w:pos="840"/>
        </w:tabs>
        <w:snapToGrid w:val="0"/>
        <w:spacing w:line="360" w:lineRule="auto"/>
        <w:ind w:left="330" w:leftChars="157" w:firstLine="105" w:firstLineChars="50"/>
        <w:rPr>
          <w:rFonts w:hint="eastAsia" w:ascii="宋体" w:hAnsi="宋体"/>
          <w:color w:val="auto"/>
          <w:szCs w:val="21"/>
        </w:rPr>
      </w:pPr>
      <w:r>
        <w:rPr>
          <w:rFonts w:hint="eastAsia" w:ascii="宋体" w:hAnsi="宋体"/>
          <w:color w:val="auto"/>
          <w:szCs w:val="21"/>
        </w:rPr>
        <w:t>（2）出现影响采购公正的违法、违规行为的；</w:t>
      </w:r>
    </w:p>
    <w:p w14:paraId="22973F98">
      <w:pPr>
        <w:tabs>
          <w:tab w:val="left" w:pos="840"/>
        </w:tabs>
        <w:snapToGrid w:val="0"/>
        <w:spacing w:line="360" w:lineRule="auto"/>
        <w:ind w:left="330" w:leftChars="157" w:firstLine="105" w:firstLineChars="50"/>
        <w:rPr>
          <w:rFonts w:hint="eastAsia" w:ascii="宋体" w:hAnsi="宋体"/>
          <w:color w:val="auto"/>
        </w:rPr>
      </w:pPr>
      <w:r>
        <w:rPr>
          <w:rFonts w:hint="eastAsia" w:ascii="宋体" w:hAnsi="宋体"/>
          <w:color w:val="auto"/>
        </w:rPr>
        <w:t>（3）采购文件内容违反国家有关强制性规定的；</w:t>
      </w:r>
    </w:p>
    <w:p w14:paraId="1F6F7CF1">
      <w:pPr>
        <w:tabs>
          <w:tab w:val="left" w:pos="840"/>
        </w:tabs>
        <w:snapToGrid w:val="0"/>
        <w:spacing w:line="360" w:lineRule="auto"/>
        <w:ind w:left="330" w:leftChars="157" w:firstLine="105" w:firstLineChars="50"/>
        <w:rPr>
          <w:rFonts w:hint="eastAsia" w:ascii="宋体" w:hAnsi="宋体"/>
          <w:color w:val="auto"/>
        </w:rPr>
      </w:pPr>
      <w:r>
        <w:rPr>
          <w:rFonts w:hint="eastAsia" w:ascii="宋体" w:hAnsi="宋体"/>
          <w:color w:val="auto"/>
        </w:rPr>
        <w:t>（4）因重大变故，采购任务取消的。</w:t>
      </w:r>
    </w:p>
    <w:p w14:paraId="1318F169">
      <w:pPr>
        <w:pStyle w:val="27"/>
        <w:spacing w:line="360" w:lineRule="auto"/>
        <w:ind w:firstLine="413" w:firstLineChars="196"/>
        <w:rPr>
          <w:rFonts w:hint="eastAsia" w:hAnsi="宋体"/>
          <w:b/>
          <w:color w:val="auto"/>
        </w:rPr>
      </w:pPr>
      <w:r>
        <w:rPr>
          <w:rFonts w:hint="eastAsia" w:hAnsi="宋体"/>
          <w:b/>
          <w:color w:val="auto"/>
        </w:rPr>
        <w:t>30.开标、评标过程的监控</w:t>
      </w:r>
    </w:p>
    <w:p w14:paraId="3EF2040A">
      <w:pPr>
        <w:pStyle w:val="27"/>
        <w:spacing w:line="360" w:lineRule="auto"/>
        <w:ind w:firstLine="411" w:firstLineChars="196"/>
        <w:rPr>
          <w:rFonts w:hint="eastAsia" w:hAnsi="宋体"/>
          <w:color w:val="auto"/>
        </w:rPr>
      </w:pPr>
      <w:r>
        <w:rPr>
          <w:rFonts w:hint="eastAsia" w:hAnsi="宋体"/>
          <w:color w:val="auto"/>
        </w:rPr>
        <w:t>本项目开标、评标过程实行全程录音、录像监控，投标人在评标过程中所进行的试图影响评标结果的不公正活动，可能导致其投标被拒绝。</w:t>
      </w:r>
    </w:p>
    <w:p w14:paraId="6591C4A1">
      <w:pPr>
        <w:pStyle w:val="27"/>
        <w:spacing w:line="360" w:lineRule="auto"/>
        <w:ind w:firstLine="413" w:firstLineChars="196"/>
        <w:rPr>
          <w:rFonts w:hint="eastAsia" w:hAnsi="宋体"/>
          <w:b/>
          <w:color w:val="auto"/>
        </w:rPr>
      </w:pPr>
      <w:r>
        <w:rPr>
          <w:rFonts w:hint="eastAsia" w:hAnsi="宋体"/>
          <w:b/>
          <w:color w:val="auto"/>
        </w:rPr>
        <w:t>31.中标人信用信息查询</w:t>
      </w:r>
    </w:p>
    <w:p w14:paraId="24313BE4">
      <w:pPr>
        <w:pStyle w:val="27"/>
        <w:spacing w:line="360" w:lineRule="auto"/>
        <w:ind w:firstLine="411" w:firstLineChars="196"/>
        <w:rPr>
          <w:rFonts w:hint="eastAsia" w:hAnsi="宋体"/>
          <w:color w:val="auto"/>
        </w:rPr>
      </w:pPr>
      <w:r>
        <w:rPr>
          <w:rFonts w:hint="eastAsia" w:hAnsi="宋体"/>
          <w:color w:val="auto"/>
        </w:rPr>
        <w:t>根据《关于做好政府采购有关信用主体标识码登记及在政府采购活动中查询使用信用记录有关问题的通知》桂财采〔2016〕37号的通知，采购代理机构对中标人进行信用查询：</w:t>
      </w:r>
    </w:p>
    <w:p w14:paraId="0FD366C8">
      <w:pPr>
        <w:pStyle w:val="27"/>
        <w:spacing w:line="360" w:lineRule="auto"/>
        <w:ind w:firstLine="283" w:firstLineChars="135"/>
        <w:rPr>
          <w:rFonts w:hint="eastAsia" w:hAnsi="宋体"/>
          <w:color w:val="auto"/>
        </w:rPr>
      </w:pPr>
      <w:r>
        <w:rPr>
          <w:rFonts w:hint="eastAsia" w:hAnsi="宋体"/>
          <w:color w:val="auto"/>
        </w:rPr>
        <w:t>（1）查询渠道：“信用中国”网站（www.creditchina.gov.cn）、中国政府采购网（www.ccgp.gov.cn）等；</w:t>
      </w:r>
    </w:p>
    <w:p w14:paraId="3C1ACF0A">
      <w:pPr>
        <w:pStyle w:val="27"/>
        <w:spacing w:line="360" w:lineRule="auto"/>
        <w:ind w:firstLine="283" w:firstLineChars="135"/>
        <w:rPr>
          <w:rFonts w:hint="eastAsia" w:hAnsi="宋体"/>
          <w:color w:val="auto"/>
        </w:rPr>
      </w:pPr>
      <w:r>
        <w:rPr>
          <w:rFonts w:hint="eastAsia" w:hAnsi="宋体"/>
          <w:color w:val="auto"/>
        </w:rPr>
        <w:t>（2）查询截止时间：中标通知书发出前；</w:t>
      </w:r>
    </w:p>
    <w:p w14:paraId="6B8577F0">
      <w:pPr>
        <w:pStyle w:val="27"/>
        <w:spacing w:line="360" w:lineRule="auto"/>
        <w:ind w:firstLine="283" w:firstLineChars="135"/>
        <w:rPr>
          <w:rFonts w:hint="eastAsia" w:hAnsi="宋体"/>
          <w:color w:val="auto"/>
        </w:rPr>
      </w:pPr>
      <w:r>
        <w:rPr>
          <w:rFonts w:hint="eastAsia" w:hAnsi="宋体"/>
          <w:color w:val="auto"/>
        </w:rPr>
        <w:t>（3）信用信息查询记录和证据留存方式：在查询网站中直接打印查询记录，打印材料作为采购活动资料保存；</w:t>
      </w:r>
    </w:p>
    <w:p w14:paraId="7A573310">
      <w:pPr>
        <w:pStyle w:val="27"/>
        <w:spacing w:line="360" w:lineRule="auto"/>
        <w:ind w:firstLine="283" w:firstLineChars="135"/>
        <w:rPr>
          <w:rFonts w:hint="eastAsia" w:hAnsi="宋体"/>
          <w:color w:val="auto"/>
        </w:rPr>
      </w:pPr>
      <w:r>
        <w:rPr>
          <w:rFonts w:hint="eastAsia" w:hAnsi="宋体"/>
          <w:color w:val="auto"/>
        </w:rPr>
        <w:t>（4）信用信息使用规则：在“信用中国”网站（www.creditchina.gov.cn）、中国政府采购网（www.ccgp.gov.cn）等渠道列入失信被执行人、重大税收违法案件当事人名单、政府采购严重违法失信行为记录名单及其他不符合《中华人民共和国政府采购法》第二十二条规定条件的投标人，不得参与政府采购活动，取消其中标候选人资格。采购人依法按照评标报告中评标委员会推荐中标候选人排序表确定排名第二的中标候选人为中标投标人或者重新组织采购。</w:t>
      </w:r>
    </w:p>
    <w:p w14:paraId="7E4ED6D5">
      <w:pPr>
        <w:pStyle w:val="27"/>
        <w:spacing w:line="360" w:lineRule="auto"/>
        <w:ind w:firstLine="413" w:firstLineChars="196"/>
        <w:rPr>
          <w:rFonts w:hint="eastAsia" w:hAnsi="宋体"/>
          <w:b/>
          <w:color w:val="auto"/>
        </w:rPr>
      </w:pPr>
      <w:r>
        <w:rPr>
          <w:rFonts w:hint="eastAsia" w:hAnsi="宋体"/>
          <w:b/>
          <w:color w:val="auto"/>
        </w:rPr>
        <w:t>32. 中标公告及中标通知书</w:t>
      </w:r>
    </w:p>
    <w:p w14:paraId="3194AA7B">
      <w:pPr>
        <w:pStyle w:val="27"/>
        <w:tabs>
          <w:tab w:val="left" w:pos="455"/>
        </w:tabs>
        <w:spacing w:line="360" w:lineRule="auto"/>
        <w:ind w:firstLine="420" w:firstLineChars="200"/>
        <w:rPr>
          <w:rFonts w:hint="eastAsia" w:hAnsi="宋体"/>
          <w:color w:val="auto"/>
        </w:rPr>
      </w:pPr>
      <w:r>
        <w:rPr>
          <w:rFonts w:hint="eastAsia" w:hAnsi="宋体"/>
          <w:color w:val="auto"/>
          <w:szCs w:val="21"/>
        </w:rPr>
        <w:t>32.1采购代理机构于评标结束后两个工作日内将评标报告送交采购人，采购人应当自收到评标报告五个工作日内在评标报告推荐的中标候选投标人中按顺序确定中标投标人；采购代理机构在中标投标人确定之日起两个工作日内在指定媒体上公告中标结果，</w:t>
      </w:r>
      <w:r>
        <w:rPr>
          <w:rFonts w:hAnsi="宋体"/>
          <w:color w:val="auto"/>
          <w:szCs w:val="21"/>
        </w:rPr>
        <w:t>中标公告期限为1个工作日</w:t>
      </w:r>
      <w:r>
        <w:rPr>
          <w:rFonts w:hint="eastAsia" w:hAnsi="宋体"/>
          <w:color w:val="auto"/>
          <w:szCs w:val="21"/>
        </w:rPr>
        <w:t>。</w:t>
      </w:r>
    </w:p>
    <w:p w14:paraId="2F5D0953">
      <w:pPr>
        <w:pStyle w:val="27"/>
        <w:spacing w:line="360" w:lineRule="auto"/>
        <w:ind w:firstLine="420" w:firstLineChars="200"/>
        <w:rPr>
          <w:rFonts w:hint="eastAsia" w:hAnsi="宋体"/>
          <w:color w:val="auto"/>
          <w:szCs w:val="21"/>
        </w:rPr>
      </w:pPr>
      <w:r>
        <w:rPr>
          <w:rFonts w:hint="eastAsia" w:hAnsi="宋体"/>
          <w:color w:val="auto"/>
          <w:szCs w:val="21"/>
        </w:rPr>
        <w:t>32.2中标公告发布同时，采购代理机构在线向中标投标人发出中标通知书。</w:t>
      </w:r>
    </w:p>
    <w:p w14:paraId="1F3B8A6C">
      <w:pPr>
        <w:widowControl/>
        <w:spacing w:line="360" w:lineRule="auto"/>
        <w:jc w:val="left"/>
        <w:rPr>
          <w:color w:val="auto"/>
        </w:rPr>
      </w:pPr>
    </w:p>
    <w:p w14:paraId="4A3A1FD5">
      <w:pPr>
        <w:tabs>
          <w:tab w:val="left" w:pos="1140"/>
        </w:tabs>
        <w:spacing w:line="360" w:lineRule="auto"/>
        <w:ind w:left="420" w:leftChars="200"/>
        <w:jc w:val="center"/>
        <w:outlineLvl w:val="0"/>
        <w:rPr>
          <w:rFonts w:hint="eastAsia" w:ascii="宋体" w:hAnsi="宋体"/>
          <w:b/>
          <w:color w:val="auto"/>
          <w:sz w:val="28"/>
          <w:szCs w:val="28"/>
        </w:rPr>
      </w:pPr>
      <w:bookmarkStart w:id="8" w:name="_Toc90288704"/>
      <w:r>
        <w:rPr>
          <w:rFonts w:hint="eastAsia" w:ascii="宋体" w:hAnsi="宋体"/>
          <w:b/>
          <w:color w:val="auto"/>
          <w:sz w:val="28"/>
          <w:szCs w:val="28"/>
        </w:rPr>
        <w:t>七、履约保证金及签订合同</w:t>
      </w:r>
      <w:bookmarkEnd w:id="8"/>
    </w:p>
    <w:p w14:paraId="32E41CF9">
      <w:pPr>
        <w:tabs>
          <w:tab w:val="left" w:pos="1305"/>
        </w:tabs>
        <w:spacing w:line="360" w:lineRule="auto"/>
        <w:ind w:firstLine="420" w:firstLineChars="199"/>
        <w:rPr>
          <w:rFonts w:hint="eastAsia" w:ascii="宋体" w:hAnsi="宋体"/>
          <w:color w:val="auto"/>
          <w:szCs w:val="21"/>
        </w:rPr>
      </w:pPr>
      <w:r>
        <w:rPr>
          <w:rFonts w:hint="eastAsia" w:ascii="宋体" w:hAnsi="宋体"/>
          <w:b/>
          <w:color w:val="auto"/>
        </w:rPr>
        <w:t>33</w:t>
      </w:r>
      <w:r>
        <w:rPr>
          <w:rFonts w:hint="eastAsia" w:ascii="宋体" w:hAnsi="宋体"/>
          <w:b/>
          <w:color w:val="auto"/>
          <w:szCs w:val="21"/>
        </w:rPr>
        <w:t>.履约保证金</w:t>
      </w:r>
    </w:p>
    <w:p w14:paraId="74385A31">
      <w:pPr>
        <w:spacing w:line="380" w:lineRule="exact"/>
        <w:ind w:firstLine="420" w:firstLineChars="200"/>
        <w:rPr>
          <w:rFonts w:hint="eastAsia" w:ascii="宋体" w:hAnsi="宋体" w:cs="宋体"/>
          <w:color w:val="auto"/>
          <w:szCs w:val="21"/>
        </w:rPr>
      </w:pPr>
      <w:r>
        <w:rPr>
          <w:rFonts w:hint="eastAsia" w:ascii="宋体" w:hAnsi="宋体"/>
          <w:color w:val="auto"/>
          <w:szCs w:val="21"/>
        </w:rPr>
        <w:t>33.1</w:t>
      </w:r>
      <w:r>
        <w:rPr>
          <w:rFonts w:hint="eastAsia" w:ascii="宋体" w:hAnsi="宋体" w:cs="宋体"/>
          <w:color w:val="auto"/>
          <w:szCs w:val="21"/>
        </w:rPr>
        <w:t>合同签订时，中标人应按合同金额的</w:t>
      </w:r>
      <w:r>
        <w:rPr>
          <w:rFonts w:hint="eastAsia" w:ascii="宋体" w:hAnsi="宋体" w:cs="宋体"/>
          <w:color w:val="auto"/>
          <w:szCs w:val="21"/>
          <w:u w:val="single"/>
        </w:rPr>
        <w:t xml:space="preserve">  /  </w:t>
      </w:r>
      <w:r>
        <w:rPr>
          <w:rFonts w:hint="eastAsia" w:ascii="宋体" w:hAnsi="宋体" w:cs="宋体"/>
          <w:color w:val="auto"/>
          <w:szCs w:val="21"/>
        </w:rPr>
        <w:t>%向采购人交纳履约保证金，履约保证金待履行完合同约定的权利义务事项后（中标人承诺免费保修满）且不存在争议的，采购人在30个工作日内无息返还履约保证金。</w:t>
      </w:r>
    </w:p>
    <w:p w14:paraId="30E8EC8F">
      <w:pPr>
        <w:autoSpaceDE w:val="0"/>
        <w:autoSpaceDN w:val="0"/>
        <w:snapToGrid w:val="0"/>
        <w:spacing w:line="380" w:lineRule="exact"/>
        <w:ind w:firstLine="420" w:firstLineChars="200"/>
        <w:textAlignment w:val="bottom"/>
        <w:rPr>
          <w:rFonts w:hint="eastAsia" w:ascii="宋体" w:hAnsi="宋体"/>
          <w:color w:val="auto"/>
          <w:szCs w:val="21"/>
        </w:rPr>
      </w:pPr>
      <w:r>
        <w:rPr>
          <w:rFonts w:hint="eastAsia" w:ascii="宋体" w:hAnsi="宋体" w:cs="宋体"/>
          <w:color w:val="auto"/>
          <w:szCs w:val="21"/>
        </w:rPr>
        <w:t>履约保证金账户：</w:t>
      </w:r>
    </w:p>
    <w:p w14:paraId="72C7ED02">
      <w:pPr>
        <w:autoSpaceDE w:val="0"/>
        <w:autoSpaceDN w:val="0"/>
        <w:snapToGrid w:val="0"/>
        <w:spacing w:line="380" w:lineRule="exact"/>
        <w:ind w:firstLine="420" w:firstLineChars="200"/>
        <w:textAlignment w:val="bottom"/>
        <w:rPr>
          <w:rFonts w:hint="eastAsia" w:ascii="宋体" w:hAnsi="宋体" w:cs="宋体"/>
          <w:color w:val="auto"/>
          <w:szCs w:val="21"/>
        </w:rPr>
      </w:pPr>
      <w:r>
        <w:rPr>
          <w:rFonts w:hint="eastAsia" w:ascii="宋体" w:hAnsi="宋体" w:cs="宋体"/>
          <w:color w:val="auto"/>
          <w:szCs w:val="21"/>
        </w:rPr>
        <w:t>开户名称：</w:t>
      </w:r>
      <w:r>
        <w:rPr>
          <w:rFonts w:hint="eastAsia" w:ascii="宋体" w:hAnsi="宋体" w:cs="宋体"/>
          <w:color w:val="auto"/>
          <w:szCs w:val="21"/>
          <w:u w:val="single"/>
        </w:rPr>
        <w:t xml:space="preserve">  /       </w:t>
      </w:r>
      <w:r>
        <w:rPr>
          <w:rFonts w:hint="eastAsia" w:ascii="宋体" w:hAnsi="宋体" w:cs="宋体"/>
          <w:color w:val="auto"/>
          <w:szCs w:val="21"/>
        </w:rPr>
        <w:t xml:space="preserve"> </w:t>
      </w:r>
    </w:p>
    <w:p w14:paraId="7ADC555E">
      <w:pPr>
        <w:autoSpaceDE w:val="0"/>
        <w:autoSpaceDN w:val="0"/>
        <w:snapToGrid w:val="0"/>
        <w:spacing w:line="380" w:lineRule="exact"/>
        <w:ind w:firstLine="420" w:firstLineChars="200"/>
        <w:textAlignment w:val="bottom"/>
        <w:rPr>
          <w:rFonts w:hint="eastAsia" w:ascii="宋体" w:hAnsi="宋体"/>
          <w:color w:val="auto"/>
          <w:szCs w:val="21"/>
        </w:rPr>
      </w:pPr>
      <w:r>
        <w:rPr>
          <w:rFonts w:hint="eastAsia" w:ascii="宋体" w:hAnsi="宋体"/>
          <w:color w:val="auto"/>
          <w:szCs w:val="21"/>
        </w:rPr>
        <w:t>开户银行：</w:t>
      </w:r>
      <w:r>
        <w:rPr>
          <w:rFonts w:hint="eastAsia" w:ascii="宋体" w:hAnsi="宋体" w:cs="宋体"/>
          <w:color w:val="auto"/>
          <w:szCs w:val="21"/>
          <w:u w:val="single"/>
        </w:rPr>
        <w:t xml:space="preserve">  / </w:t>
      </w:r>
      <w:r>
        <w:rPr>
          <w:rFonts w:hint="eastAsia" w:ascii="宋体" w:hAnsi="宋体"/>
          <w:color w:val="auto"/>
          <w:szCs w:val="21"/>
        </w:rPr>
        <w:t xml:space="preserve"> </w:t>
      </w:r>
    </w:p>
    <w:p w14:paraId="71C3E9DC">
      <w:pPr>
        <w:autoSpaceDE w:val="0"/>
        <w:autoSpaceDN w:val="0"/>
        <w:snapToGrid w:val="0"/>
        <w:spacing w:line="380" w:lineRule="exact"/>
        <w:ind w:firstLine="420" w:firstLineChars="200"/>
        <w:textAlignment w:val="bottom"/>
        <w:rPr>
          <w:rFonts w:hint="eastAsia" w:ascii="宋体" w:hAnsi="宋体"/>
          <w:color w:val="auto"/>
          <w:szCs w:val="21"/>
        </w:rPr>
      </w:pPr>
      <w:r>
        <w:rPr>
          <w:rFonts w:hint="eastAsia" w:ascii="宋体" w:hAnsi="宋体"/>
          <w:color w:val="auto"/>
          <w:szCs w:val="21"/>
        </w:rPr>
        <w:t>账    号：</w:t>
      </w:r>
      <w:r>
        <w:rPr>
          <w:rFonts w:hint="eastAsia" w:ascii="宋体" w:hAnsi="宋体" w:cs="宋体"/>
          <w:color w:val="auto"/>
          <w:szCs w:val="21"/>
          <w:u w:val="single"/>
        </w:rPr>
        <w:t xml:space="preserve">  / </w:t>
      </w:r>
      <w:r>
        <w:rPr>
          <w:rFonts w:hint="eastAsia" w:ascii="宋体" w:hAnsi="宋体"/>
          <w:color w:val="auto"/>
          <w:szCs w:val="21"/>
        </w:rPr>
        <w:t xml:space="preserve"> </w:t>
      </w:r>
    </w:p>
    <w:p w14:paraId="03EFA0BA">
      <w:pPr>
        <w:spacing w:line="380" w:lineRule="exact"/>
        <w:ind w:firstLine="420" w:firstLineChars="200"/>
        <w:rPr>
          <w:rFonts w:hint="eastAsia" w:ascii="宋体" w:hAnsi="宋体"/>
          <w:color w:val="auto"/>
          <w:szCs w:val="21"/>
        </w:rPr>
      </w:pPr>
      <w:r>
        <w:rPr>
          <w:rFonts w:hint="eastAsia" w:ascii="宋体" w:hAnsi="宋体"/>
          <w:color w:val="auto"/>
          <w:szCs w:val="21"/>
        </w:rPr>
        <w:t>33.2</w:t>
      </w:r>
      <w:r>
        <w:rPr>
          <w:rFonts w:ascii="宋体" w:hAnsi="宋体"/>
          <w:color w:val="auto"/>
          <w:szCs w:val="21"/>
        </w:rPr>
        <w:t>根据《广西壮族自治区财政厅关于贯彻落实政府采购优化营商环境百日攻坚行动方案的通知》（桂财采〔2020〕49号）及《广西保障中小企业款项支付工作方案的通知》（桂政办发〔2020〕89号）的要求，降低小微企业参与政府采购费用。本项目</w:t>
      </w:r>
      <w:r>
        <w:rPr>
          <w:rFonts w:hint="eastAsia" w:ascii="宋体" w:hAnsi="宋体"/>
          <w:color w:val="auto"/>
          <w:szCs w:val="21"/>
        </w:rPr>
        <w:t>中标投标人</w:t>
      </w:r>
      <w:r>
        <w:rPr>
          <w:rFonts w:ascii="宋体" w:hAnsi="宋体"/>
          <w:color w:val="auto"/>
          <w:szCs w:val="21"/>
        </w:rPr>
        <w:t>如为小、微企业的，则免收履约保证金。</w:t>
      </w:r>
    </w:p>
    <w:p w14:paraId="1AF5A02B">
      <w:pPr>
        <w:tabs>
          <w:tab w:val="left" w:pos="1140"/>
        </w:tabs>
        <w:spacing w:line="360" w:lineRule="auto"/>
        <w:ind w:firstLine="420" w:firstLineChars="200"/>
        <w:rPr>
          <w:rFonts w:hint="eastAsia" w:ascii="宋体" w:hAnsi="宋体"/>
          <w:color w:val="auto"/>
        </w:rPr>
      </w:pPr>
      <w:r>
        <w:rPr>
          <w:rFonts w:hint="eastAsia" w:ascii="宋体" w:hAnsi="宋体"/>
          <w:color w:val="auto"/>
          <w:szCs w:val="21"/>
        </w:rPr>
        <w:t>33.3根据《桂林市财政局关于贯彻落实政府采购优化营商环境百日攻坚行动方案的通知》（市财采〔2020〕24号）第四条的规定，履约验收完成后支付款项的项目，原则上不收取履约保证金。</w:t>
      </w:r>
      <w:r>
        <w:rPr>
          <w:rFonts w:ascii="宋体" w:hAnsi="宋体"/>
          <w:color w:val="auto"/>
          <w:szCs w:val="21"/>
        </w:rPr>
        <w:t xml:space="preserve"> </w:t>
      </w:r>
      <w:r>
        <w:rPr>
          <w:rFonts w:ascii="宋体" w:hAnsi="宋体"/>
          <w:color w:val="auto"/>
        </w:rPr>
        <w:t xml:space="preserve"> </w:t>
      </w:r>
    </w:p>
    <w:p w14:paraId="5C0E459F">
      <w:pPr>
        <w:tabs>
          <w:tab w:val="left" w:pos="1140"/>
        </w:tabs>
        <w:spacing w:line="360" w:lineRule="auto"/>
        <w:ind w:firstLine="422" w:firstLineChars="200"/>
        <w:rPr>
          <w:rFonts w:hint="eastAsia" w:ascii="宋体" w:hAnsi="宋体"/>
          <w:b/>
          <w:color w:val="auto"/>
          <w:szCs w:val="21"/>
        </w:rPr>
      </w:pPr>
      <w:r>
        <w:rPr>
          <w:rFonts w:hint="eastAsia" w:ascii="宋体" w:hAnsi="宋体"/>
          <w:b/>
          <w:color w:val="auto"/>
          <w:szCs w:val="21"/>
        </w:rPr>
        <w:t>34.签订合同</w:t>
      </w:r>
    </w:p>
    <w:p w14:paraId="2A91C0DA">
      <w:pPr>
        <w:pStyle w:val="27"/>
        <w:spacing w:line="360" w:lineRule="auto"/>
        <w:ind w:left="2" w:leftChars="1" w:firstLine="420" w:firstLineChars="200"/>
        <w:rPr>
          <w:rFonts w:hint="eastAsia" w:hAnsi="宋体" w:cs="宋体"/>
          <w:color w:val="auto"/>
          <w:szCs w:val="21"/>
        </w:rPr>
      </w:pPr>
      <w:r>
        <w:rPr>
          <w:rFonts w:hint="eastAsia" w:hAnsi="宋体"/>
          <w:color w:val="auto"/>
          <w:szCs w:val="21"/>
        </w:rPr>
        <w:t>34.1签订合同时间：</w:t>
      </w:r>
      <w:r>
        <w:rPr>
          <w:rFonts w:hint="eastAsia" w:hAnsi="宋体" w:cs="宋体"/>
          <w:color w:val="auto"/>
          <w:szCs w:val="21"/>
        </w:rPr>
        <w:t>中标通知书发出之日八个工作日内。中标投标人领取中标通知书后，应按规定与采购人签订合同。</w:t>
      </w:r>
    </w:p>
    <w:p w14:paraId="34A027BD">
      <w:pPr>
        <w:pStyle w:val="27"/>
        <w:spacing w:line="360" w:lineRule="auto"/>
        <w:ind w:left="2" w:leftChars="1" w:firstLine="420" w:firstLineChars="200"/>
        <w:rPr>
          <w:rFonts w:hint="eastAsia" w:hAnsi="宋体"/>
          <w:color w:val="auto"/>
          <w:szCs w:val="21"/>
        </w:rPr>
      </w:pPr>
      <w:r>
        <w:rPr>
          <w:rFonts w:hint="eastAsia" w:hAnsi="宋体"/>
          <w:color w:val="auto"/>
          <w:szCs w:val="21"/>
        </w:rPr>
        <w:t>34.2如中标投标人有下列情形之一的，对其处以采购金额千分之五以上千分之十以下的罚款，情节严重的，由财政部门将其列入不良行为记录名单，在一至三年内禁止参加政府采购活动，并予以通报。采购人或者采购代理机构可从评标委员会推荐的中标候选投标人中按顺序重新确定中标投标人或重新组织招标。</w:t>
      </w:r>
    </w:p>
    <w:p w14:paraId="7F214E81">
      <w:pPr>
        <w:pStyle w:val="27"/>
        <w:spacing w:line="360" w:lineRule="auto"/>
        <w:ind w:firstLine="315" w:firstLineChars="150"/>
        <w:rPr>
          <w:rFonts w:hint="eastAsia" w:hAnsi="宋体"/>
          <w:color w:val="auto"/>
          <w:szCs w:val="21"/>
        </w:rPr>
      </w:pPr>
      <w:r>
        <w:rPr>
          <w:rFonts w:hint="eastAsia" w:hAnsi="宋体"/>
          <w:color w:val="auto"/>
          <w:szCs w:val="21"/>
        </w:rPr>
        <w:t>（1）中标后不与采购人签订合同的（不可抗力除外）；</w:t>
      </w:r>
    </w:p>
    <w:p w14:paraId="3BCDAAB1">
      <w:pPr>
        <w:pStyle w:val="27"/>
        <w:spacing w:line="360" w:lineRule="auto"/>
        <w:ind w:left="2" w:leftChars="1" w:firstLine="315" w:firstLineChars="150"/>
        <w:rPr>
          <w:rFonts w:hint="eastAsia" w:hAnsi="宋体"/>
          <w:color w:val="auto"/>
          <w:szCs w:val="21"/>
        </w:rPr>
      </w:pPr>
      <w:r>
        <w:rPr>
          <w:rFonts w:hint="eastAsia" w:hAnsi="宋体"/>
          <w:color w:val="auto"/>
          <w:szCs w:val="21"/>
        </w:rPr>
        <w:t>（2）将中标项目转让给他人，或者在投标文件中未说明，且未经采购人同意，将中标项目分包给他人的；</w:t>
      </w:r>
    </w:p>
    <w:p w14:paraId="5C1A1DA5">
      <w:pPr>
        <w:pStyle w:val="27"/>
        <w:spacing w:line="360" w:lineRule="auto"/>
        <w:ind w:firstLine="315" w:firstLineChars="150"/>
        <w:rPr>
          <w:rFonts w:hint="eastAsia" w:hAnsi="宋体"/>
          <w:color w:val="auto"/>
          <w:szCs w:val="21"/>
        </w:rPr>
      </w:pPr>
      <w:r>
        <w:rPr>
          <w:rFonts w:hint="eastAsia" w:hAnsi="宋体"/>
          <w:color w:val="auto"/>
          <w:szCs w:val="21"/>
        </w:rPr>
        <w:t>（3）拒绝履行合同义务的。</w:t>
      </w:r>
    </w:p>
    <w:p w14:paraId="70F01882">
      <w:pPr>
        <w:autoSpaceDE w:val="0"/>
        <w:autoSpaceDN w:val="0"/>
        <w:snapToGrid w:val="0"/>
        <w:spacing w:line="360" w:lineRule="auto"/>
        <w:ind w:firstLine="420" w:firstLineChars="200"/>
        <w:textAlignment w:val="bottom"/>
        <w:rPr>
          <w:rFonts w:hint="eastAsia" w:ascii="宋体" w:hAnsi="宋体"/>
          <w:b/>
          <w:color w:val="auto"/>
          <w:szCs w:val="21"/>
        </w:rPr>
      </w:pPr>
      <w:r>
        <w:rPr>
          <w:rFonts w:hint="eastAsia" w:ascii="宋体" w:hAnsi="宋体"/>
          <w:color w:val="auto"/>
          <w:szCs w:val="21"/>
        </w:rPr>
        <w:t xml:space="preserve"> 34.3合同备案存档：政府采购合同双方自签订之日起1个工作日内将合同原件壹份交采购代理机构存档。采购代理机构将政府采购合同在省级以上人民政府财政部门指定媒体上公告并在政采云系统中进行备案。</w:t>
      </w:r>
    </w:p>
    <w:p w14:paraId="45E91DB3">
      <w:pPr>
        <w:pStyle w:val="27"/>
        <w:spacing w:line="360" w:lineRule="auto"/>
        <w:ind w:left="2" w:leftChars="1" w:firstLine="422" w:firstLineChars="200"/>
        <w:rPr>
          <w:rFonts w:hint="eastAsia" w:hAnsi="宋体"/>
          <w:b/>
          <w:color w:val="auto"/>
          <w:szCs w:val="21"/>
        </w:rPr>
      </w:pPr>
      <w:r>
        <w:rPr>
          <w:rFonts w:hint="eastAsia" w:hAnsi="宋体"/>
          <w:b/>
          <w:color w:val="auto"/>
          <w:szCs w:val="21"/>
        </w:rPr>
        <w:t>注：未在广西政府采购云注册的成交投标人可在发出成交通知后登录广西政府采购云进行注册，如在操作过程中遇到问题或者需要技术支持，请致电广西政府采购云客服热线：95763。</w:t>
      </w:r>
    </w:p>
    <w:p w14:paraId="1B253A37">
      <w:pPr>
        <w:pStyle w:val="27"/>
        <w:spacing w:line="360" w:lineRule="auto"/>
        <w:ind w:left="2" w:leftChars="1" w:firstLine="422" w:firstLineChars="200"/>
        <w:rPr>
          <w:rFonts w:hint="eastAsia" w:hAnsi="宋体"/>
          <w:b/>
          <w:color w:val="auto"/>
          <w:szCs w:val="21"/>
        </w:rPr>
      </w:pPr>
    </w:p>
    <w:p w14:paraId="7E370FD1">
      <w:pPr>
        <w:widowControl/>
        <w:spacing w:line="360" w:lineRule="auto"/>
        <w:jc w:val="left"/>
        <w:rPr>
          <w:color w:val="auto"/>
        </w:rPr>
      </w:pPr>
    </w:p>
    <w:p w14:paraId="2166BBD7">
      <w:pPr>
        <w:pStyle w:val="27"/>
        <w:spacing w:line="360" w:lineRule="auto"/>
        <w:ind w:left="2" w:leftChars="1" w:firstLine="562" w:firstLineChars="200"/>
        <w:jc w:val="center"/>
        <w:rPr>
          <w:rFonts w:hint="eastAsia" w:hAnsi="宋体"/>
          <w:b/>
          <w:color w:val="auto"/>
          <w:sz w:val="28"/>
          <w:szCs w:val="28"/>
        </w:rPr>
      </w:pPr>
      <w:bookmarkStart w:id="9" w:name="_Toc90288705"/>
    </w:p>
    <w:p w14:paraId="7D40E4C5">
      <w:pPr>
        <w:pStyle w:val="27"/>
        <w:spacing w:line="360" w:lineRule="auto"/>
        <w:ind w:left="2" w:leftChars="1" w:firstLine="562" w:firstLineChars="200"/>
        <w:jc w:val="center"/>
        <w:outlineLvl w:val="0"/>
        <w:rPr>
          <w:rFonts w:hint="eastAsia" w:hAnsi="宋体"/>
          <w:b/>
          <w:color w:val="auto"/>
          <w:sz w:val="28"/>
          <w:szCs w:val="28"/>
        </w:rPr>
      </w:pPr>
      <w:r>
        <w:rPr>
          <w:rFonts w:hint="eastAsia" w:hAnsi="宋体"/>
          <w:b/>
          <w:color w:val="auto"/>
          <w:sz w:val="28"/>
          <w:szCs w:val="28"/>
        </w:rPr>
        <w:t>八、其他事项</w:t>
      </w:r>
      <w:bookmarkEnd w:id="9"/>
    </w:p>
    <w:p w14:paraId="3D954637">
      <w:pPr>
        <w:pStyle w:val="27"/>
        <w:spacing w:line="360" w:lineRule="auto"/>
        <w:ind w:firstLine="422" w:firstLineChars="200"/>
        <w:rPr>
          <w:rFonts w:hint="eastAsia" w:hAnsi="宋体"/>
          <w:b/>
          <w:color w:val="auto"/>
        </w:rPr>
      </w:pPr>
      <w:r>
        <w:rPr>
          <w:rFonts w:hint="eastAsia" w:hAnsi="宋体"/>
          <w:b/>
          <w:color w:val="auto"/>
        </w:rPr>
        <w:t>35</w:t>
      </w:r>
      <w:r>
        <w:rPr>
          <w:rFonts w:hint="eastAsia" w:hAnsi="宋体"/>
          <w:b/>
          <w:color w:val="auto"/>
          <w:szCs w:val="21"/>
        </w:rPr>
        <w:t>.</w:t>
      </w:r>
      <w:r>
        <w:rPr>
          <w:rFonts w:hint="eastAsia" w:hAnsi="宋体"/>
          <w:b/>
          <w:color w:val="auto"/>
        </w:rPr>
        <w:t>招标代理服务费</w:t>
      </w:r>
    </w:p>
    <w:p w14:paraId="22B36E25">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 xml:space="preserve">本项目的采购代理服务费：参照计价格[2002]1980号《招标代理服务收费管理暂行办法》货物类收费标准计取。在领取中标通知书前，由中标人向广西晟昌工程科技有限责任公司一次性付清代理服务费。   </w:t>
      </w:r>
    </w:p>
    <w:p w14:paraId="589543D4">
      <w:pPr>
        <w:spacing w:line="360" w:lineRule="auto"/>
        <w:jc w:val="center"/>
        <w:rPr>
          <w:rFonts w:hint="eastAsia" w:ascii="宋体" w:hAnsi="宋体"/>
          <w:color w:val="auto"/>
          <w:szCs w:val="21"/>
        </w:rPr>
      </w:pPr>
      <w:r>
        <w:rPr>
          <w:rFonts w:hint="eastAsia" w:ascii="宋体" w:hAnsi="宋体"/>
          <w:color w:val="auto"/>
          <w:szCs w:val="21"/>
        </w:rPr>
        <w:t>招标代理服务收费标准</w:t>
      </w:r>
    </w:p>
    <w:tbl>
      <w:tblPr>
        <w:tblStyle w:val="50"/>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1841"/>
        <w:gridCol w:w="1992"/>
        <w:gridCol w:w="2293"/>
      </w:tblGrid>
      <w:tr w14:paraId="1B317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880" w:type="dxa"/>
          </w:tcPr>
          <w:p w14:paraId="7157F34E">
            <w:pPr>
              <w:pStyle w:val="27"/>
              <w:spacing w:line="360" w:lineRule="auto"/>
              <w:ind w:left="25"/>
              <w:rPr>
                <w:rFonts w:hint="eastAsia" w:hAnsi="宋体"/>
                <w:color w:val="auto"/>
              </w:rPr>
            </w:pPr>
            <w:r>
              <w:rPr>
                <w:rFonts w:hAnsi="宋体"/>
                <w:color w:val="auto"/>
              </w:rPr>
              <mc:AlternateContent>
                <mc:Choice Requires="wps">
                  <w:drawing>
                    <wp:anchor distT="0" distB="0" distL="114300" distR="114300" simplePos="0" relativeHeight="251659264" behindDoc="0" locked="0" layoutInCell="1" allowOverlap="1">
                      <wp:simplePos x="0" y="0"/>
                      <wp:positionH relativeFrom="column">
                        <wp:posOffset>10160</wp:posOffset>
                      </wp:positionH>
                      <wp:positionV relativeFrom="paragraph">
                        <wp:posOffset>19050</wp:posOffset>
                      </wp:positionV>
                      <wp:extent cx="1781810" cy="295910"/>
                      <wp:effectExtent l="635" t="4445" r="635" b="19685"/>
                      <wp:wrapNone/>
                      <wp:docPr id="1" name="直线 3"/>
                      <wp:cNvGraphicFramePr/>
                      <a:graphic xmlns:a="http://schemas.openxmlformats.org/drawingml/2006/main">
                        <a:graphicData uri="http://schemas.microsoft.com/office/word/2010/wordprocessingShape">
                          <wps:wsp>
                            <wps:cNvCnPr/>
                            <wps:spPr>
                              <a:xfrm>
                                <a:off x="0" y="0"/>
                                <a:ext cx="1781810" cy="29591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3" o:spid="_x0000_s1026" o:spt="20" style="position:absolute;left:0pt;margin-left:0.8pt;margin-top:1.5pt;height:23.3pt;width:140.3pt;z-index:251659264;mso-width-relative:page;mso-height-relative:page;" filled="f" stroked="t" coordsize="21600,21600" o:gfxdata="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1eZ49NQAAAAGAQAADwAA&#10;AAAAAAABACAAAAAiAAAAZHJzL2Rvd25yZXYueG1sUEsBAhQAFAAAAAgAh07iQD7Pcs7hAQAA1AMA&#10;AA4AAAAAAAAAAQAgAAAAIwEAAGRycy9lMm9Eb2MueG1sUEsFBgAAAAAGAAYAWQEAAHYFAAAAAA==&#10;">
                      <v:fill on="f" focussize="0,0"/>
                      <v:stroke color="#000000" joinstyle="round"/>
                      <v:imagedata o:title=""/>
                      <o:lock v:ext="edit" aspectratio="f"/>
                    </v:line>
                  </w:pict>
                </mc:Fallback>
              </mc:AlternateContent>
            </w:r>
            <w:r>
              <w:rPr>
                <w:rFonts w:hint="eastAsia" w:hAnsi="宋体"/>
                <w:color w:val="auto"/>
              </w:rPr>
              <w:t>折扣           服务类型</w:t>
            </w:r>
          </w:p>
          <w:p w14:paraId="561DE8A0">
            <w:pPr>
              <w:pStyle w:val="27"/>
              <w:spacing w:line="360" w:lineRule="auto"/>
              <w:ind w:left="25"/>
              <w:rPr>
                <w:rFonts w:hint="eastAsia" w:hAnsi="宋体"/>
                <w:color w:val="auto"/>
              </w:rPr>
            </w:pPr>
            <w:r>
              <w:rPr>
                <w:rFonts w:hAnsi="宋体"/>
                <w:color w:val="auto"/>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39370</wp:posOffset>
                      </wp:positionV>
                      <wp:extent cx="1828800" cy="396240"/>
                      <wp:effectExtent l="1270" t="4445" r="13970" b="10795"/>
                      <wp:wrapNone/>
                      <wp:docPr id="2" name="直线 4"/>
                      <wp:cNvGraphicFramePr/>
                      <a:graphic xmlns:a="http://schemas.openxmlformats.org/drawingml/2006/main">
                        <a:graphicData uri="http://schemas.microsoft.com/office/word/2010/wordprocessingShape">
                          <wps:wsp>
                            <wps:cNvCnPr/>
                            <wps:spPr>
                              <a:xfrm>
                                <a:off x="0" y="0"/>
                                <a:ext cx="1828800" cy="39624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4" o:spid="_x0000_s1026" o:spt="20" style="position:absolute;left:0pt;margin-left:-5.4pt;margin-top:3.1pt;height:31.2pt;width:144pt;z-index:251660288;mso-width-relative:page;mso-height-relative:page;" filled="f" stroked="t"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AOr0TWAAAA&#10;CAEAAA8AAAAAAAAAAQAgAAAAIgAAAGRycy9kb3ducmV2LnhtbFBLAQIUABQAAAAIAIdO4kDBEbAU&#10;5gEAANQDAAAOAAAAAAAAAAEAIAAAACUBAABkcnMvZTJvRG9jLnhtbFBLBQYAAAAABgAGAFkBAAB9&#10;BQAAAAA=&#10;">
                      <v:fill on="f" focussize="0,0"/>
                      <v:stroke color="#000000" joinstyle="round"/>
                      <v:imagedata o:title=""/>
                      <o:lock v:ext="edit" aspectratio="f"/>
                    </v:line>
                  </w:pict>
                </mc:Fallback>
              </mc:AlternateContent>
            </w:r>
          </w:p>
          <w:p w14:paraId="5472348A">
            <w:pPr>
              <w:pStyle w:val="27"/>
              <w:spacing w:line="360" w:lineRule="auto"/>
              <w:ind w:left="25"/>
              <w:rPr>
                <w:rFonts w:hint="eastAsia" w:hAnsi="宋体"/>
                <w:color w:val="auto"/>
              </w:rPr>
            </w:pPr>
            <w:r>
              <w:rPr>
                <w:rFonts w:hint="eastAsia" w:hAnsi="宋体"/>
                <w:color w:val="auto"/>
              </w:rPr>
              <w:t>中标金额（万元）</w:t>
            </w:r>
          </w:p>
        </w:tc>
        <w:tc>
          <w:tcPr>
            <w:tcW w:w="1841" w:type="dxa"/>
            <w:vAlign w:val="center"/>
          </w:tcPr>
          <w:p w14:paraId="3C5679FC">
            <w:pPr>
              <w:pStyle w:val="27"/>
              <w:spacing w:line="360" w:lineRule="auto"/>
              <w:ind w:left="25"/>
              <w:jc w:val="center"/>
              <w:rPr>
                <w:rFonts w:hint="eastAsia" w:hAnsi="宋体"/>
                <w:color w:val="auto"/>
              </w:rPr>
            </w:pPr>
            <w:r>
              <w:rPr>
                <w:rFonts w:hint="eastAsia" w:hAnsi="宋体"/>
                <w:color w:val="auto"/>
              </w:rPr>
              <w:t>货物招标</w:t>
            </w:r>
          </w:p>
        </w:tc>
        <w:tc>
          <w:tcPr>
            <w:tcW w:w="1992" w:type="dxa"/>
            <w:vAlign w:val="center"/>
          </w:tcPr>
          <w:p w14:paraId="5C9288F2">
            <w:pPr>
              <w:pStyle w:val="27"/>
              <w:spacing w:line="360" w:lineRule="auto"/>
              <w:ind w:left="25"/>
              <w:jc w:val="center"/>
              <w:rPr>
                <w:rFonts w:hint="eastAsia" w:hAnsi="宋体"/>
                <w:color w:val="auto"/>
              </w:rPr>
            </w:pPr>
            <w:r>
              <w:rPr>
                <w:rFonts w:hint="eastAsia" w:hAnsi="宋体"/>
                <w:color w:val="auto"/>
              </w:rPr>
              <w:t>服务招标</w:t>
            </w:r>
          </w:p>
        </w:tc>
        <w:tc>
          <w:tcPr>
            <w:tcW w:w="2293" w:type="dxa"/>
            <w:vAlign w:val="center"/>
          </w:tcPr>
          <w:p w14:paraId="7C9C81EE">
            <w:pPr>
              <w:pStyle w:val="27"/>
              <w:spacing w:line="360" w:lineRule="auto"/>
              <w:ind w:left="25"/>
              <w:jc w:val="center"/>
              <w:rPr>
                <w:rFonts w:hint="eastAsia" w:hAnsi="宋体"/>
                <w:color w:val="auto"/>
              </w:rPr>
            </w:pPr>
            <w:r>
              <w:rPr>
                <w:rFonts w:hint="eastAsia" w:hAnsi="宋体"/>
                <w:color w:val="auto"/>
              </w:rPr>
              <w:t>工程招标</w:t>
            </w:r>
          </w:p>
        </w:tc>
      </w:tr>
      <w:tr w14:paraId="4E8C7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880" w:type="dxa"/>
          </w:tcPr>
          <w:p w14:paraId="5370F60F">
            <w:pPr>
              <w:pStyle w:val="27"/>
              <w:spacing w:line="360" w:lineRule="auto"/>
              <w:ind w:left="25"/>
              <w:rPr>
                <w:rFonts w:hint="eastAsia" w:hAnsi="宋体"/>
                <w:color w:val="auto"/>
              </w:rPr>
            </w:pPr>
            <w:r>
              <w:rPr>
                <w:rFonts w:hint="eastAsia" w:hAnsi="宋体"/>
                <w:color w:val="auto"/>
              </w:rPr>
              <w:t>100以下</w:t>
            </w:r>
          </w:p>
        </w:tc>
        <w:tc>
          <w:tcPr>
            <w:tcW w:w="1841" w:type="dxa"/>
          </w:tcPr>
          <w:p w14:paraId="2F9C85E7">
            <w:pPr>
              <w:pStyle w:val="27"/>
              <w:spacing w:line="360" w:lineRule="auto"/>
              <w:ind w:left="25"/>
              <w:jc w:val="center"/>
              <w:rPr>
                <w:rFonts w:hint="eastAsia" w:hAnsi="宋体"/>
                <w:color w:val="auto"/>
              </w:rPr>
            </w:pPr>
            <w:r>
              <w:rPr>
                <w:rFonts w:hint="eastAsia" w:hAnsi="宋体"/>
                <w:color w:val="auto"/>
              </w:rPr>
              <w:t>1.5%</w:t>
            </w:r>
          </w:p>
        </w:tc>
        <w:tc>
          <w:tcPr>
            <w:tcW w:w="1992" w:type="dxa"/>
          </w:tcPr>
          <w:p w14:paraId="22C9AA57">
            <w:pPr>
              <w:pStyle w:val="27"/>
              <w:spacing w:line="360" w:lineRule="auto"/>
              <w:ind w:left="25"/>
              <w:jc w:val="center"/>
              <w:rPr>
                <w:rFonts w:hint="eastAsia" w:hAnsi="宋体"/>
                <w:color w:val="auto"/>
              </w:rPr>
            </w:pPr>
            <w:r>
              <w:rPr>
                <w:rFonts w:hint="eastAsia" w:hAnsi="宋体"/>
                <w:color w:val="auto"/>
              </w:rPr>
              <w:t>1.5%</w:t>
            </w:r>
          </w:p>
        </w:tc>
        <w:tc>
          <w:tcPr>
            <w:tcW w:w="2293" w:type="dxa"/>
          </w:tcPr>
          <w:p w14:paraId="2D9880A8">
            <w:pPr>
              <w:pStyle w:val="27"/>
              <w:spacing w:line="360" w:lineRule="auto"/>
              <w:ind w:left="25"/>
              <w:jc w:val="center"/>
              <w:rPr>
                <w:rFonts w:hint="eastAsia" w:hAnsi="宋体"/>
                <w:color w:val="auto"/>
              </w:rPr>
            </w:pPr>
            <w:r>
              <w:rPr>
                <w:rFonts w:hint="eastAsia" w:hAnsi="宋体"/>
                <w:color w:val="auto"/>
              </w:rPr>
              <w:t>1.0%</w:t>
            </w:r>
          </w:p>
        </w:tc>
      </w:tr>
      <w:tr w14:paraId="4FDBA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880" w:type="dxa"/>
          </w:tcPr>
          <w:p w14:paraId="7DD48510">
            <w:pPr>
              <w:pStyle w:val="27"/>
              <w:spacing w:line="360" w:lineRule="auto"/>
              <w:ind w:left="25"/>
              <w:rPr>
                <w:rFonts w:hint="eastAsia" w:hAnsi="宋体"/>
                <w:color w:val="auto"/>
              </w:rPr>
            </w:pPr>
            <w:r>
              <w:rPr>
                <w:rFonts w:hint="eastAsia" w:hAnsi="宋体"/>
                <w:color w:val="auto"/>
              </w:rPr>
              <w:t>100-500</w:t>
            </w:r>
          </w:p>
        </w:tc>
        <w:tc>
          <w:tcPr>
            <w:tcW w:w="1841" w:type="dxa"/>
          </w:tcPr>
          <w:p w14:paraId="5D01B344">
            <w:pPr>
              <w:pStyle w:val="27"/>
              <w:spacing w:line="360" w:lineRule="auto"/>
              <w:ind w:left="25"/>
              <w:jc w:val="center"/>
              <w:rPr>
                <w:rFonts w:hint="eastAsia" w:hAnsi="宋体"/>
                <w:color w:val="auto"/>
              </w:rPr>
            </w:pPr>
            <w:r>
              <w:rPr>
                <w:rFonts w:hint="eastAsia" w:hAnsi="宋体"/>
                <w:color w:val="auto"/>
              </w:rPr>
              <w:t>1.1%</w:t>
            </w:r>
          </w:p>
        </w:tc>
        <w:tc>
          <w:tcPr>
            <w:tcW w:w="1992" w:type="dxa"/>
          </w:tcPr>
          <w:p w14:paraId="25472CAB">
            <w:pPr>
              <w:pStyle w:val="27"/>
              <w:spacing w:line="360" w:lineRule="auto"/>
              <w:ind w:left="25"/>
              <w:jc w:val="center"/>
              <w:rPr>
                <w:rFonts w:hint="eastAsia" w:hAnsi="宋体"/>
                <w:color w:val="auto"/>
              </w:rPr>
            </w:pPr>
            <w:r>
              <w:rPr>
                <w:rFonts w:hint="eastAsia" w:hAnsi="宋体"/>
                <w:color w:val="auto"/>
              </w:rPr>
              <w:t>0.8%</w:t>
            </w:r>
          </w:p>
        </w:tc>
        <w:tc>
          <w:tcPr>
            <w:tcW w:w="2293" w:type="dxa"/>
          </w:tcPr>
          <w:p w14:paraId="3689645A">
            <w:pPr>
              <w:pStyle w:val="27"/>
              <w:spacing w:line="360" w:lineRule="auto"/>
              <w:ind w:left="25"/>
              <w:jc w:val="center"/>
              <w:rPr>
                <w:rFonts w:hint="eastAsia" w:hAnsi="宋体"/>
                <w:color w:val="auto"/>
              </w:rPr>
            </w:pPr>
            <w:r>
              <w:rPr>
                <w:rFonts w:hint="eastAsia" w:hAnsi="宋体"/>
                <w:color w:val="auto"/>
              </w:rPr>
              <w:t>0.7%</w:t>
            </w:r>
          </w:p>
        </w:tc>
      </w:tr>
      <w:tr w14:paraId="03D90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39BF94B8">
            <w:pPr>
              <w:pStyle w:val="27"/>
              <w:spacing w:line="360" w:lineRule="auto"/>
              <w:ind w:left="25"/>
              <w:rPr>
                <w:rFonts w:hint="eastAsia" w:hAnsi="宋体"/>
                <w:color w:val="auto"/>
              </w:rPr>
            </w:pPr>
            <w:r>
              <w:rPr>
                <w:rFonts w:hint="eastAsia" w:hAnsi="宋体"/>
                <w:color w:val="auto"/>
              </w:rPr>
              <w:t>500-1000</w:t>
            </w:r>
          </w:p>
        </w:tc>
        <w:tc>
          <w:tcPr>
            <w:tcW w:w="1841" w:type="dxa"/>
          </w:tcPr>
          <w:p w14:paraId="05B919C2">
            <w:pPr>
              <w:pStyle w:val="27"/>
              <w:spacing w:line="360" w:lineRule="auto"/>
              <w:ind w:left="25"/>
              <w:jc w:val="center"/>
              <w:rPr>
                <w:rFonts w:hint="eastAsia" w:hAnsi="宋体"/>
                <w:color w:val="auto"/>
              </w:rPr>
            </w:pPr>
            <w:r>
              <w:rPr>
                <w:rFonts w:hint="eastAsia" w:hAnsi="宋体"/>
                <w:color w:val="auto"/>
              </w:rPr>
              <w:t>0.8%</w:t>
            </w:r>
          </w:p>
        </w:tc>
        <w:tc>
          <w:tcPr>
            <w:tcW w:w="1992" w:type="dxa"/>
          </w:tcPr>
          <w:p w14:paraId="291DE2D2">
            <w:pPr>
              <w:pStyle w:val="27"/>
              <w:spacing w:line="360" w:lineRule="auto"/>
              <w:ind w:left="25"/>
              <w:jc w:val="center"/>
              <w:rPr>
                <w:rFonts w:hint="eastAsia" w:hAnsi="宋体"/>
                <w:color w:val="auto"/>
              </w:rPr>
            </w:pPr>
            <w:r>
              <w:rPr>
                <w:rFonts w:hint="eastAsia" w:hAnsi="宋体"/>
                <w:color w:val="auto"/>
              </w:rPr>
              <w:t>0.45%</w:t>
            </w:r>
          </w:p>
        </w:tc>
        <w:tc>
          <w:tcPr>
            <w:tcW w:w="2293" w:type="dxa"/>
          </w:tcPr>
          <w:p w14:paraId="7A9366BB">
            <w:pPr>
              <w:pStyle w:val="27"/>
              <w:spacing w:line="360" w:lineRule="auto"/>
              <w:ind w:left="25"/>
              <w:jc w:val="center"/>
              <w:rPr>
                <w:rFonts w:hint="eastAsia" w:hAnsi="宋体"/>
                <w:color w:val="auto"/>
              </w:rPr>
            </w:pPr>
            <w:r>
              <w:rPr>
                <w:rFonts w:hint="eastAsia" w:hAnsi="宋体"/>
                <w:color w:val="auto"/>
              </w:rPr>
              <w:t>0.55%</w:t>
            </w:r>
          </w:p>
        </w:tc>
      </w:tr>
      <w:tr w14:paraId="54A40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383A07CF">
            <w:pPr>
              <w:pStyle w:val="27"/>
              <w:spacing w:line="360" w:lineRule="auto"/>
              <w:ind w:left="25"/>
              <w:rPr>
                <w:rFonts w:hint="eastAsia" w:hAnsi="宋体"/>
                <w:color w:val="auto"/>
              </w:rPr>
            </w:pPr>
            <w:r>
              <w:rPr>
                <w:rFonts w:hint="eastAsia" w:hAnsi="宋体"/>
                <w:color w:val="auto"/>
              </w:rPr>
              <w:t>1000-5000</w:t>
            </w:r>
          </w:p>
        </w:tc>
        <w:tc>
          <w:tcPr>
            <w:tcW w:w="1841" w:type="dxa"/>
          </w:tcPr>
          <w:p w14:paraId="254A5164">
            <w:pPr>
              <w:pStyle w:val="27"/>
              <w:spacing w:line="360" w:lineRule="auto"/>
              <w:ind w:left="25"/>
              <w:jc w:val="center"/>
              <w:rPr>
                <w:rFonts w:hint="eastAsia" w:hAnsi="宋体"/>
                <w:color w:val="auto"/>
              </w:rPr>
            </w:pPr>
            <w:r>
              <w:rPr>
                <w:rFonts w:hint="eastAsia" w:hAnsi="宋体"/>
                <w:color w:val="auto"/>
              </w:rPr>
              <w:t>0.5%</w:t>
            </w:r>
          </w:p>
        </w:tc>
        <w:tc>
          <w:tcPr>
            <w:tcW w:w="1992" w:type="dxa"/>
          </w:tcPr>
          <w:p w14:paraId="2F211DDB">
            <w:pPr>
              <w:pStyle w:val="27"/>
              <w:spacing w:line="360" w:lineRule="auto"/>
              <w:ind w:left="25"/>
              <w:jc w:val="center"/>
              <w:rPr>
                <w:rFonts w:hint="eastAsia" w:hAnsi="宋体"/>
                <w:color w:val="auto"/>
              </w:rPr>
            </w:pPr>
            <w:r>
              <w:rPr>
                <w:rFonts w:hint="eastAsia" w:hAnsi="宋体"/>
                <w:color w:val="auto"/>
              </w:rPr>
              <w:t>0.25%</w:t>
            </w:r>
          </w:p>
        </w:tc>
        <w:tc>
          <w:tcPr>
            <w:tcW w:w="2293" w:type="dxa"/>
          </w:tcPr>
          <w:p w14:paraId="24831AB3">
            <w:pPr>
              <w:pStyle w:val="27"/>
              <w:spacing w:line="360" w:lineRule="auto"/>
              <w:ind w:left="25"/>
              <w:jc w:val="center"/>
              <w:rPr>
                <w:rFonts w:hint="eastAsia" w:hAnsi="宋体"/>
                <w:color w:val="auto"/>
              </w:rPr>
            </w:pPr>
            <w:r>
              <w:rPr>
                <w:rFonts w:hint="eastAsia" w:hAnsi="宋体"/>
                <w:color w:val="auto"/>
              </w:rPr>
              <w:t>0.35%</w:t>
            </w:r>
          </w:p>
        </w:tc>
      </w:tr>
      <w:tr w14:paraId="6F669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344A1E77">
            <w:pPr>
              <w:pStyle w:val="27"/>
              <w:spacing w:line="360" w:lineRule="auto"/>
              <w:ind w:left="25"/>
              <w:rPr>
                <w:rFonts w:hint="eastAsia" w:hAnsi="宋体"/>
                <w:color w:val="auto"/>
              </w:rPr>
            </w:pPr>
            <w:r>
              <w:rPr>
                <w:rFonts w:hint="eastAsia" w:hAnsi="宋体"/>
                <w:color w:val="auto"/>
              </w:rPr>
              <w:t>5000-10000</w:t>
            </w:r>
          </w:p>
        </w:tc>
        <w:tc>
          <w:tcPr>
            <w:tcW w:w="1841" w:type="dxa"/>
          </w:tcPr>
          <w:p w14:paraId="1A7F7C0C">
            <w:pPr>
              <w:pStyle w:val="27"/>
              <w:spacing w:line="360" w:lineRule="auto"/>
              <w:ind w:left="25"/>
              <w:jc w:val="center"/>
              <w:rPr>
                <w:rFonts w:hint="eastAsia" w:hAnsi="宋体"/>
                <w:color w:val="auto"/>
              </w:rPr>
            </w:pPr>
            <w:r>
              <w:rPr>
                <w:rFonts w:hint="eastAsia" w:hAnsi="宋体"/>
                <w:color w:val="auto"/>
              </w:rPr>
              <w:t>0.25%</w:t>
            </w:r>
          </w:p>
        </w:tc>
        <w:tc>
          <w:tcPr>
            <w:tcW w:w="1992" w:type="dxa"/>
          </w:tcPr>
          <w:p w14:paraId="27C69068">
            <w:pPr>
              <w:pStyle w:val="27"/>
              <w:spacing w:line="360" w:lineRule="auto"/>
              <w:ind w:left="25"/>
              <w:jc w:val="center"/>
              <w:rPr>
                <w:rFonts w:hint="eastAsia" w:hAnsi="宋体"/>
                <w:color w:val="auto"/>
              </w:rPr>
            </w:pPr>
            <w:r>
              <w:rPr>
                <w:rFonts w:hint="eastAsia" w:hAnsi="宋体"/>
                <w:color w:val="auto"/>
              </w:rPr>
              <w:t>0.1%</w:t>
            </w:r>
          </w:p>
        </w:tc>
        <w:tc>
          <w:tcPr>
            <w:tcW w:w="2293" w:type="dxa"/>
          </w:tcPr>
          <w:p w14:paraId="079EBA87">
            <w:pPr>
              <w:pStyle w:val="27"/>
              <w:spacing w:line="360" w:lineRule="auto"/>
              <w:ind w:left="25"/>
              <w:jc w:val="center"/>
              <w:rPr>
                <w:rFonts w:hint="eastAsia" w:hAnsi="宋体"/>
                <w:color w:val="auto"/>
              </w:rPr>
            </w:pPr>
            <w:r>
              <w:rPr>
                <w:rFonts w:hint="eastAsia" w:hAnsi="宋体"/>
                <w:color w:val="auto"/>
              </w:rPr>
              <w:t>0.2%</w:t>
            </w:r>
          </w:p>
        </w:tc>
      </w:tr>
    </w:tbl>
    <w:p w14:paraId="4CDE4326">
      <w:pPr>
        <w:pStyle w:val="27"/>
        <w:spacing w:line="360" w:lineRule="auto"/>
        <w:ind w:left="25"/>
        <w:rPr>
          <w:rFonts w:hint="eastAsia" w:hAnsi="宋体"/>
          <w:color w:val="auto"/>
        </w:rPr>
      </w:pPr>
      <w:r>
        <w:rPr>
          <w:rFonts w:hint="eastAsia" w:hAnsi="宋体"/>
          <w:color w:val="auto"/>
        </w:rPr>
        <w:t>注：招标代理服务收费按差额定率累进法计算。</w:t>
      </w:r>
    </w:p>
    <w:p w14:paraId="05C2E3FF">
      <w:pPr>
        <w:spacing w:line="360" w:lineRule="auto"/>
        <w:ind w:firstLine="422" w:firstLineChars="200"/>
        <w:rPr>
          <w:rFonts w:hint="eastAsia" w:ascii="宋体" w:hAnsi="宋体"/>
          <w:color w:val="auto"/>
          <w:szCs w:val="21"/>
        </w:rPr>
      </w:pPr>
      <w:r>
        <w:rPr>
          <w:rFonts w:hint="eastAsia" w:ascii="宋体" w:hAnsi="宋体" w:cs="宋体"/>
          <w:b/>
          <w:color w:val="auto"/>
          <w:szCs w:val="21"/>
        </w:rPr>
        <w:t>36.代理服务费的缴纳账户：</w:t>
      </w:r>
    </w:p>
    <w:p w14:paraId="20B1634A">
      <w:pPr>
        <w:pStyle w:val="27"/>
        <w:snapToGrid w:val="0"/>
        <w:spacing w:line="360" w:lineRule="auto"/>
        <w:ind w:firstLine="422" w:firstLineChars="200"/>
        <w:rPr>
          <w:rStyle w:val="53"/>
          <w:rFonts w:hint="eastAsia" w:ascii="宋体" w:hAnsi="宋体" w:cs="Arial"/>
          <w:color w:val="auto"/>
          <w:szCs w:val="21"/>
        </w:rPr>
      </w:pPr>
      <w:r>
        <w:rPr>
          <w:rStyle w:val="53"/>
          <w:rFonts w:hint="eastAsia" w:ascii="宋体" w:hAnsi="宋体" w:cs="Arial"/>
          <w:color w:val="auto"/>
          <w:szCs w:val="21"/>
        </w:rPr>
        <w:t>账户名称：广西晟昌工程科技有限责任公司</w:t>
      </w:r>
    </w:p>
    <w:p w14:paraId="503AC375">
      <w:pPr>
        <w:pStyle w:val="27"/>
        <w:snapToGrid w:val="0"/>
        <w:spacing w:line="360" w:lineRule="auto"/>
        <w:ind w:firstLine="422" w:firstLineChars="200"/>
        <w:rPr>
          <w:rStyle w:val="53"/>
          <w:rFonts w:hint="eastAsia" w:ascii="宋体" w:hAnsi="宋体" w:cs="Arial"/>
          <w:color w:val="auto"/>
          <w:szCs w:val="21"/>
        </w:rPr>
      </w:pPr>
      <w:r>
        <w:rPr>
          <w:rStyle w:val="53"/>
          <w:rFonts w:hint="eastAsia" w:ascii="宋体" w:hAnsi="宋体" w:cs="Arial"/>
          <w:color w:val="auto"/>
          <w:szCs w:val="21"/>
        </w:rPr>
        <w:t>开户银行：桂林银行高新支行</w:t>
      </w:r>
    </w:p>
    <w:p w14:paraId="79693478">
      <w:pPr>
        <w:pStyle w:val="27"/>
        <w:snapToGrid w:val="0"/>
        <w:spacing w:line="360" w:lineRule="auto"/>
        <w:ind w:firstLine="422" w:firstLineChars="200"/>
        <w:rPr>
          <w:rStyle w:val="53"/>
          <w:rFonts w:hint="eastAsia" w:ascii="宋体" w:hAnsi="宋体" w:cs="Arial"/>
          <w:color w:val="auto"/>
          <w:szCs w:val="21"/>
        </w:rPr>
      </w:pPr>
      <w:r>
        <w:rPr>
          <w:rStyle w:val="53"/>
          <w:rFonts w:hint="eastAsia" w:ascii="宋体" w:hAnsi="宋体" w:cs="Arial"/>
          <w:color w:val="auto"/>
          <w:szCs w:val="21"/>
        </w:rPr>
        <w:t>银行账号：000375800100010</w:t>
      </w:r>
    </w:p>
    <w:p w14:paraId="540EDF0C">
      <w:pPr>
        <w:pStyle w:val="27"/>
        <w:snapToGrid w:val="0"/>
        <w:spacing w:line="360" w:lineRule="auto"/>
        <w:ind w:firstLine="422" w:firstLineChars="200"/>
        <w:rPr>
          <w:rFonts w:hint="eastAsia" w:hAnsi="宋体"/>
          <w:color w:val="auto"/>
          <w:szCs w:val="21"/>
        </w:rPr>
      </w:pPr>
      <w:r>
        <w:rPr>
          <w:rFonts w:hint="eastAsia" w:hAnsi="宋体"/>
          <w:b/>
          <w:color w:val="auto"/>
          <w:szCs w:val="21"/>
        </w:rPr>
        <w:t>37.</w:t>
      </w:r>
      <w:r>
        <w:rPr>
          <w:rFonts w:hint="eastAsia" w:hAnsi="宋体"/>
          <w:color w:val="auto"/>
          <w:szCs w:val="21"/>
        </w:rPr>
        <w:t>解释权：本招标文件是根据《中华人民共和国政府采购法》、《中华人民共和国政府采购法实施条例》、</w:t>
      </w:r>
      <w:r>
        <w:rPr>
          <w:rStyle w:val="53"/>
          <w:rFonts w:ascii="宋体" w:hAnsi="宋体" w:cs="Arial"/>
          <w:b w:val="0"/>
          <w:color w:val="auto"/>
          <w:szCs w:val="21"/>
        </w:rPr>
        <w:t>财政部令第87号</w:t>
      </w:r>
      <w:r>
        <w:rPr>
          <w:rFonts w:hAnsi="宋体" w:cs="Arial"/>
          <w:color w:val="auto"/>
          <w:szCs w:val="21"/>
        </w:rPr>
        <w:t>《政府采购货物和服务招标投标管理办法》</w:t>
      </w:r>
      <w:r>
        <w:rPr>
          <w:rFonts w:hint="eastAsia" w:hAnsi="宋体"/>
          <w:color w:val="auto"/>
          <w:szCs w:val="21"/>
        </w:rPr>
        <w:t>和政府采购管理有关规定编制，本招标文件的解释权属于采购代理机构。</w:t>
      </w:r>
    </w:p>
    <w:p w14:paraId="598FA826">
      <w:pPr>
        <w:pStyle w:val="27"/>
        <w:snapToGrid w:val="0"/>
        <w:spacing w:line="360" w:lineRule="auto"/>
        <w:ind w:firstLine="422" w:firstLineChars="200"/>
        <w:rPr>
          <w:rFonts w:hint="eastAsia" w:hAnsi="宋体"/>
          <w:color w:val="auto"/>
          <w:szCs w:val="21"/>
        </w:rPr>
      </w:pPr>
      <w:r>
        <w:rPr>
          <w:rFonts w:hint="eastAsia" w:hAnsi="宋体"/>
          <w:b/>
          <w:color w:val="auto"/>
          <w:szCs w:val="21"/>
        </w:rPr>
        <w:t>38.</w:t>
      </w:r>
      <w:r>
        <w:rPr>
          <w:rFonts w:hint="eastAsia" w:hAnsi="宋体"/>
          <w:color w:val="auto"/>
          <w:szCs w:val="21"/>
        </w:rPr>
        <w:t>监督管理机构：</w:t>
      </w:r>
      <w:r>
        <w:rPr>
          <w:rFonts w:hint="eastAsia" w:hAnsi="宋体" w:cs="宋体"/>
          <w:color w:val="auto"/>
          <w:szCs w:val="21"/>
        </w:rPr>
        <w:t>桂林市财政局    电话：0773-2862142</w:t>
      </w:r>
    </w:p>
    <w:p w14:paraId="77329D02">
      <w:pPr>
        <w:pStyle w:val="27"/>
        <w:snapToGrid w:val="0"/>
        <w:spacing w:line="360" w:lineRule="auto"/>
        <w:ind w:firstLine="422" w:firstLineChars="200"/>
        <w:rPr>
          <w:rFonts w:hint="eastAsia" w:hAnsi="宋体"/>
          <w:color w:val="auto"/>
          <w:szCs w:val="21"/>
        </w:rPr>
      </w:pPr>
      <w:r>
        <w:rPr>
          <w:rFonts w:hint="eastAsia" w:hAnsi="宋体"/>
          <w:b/>
          <w:color w:val="auto"/>
          <w:szCs w:val="21"/>
        </w:rPr>
        <w:t>39.</w:t>
      </w:r>
      <w:r>
        <w:rPr>
          <w:rFonts w:hint="eastAsia" w:hAnsi="宋体"/>
          <w:color w:val="auto"/>
          <w:szCs w:val="21"/>
        </w:rPr>
        <w:t>根据中国人民银行桂林市中心支行 桂林市财政局关于转发《中国人民银行南宁中心支行广西壮族自治区财政厅关于推广线上“政采贷”融资模式的通知》的通知【桂人银发（2021）246号】，支持银行金融机构与政府采购投标人开展线上“政采贷”业务，具体内容详见《广西线上“政采贷”政策告知函》。</w:t>
      </w:r>
    </w:p>
    <w:p w14:paraId="6BBE4272">
      <w:pPr>
        <w:widowControl/>
        <w:jc w:val="left"/>
        <w:rPr>
          <w:color w:val="auto"/>
        </w:rPr>
      </w:pPr>
    </w:p>
    <w:p w14:paraId="7D07FED4">
      <w:pPr>
        <w:pStyle w:val="232"/>
        <w:ind w:firstLine="480"/>
        <w:rPr>
          <w:rFonts w:ascii="Times New Roman"/>
          <w:color w:val="auto"/>
        </w:rPr>
      </w:pPr>
      <w:r>
        <w:rPr>
          <w:rFonts w:hint="eastAsia" w:ascii="Times New Roman"/>
          <w:color w:val="auto"/>
        </w:rPr>
        <w:drawing>
          <wp:inline distT="0" distB="0" distL="114300" distR="114300">
            <wp:extent cx="5336540" cy="4509770"/>
            <wp:effectExtent l="0" t="0" r="0" b="12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rcRect t="13455" r="-1129" b="25998"/>
                    <a:stretch>
                      <a:fillRect/>
                    </a:stretch>
                  </pic:blipFill>
                  <pic:spPr>
                    <a:xfrm>
                      <a:off x="0" y="0"/>
                      <a:ext cx="5336540" cy="4509770"/>
                    </a:xfrm>
                    <a:prstGeom prst="rect">
                      <a:avLst/>
                    </a:prstGeom>
                    <a:noFill/>
                    <a:ln>
                      <a:noFill/>
                    </a:ln>
                  </pic:spPr>
                </pic:pic>
              </a:graphicData>
            </a:graphic>
          </wp:inline>
        </w:drawing>
      </w:r>
    </w:p>
    <w:p w14:paraId="36C80F1D">
      <w:pPr>
        <w:spacing w:line="360" w:lineRule="exact"/>
        <w:jc w:val="center"/>
        <w:rPr>
          <w:rFonts w:hint="eastAsia" w:ascii="宋体" w:hAnsi="宋体"/>
          <w:b/>
          <w:color w:val="auto"/>
          <w:sz w:val="32"/>
          <w:szCs w:val="32"/>
        </w:rPr>
      </w:pPr>
    </w:p>
    <w:p w14:paraId="33F8AE5E">
      <w:pPr>
        <w:spacing w:line="360" w:lineRule="exact"/>
        <w:jc w:val="center"/>
        <w:rPr>
          <w:rFonts w:hint="eastAsia" w:ascii="宋体" w:hAnsi="宋体"/>
          <w:b/>
          <w:color w:val="auto"/>
          <w:sz w:val="32"/>
          <w:szCs w:val="32"/>
        </w:rPr>
      </w:pPr>
    </w:p>
    <w:p w14:paraId="66461607">
      <w:pPr>
        <w:pStyle w:val="232"/>
        <w:ind w:firstLine="480"/>
        <w:rPr>
          <w:rFonts w:ascii="Times New Roman"/>
          <w:color w:val="auto"/>
        </w:rPr>
      </w:pPr>
    </w:p>
    <w:p w14:paraId="29C7E821">
      <w:pPr>
        <w:spacing w:line="360" w:lineRule="exact"/>
        <w:jc w:val="center"/>
        <w:rPr>
          <w:rFonts w:hint="eastAsia" w:ascii="宋体" w:hAnsi="宋体"/>
          <w:b/>
          <w:color w:val="auto"/>
          <w:sz w:val="32"/>
          <w:szCs w:val="32"/>
        </w:rPr>
      </w:pPr>
    </w:p>
    <w:p w14:paraId="75210ECE">
      <w:pPr>
        <w:pStyle w:val="232"/>
        <w:ind w:firstLine="480"/>
        <w:rPr>
          <w:rFonts w:ascii="Times New Roman"/>
          <w:color w:val="auto"/>
        </w:rPr>
      </w:pPr>
    </w:p>
    <w:p w14:paraId="1041E65B">
      <w:pPr>
        <w:rPr>
          <w:color w:val="auto"/>
        </w:rPr>
      </w:pPr>
    </w:p>
    <w:p w14:paraId="4B2EEBBA">
      <w:pPr>
        <w:pStyle w:val="232"/>
        <w:ind w:firstLine="480"/>
        <w:rPr>
          <w:rFonts w:ascii="Times New Roman"/>
          <w:color w:val="auto"/>
        </w:rPr>
      </w:pPr>
    </w:p>
    <w:p w14:paraId="62162106">
      <w:pPr>
        <w:rPr>
          <w:color w:val="auto"/>
        </w:rPr>
      </w:pPr>
    </w:p>
    <w:p w14:paraId="05FDD6F3">
      <w:pPr>
        <w:pStyle w:val="232"/>
        <w:ind w:firstLine="480"/>
        <w:rPr>
          <w:rFonts w:ascii="Times New Roman"/>
          <w:color w:val="auto"/>
        </w:rPr>
      </w:pPr>
    </w:p>
    <w:p w14:paraId="762BCDBD">
      <w:pPr>
        <w:rPr>
          <w:color w:val="auto"/>
        </w:rPr>
      </w:pPr>
    </w:p>
    <w:p w14:paraId="0980C4F9">
      <w:pPr>
        <w:pStyle w:val="232"/>
        <w:ind w:firstLine="480"/>
        <w:rPr>
          <w:rFonts w:ascii="Times New Roman"/>
          <w:color w:val="auto"/>
        </w:rPr>
      </w:pPr>
    </w:p>
    <w:p w14:paraId="2C113AEE">
      <w:pPr>
        <w:rPr>
          <w:color w:val="auto"/>
        </w:rPr>
      </w:pPr>
    </w:p>
    <w:p w14:paraId="2C0E9853">
      <w:pPr>
        <w:pStyle w:val="232"/>
        <w:ind w:firstLine="480"/>
        <w:rPr>
          <w:rFonts w:ascii="Times New Roman"/>
          <w:color w:val="auto"/>
        </w:rPr>
      </w:pPr>
    </w:p>
    <w:p w14:paraId="46F67627">
      <w:pPr>
        <w:rPr>
          <w:color w:val="auto"/>
        </w:rPr>
      </w:pPr>
    </w:p>
    <w:p w14:paraId="781F9360">
      <w:pPr>
        <w:pStyle w:val="232"/>
        <w:ind w:firstLine="480"/>
        <w:rPr>
          <w:rFonts w:ascii="Times New Roman"/>
          <w:color w:val="auto"/>
        </w:rPr>
      </w:pPr>
    </w:p>
    <w:p w14:paraId="6E65C894">
      <w:pPr>
        <w:rPr>
          <w:color w:val="auto"/>
        </w:rPr>
      </w:pPr>
    </w:p>
    <w:p w14:paraId="51CCB599">
      <w:pPr>
        <w:rPr>
          <w:rFonts w:hint="eastAsia" w:ascii="宋体" w:hAnsi="宋体"/>
          <w:b/>
          <w:color w:val="auto"/>
        </w:rPr>
      </w:pPr>
      <w:bookmarkStart w:id="10" w:name="_Toc90288706"/>
      <w:r>
        <w:rPr>
          <w:rFonts w:hint="eastAsia" w:ascii="宋体" w:hAnsi="宋体"/>
          <w:b/>
          <w:color w:val="auto"/>
        </w:rPr>
        <w:br w:type="page"/>
      </w:r>
    </w:p>
    <w:bookmarkEnd w:id="10"/>
    <w:p w14:paraId="355F94B6">
      <w:pPr>
        <w:pStyle w:val="2"/>
        <w:spacing w:before="0" w:beforeLines="0"/>
        <w:ind w:left="0" w:firstLine="643"/>
        <w:jc w:val="center"/>
        <w:rPr>
          <w:rFonts w:hint="eastAsia" w:ascii="宋体" w:hAnsi="宋体"/>
          <w:b/>
          <w:color w:val="auto"/>
        </w:rPr>
      </w:pPr>
      <w:bookmarkStart w:id="11" w:name="_Toc90288707"/>
      <w:r>
        <w:rPr>
          <w:rFonts w:hint="eastAsia" w:ascii="宋体" w:hAnsi="宋体"/>
          <w:b/>
          <w:color w:val="auto"/>
        </w:rPr>
        <w:t>第三章</w:t>
      </w:r>
      <w:r>
        <w:rPr>
          <w:rFonts w:hint="eastAsia" w:ascii="宋体" w:hAnsi="宋体"/>
          <w:b/>
          <w:color w:val="auto"/>
          <w:lang w:val="en-US"/>
        </w:rPr>
        <w:t xml:space="preserve"> </w:t>
      </w:r>
      <w:r>
        <w:rPr>
          <w:rFonts w:hint="eastAsia" w:ascii="宋体" w:hAnsi="宋体"/>
          <w:b/>
          <w:color w:val="auto"/>
        </w:rPr>
        <w:t>货物采购需求</w:t>
      </w:r>
    </w:p>
    <w:p w14:paraId="2ED8D3B3">
      <w:pPr>
        <w:ind w:firstLine="562"/>
        <w:rPr>
          <w:b/>
          <w:bCs/>
          <w:color w:val="auto"/>
          <w:sz w:val="28"/>
          <w:szCs w:val="28"/>
        </w:rPr>
      </w:pPr>
    </w:p>
    <w:p w14:paraId="4F3E3BBD">
      <w:pPr>
        <w:spacing w:line="360" w:lineRule="auto"/>
        <w:rPr>
          <w:rFonts w:hint="eastAsia" w:ascii="宋体" w:hAnsi="宋体"/>
          <w:bCs/>
          <w:color w:val="auto"/>
        </w:rPr>
      </w:pPr>
      <w:r>
        <w:rPr>
          <w:rFonts w:hint="eastAsia" w:ascii="宋体" w:hAnsi="宋体"/>
          <w:bCs/>
          <w:color w:val="auto"/>
        </w:rPr>
        <w:t>说明：</w:t>
      </w:r>
    </w:p>
    <w:p w14:paraId="2186A6F7">
      <w:pPr>
        <w:adjustRightInd w:val="0"/>
        <w:spacing w:line="360" w:lineRule="auto"/>
        <w:ind w:firstLine="420"/>
        <w:rPr>
          <w:rFonts w:hint="eastAsia" w:ascii="宋体" w:hAnsi="宋体"/>
          <w:bCs/>
          <w:color w:val="auto"/>
        </w:rPr>
      </w:pPr>
      <w:r>
        <w:rPr>
          <w:rFonts w:hint="eastAsia" w:ascii="宋体" w:hAnsi="宋体"/>
          <w:bCs/>
          <w:i/>
          <w:color w:val="auto"/>
        </w:rPr>
        <w:t>一、</w:t>
      </w:r>
      <w:r>
        <w:rPr>
          <w:rFonts w:hint="eastAsia" w:ascii="宋体" w:hAnsi="宋体"/>
          <w:bCs/>
          <w:color w:val="auto"/>
        </w:rPr>
        <w:t>如本一览表中有参考品牌、型号，其仅起参考作用，投标人可选用其他品牌型号替代，但这些替代的品牌型号要实质上相当于或优于参考品牌型号及其技术参数性能（配置）要求；</w:t>
      </w:r>
    </w:p>
    <w:p w14:paraId="45C01B63">
      <w:pPr>
        <w:adjustRightInd w:val="0"/>
        <w:spacing w:line="360" w:lineRule="auto"/>
        <w:ind w:firstLine="420"/>
        <w:rPr>
          <w:rFonts w:hint="eastAsia" w:ascii="宋体" w:hAnsi="宋体"/>
          <w:bCs/>
          <w:color w:val="auto"/>
        </w:rPr>
      </w:pPr>
      <w:r>
        <w:rPr>
          <w:rFonts w:hint="eastAsia" w:ascii="宋体" w:hAnsi="宋体"/>
          <w:bCs/>
          <w:color w:val="auto"/>
        </w:rPr>
        <w:t>二、如本一览表中有参考品牌、型号及技术参数性能（配置）不明确或有误的，或投标人选用其他品牌型号替代的，请以详细、正确的品牌型号、技术参数性能配置填写投标报价表和技术规格和商务响应偏离表。投标人须根据技术参数及性能配置要求提供一一对应的技术响应偏离表；</w:t>
      </w:r>
    </w:p>
    <w:p w14:paraId="75E76DA4">
      <w:pPr>
        <w:spacing w:line="360" w:lineRule="auto"/>
        <w:ind w:firstLine="422"/>
        <w:rPr>
          <w:rFonts w:hint="eastAsia" w:ascii="宋体" w:hAnsi="宋体"/>
          <w:b/>
          <w:bCs/>
          <w:color w:val="auto"/>
          <w:szCs w:val="21"/>
        </w:rPr>
      </w:pPr>
      <w:r>
        <w:rPr>
          <w:rFonts w:hint="eastAsia" w:ascii="宋体" w:hAnsi="宋体"/>
          <w:b/>
          <w:color w:val="auto"/>
          <w:szCs w:val="21"/>
        </w:rPr>
        <w:t>三</w:t>
      </w:r>
      <w:r>
        <w:rPr>
          <w:rFonts w:hint="eastAsia" w:ascii="宋体" w:hAnsi="宋体"/>
          <w:color w:val="auto"/>
          <w:szCs w:val="21"/>
        </w:rPr>
        <w:t>、</w:t>
      </w:r>
      <w:r>
        <w:rPr>
          <w:rFonts w:hint="eastAsia" w:ascii="宋体" w:hAnsi="宋体"/>
          <w:b/>
          <w:bCs/>
          <w:color w:val="auto"/>
          <w:szCs w:val="21"/>
        </w:rPr>
        <w:t>根据《国务院办公厅关于建立政府强制采购节能产品制度的通知》（国办发[2007]51号）和《关于印发节能产品政府采购品目清单的通知》（财库〔2019〕19 号）的规定，台式计算机，便携式计算机、平板式微型计算机，激光打印机，针式打印机，液晶显示器，制冷压缩机（冷水机组、水源热泵机组、溴化锂吸收式冷水机组），空调机组[多联式空调（热泵）机组（制冷量＞14000W），单元式空气调节机（制冷量＞14000W）]， 专用制冷、空调设备（机房空调），镇流器（管型荧光灯镇流器），空调机[房间空气调节器、多联式空调（热泵）机组（制冷量≤14000W）、单元式空气调节机（制冷量≤14000W）]，电热水器，普通照明用双端荧光灯，电视设备[普通电视设备（电视机）]，视频设备[视频监控设备（监视器）]，便器（坐便器、蹲便器、小便器），水嘴均为节能产品政府采购品目清单内标注“★”的品目，属于政府强制采购节能产品，投标人提供的货物必须使用政府强制采购的节能产品。投标人应在投标文件中提供所投产品获得国家确定的认证机构出具的、处于有效之内的节能产品认证证书复印件（加盖章投标人公章），否则投标无效。</w:t>
      </w:r>
    </w:p>
    <w:p w14:paraId="4A663420">
      <w:pPr>
        <w:widowControl/>
        <w:spacing w:line="360" w:lineRule="auto"/>
        <w:ind w:firstLine="420"/>
        <w:jc w:val="left"/>
        <w:rPr>
          <w:rFonts w:hint="eastAsia" w:ascii="宋体" w:hAnsi="宋体"/>
          <w:color w:val="auto"/>
          <w:szCs w:val="21"/>
        </w:rPr>
      </w:pPr>
      <w:r>
        <w:rPr>
          <w:rFonts w:hint="eastAsia" w:ascii="宋体" w:hAnsi="宋体"/>
          <w:color w:val="auto"/>
          <w:szCs w:val="21"/>
        </w:rPr>
        <w:t>四、投标人应注意下列内容：</w:t>
      </w:r>
    </w:p>
    <w:p w14:paraId="4DEA79BB">
      <w:pPr>
        <w:widowControl/>
        <w:spacing w:line="360" w:lineRule="auto"/>
        <w:ind w:firstLine="420"/>
        <w:jc w:val="left"/>
        <w:rPr>
          <w:rFonts w:hint="eastAsia" w:ascii="宋体" w:hAnsi="宋体"/>
          <w:color w:val="auto"/>
          <w:szCs w:val="21"/>
        </w:rPr>
      </w:pPr>
      <w:r>
        <w:rPr>
          <w:rFonts w:hint="eastAsia" w:ascii="宋体" w:hAnsi="宋体"/>
          <w:color w:val="auto"/>
          <w:szCs w:val="21"/>
        </w:rPr>
        <w:t>1）采购需求中标注★号项的要求为实质性要求，不允许负偏离，否则投标无效；标注“▲”号为重要技术指标，将作为技术性能评分的重要依据。</w:t>
      </w:r>
    </w:p>
    <w:p w14:paraId="374CC710">
      <w:pPr>
        <w:widowControl/>
        <w:spacing w:line="360" w:lineRule="auto"/>
        <w:ind w:firstLine="420"/>
        <w:jc w:val="left"/>
        <w:rPr>
          <w:color w:val="auto"/>
        </w:rPr>
      </w:pPr>
      <w:r>
        <w:rPr>
          <w:rFonts w:hint="eastAsia" w:ascii="宋体" w:hAnsi="宋体"/>
          <w:color w:val="auto"/>
          <w:szCs w:val="21"/>
        </w:rPr>
        <w:t>2）投标人须在投标文件中填写/应答技术规格参数，当投标文件中技术参数与招标文件中技术参数有偏离时，须在“偏离”栏内如实注明是“正偏离”或“负偏离”，“正偏离”指投标设备的技术参数优于招标文件中要求，“负偏离”指投标设备的技术参数低于招标文件中要求。</w:t>
      </w:r>
    </w:p>
    <w:tbl>
      <w:tblPr>
        <w:tblStyle w:val="50"/>
        <w:tblW w:w="10546" w:type="dxa"/>
        <w:tblInd w:w="-362" w:type="dxa"/>
        <w:tblLayout w:type="fixed"/>
        <w:tblCellMar>
          <w:top w:w="0" w:type="dxa"/>
          <w:left w:w="108" w:type="dxa"/>
          <w:bottom w:w="0" w:type="dxa"/>
          <w:right w:w="108" w:type="dxa"/>
        </w:tblCellMar>
      </w:tblPr>
      <w:tblGrid>
        <w:gridCol w:w="765"/>
        <w:gridCol w:w="1151"/>
        <w:gridCol w:w="6018"/>
        <w:gridCol w:w="710"/>
        <w:gridCol w:w="660"/>
        <w:gridCol w:w="1242"/>
      </w:tblGrid>
      <w:tr w14:paraId="43A21858">
        <w:tblPrEx>
          <w:tblCellMar>
            <w:top w:w="0" w:type="dxa"/>
            <w:left w:w="108" w:type="dxa"/>
            <w:bottom w:w="0" w:type="dxa"/>
            <w:right w:w="108" w:type="dxa"/>
          </w:tblCellMar>
        </w:tblPrEx>
        <w:trPr>
          <w:trHeight w:val="90" w:hRule="atLeast"/>
        </w:trPr>
        <w:tc>
          <w:tcPr>
            <w:tcW w:w="10546" w:type="dxa"/>
            <w:gridSpan w:val="6"/>
            <w:tcBorders>
              <w:top w:val="single" w:color="auto" w:sz="4" w:space="0"/>
              <w:left w:val="single" w:color="auto" w:sz="4" w:space="0"/>
              <w:bottom w:val="single" w:color="auto" w:sz="4" w:space="0"/>
              <w:right w:val="single" w:color="auto" w:sz="4" w:space="0"/>
            </w:tcBorders>
            <w:vAlign w:val="center"/>
          </w:tcPr>
          <w:p w14:paraId="177D7945">
            <w:pPr>
              <w:widowControl/>
              <w:spacing w:line="360" w:lineRule="auto"/>
              <w:ind w:firstLine="442"/>
              <w:jc w:val="left"/>
              <w:textAlignment w:val="center"/>
              <w:rPr>
                <w:rFonts w:hint="eastAsia" w:ascii="黑体" w:hAnsi="宋体" w:eastAsia="黑体" w:cs="黑体"/>
                <w:b/>
                <w:bCs/>
                <w:color w:val="auto"/>
                <w:sz w:val="22"/>
                <w:szCs w:val="22"/>
              </w:rPr>
            </w:pPr>
            <w:r>
              <w:rPr>
                <w:rFonts w:hint="eastAsia" w:ascii="黑体" w:hAnsi="宋体" w:eastAsia="黑体" w:cs="黑体"/>
                <w:b/>
                <w:bCs/>
                <w:color w:val="auto"/>
                <w:sz w:val="22"/>
                <w:szCs w:val="22"/>
              </w:rPr>
              <w:t>一、采购需求</w:t>
            </w:r>
          </w:p>
        </w:tc>
      </w:tr>
      <w:tr w14:paraId="7D26EE8E">
        <w:tblPrEx>
          <w:tblCellMar>
            <w:top w:w="0" w:type="dxa"/>
            <w:left w:w="108" w:type="dxa"/>
            <w:bottom w:w="0" w:type="dxa"/>
            <w:right w:w="108" w:type="dxa"/>
          </w:tblCellMar>
        </w:tblPrEx>
        <w:trPr>
          <w:trHeight w:val="1050" w:hRule="atLeast"/>
        </w:trPr>
        <w:tc>
          <w:tcPr>
            <w:tcW w:w="765" w:type="dxa"/>
            <w:tcBorders>
              <w:top w:val="single" w:color="auto" w:sz="4" w:space="0"/>
              <w:left w:val="single" w:color="auto" w:sz="4" w:space="0"/>
              <w:bottom w:val="single" w:color="auto" w:sz="4" w:space="0"/>
              <w:right w:val="single" w:color="auto" w:sz="4" w:space="0"/>
            </w:tcBorders>
            <w:vAlign w:val="center"/>
          </w:tcPr>
          <w:p w14:paraId="3C8CBE5D">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序号</w:t>
            </w:r>
          </w:p>
        </w:tc>
        <w:tc>
          <w:tcPr>
            <w:tcW w:w="1151" w:type="dxa"/>
            <w:tcBorders>
              <w:top w:val="single" w:color="auto" w:sz="4" w:space="0"/>
              <w:left w:val="single" w:color="auto" w:sz="4" w:space="0"/>
              <w:bottom w:val="single" w:color="auto" w:sz="4" w:space="0"/>
              <w:right w:val="single" w:color="auto" w:sz="4" w:space="0"/>
            </w:tcBorders>
            <w:vAlign w:val="center"/>
          </w:tcPr>
          <w:p w14:paraId="7E6FB9D1">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项目名称</w:t>
            </w:r>
          </w:p>
        </w:tc>
        <w:tc>
          <w:tcPr>
            <w:tcW w:w="6018" w:type="dxa"/>
            <w:tcBorders>
              <w:top w:val="single" w:color="auto" w:sz="4" w:space="0"/>
              <w:left w:val="single" w:color="auto" w:sz="4" w:space="0"/>
              <w:bottom w:val="single" w:color="auto" w:sz="4" w:space="0"/>
              <w:right w:val="single" w:color="auto" w:sz="4" w:space="0"/>
            </w:tcBorders>
            <w:vAlign w:val="center"/>
          </w:tcPr>
          <w:p w14:paraId="1F38846F">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技术参数及其性能（配置）要求</w:t>
            </w:r>
          </w:p>
        </w:tc>
        <w:tc>
          <w:tcPr>
            <w:tcW w:w="710" w:type="dxa"/>
            <w:tcBorders>
              <w:top w:val="single" w:color="auto" w:sz="4" w:space="0"/>
              <w:left w:val="single" w:color="auto" w:sz="4" w:space="0"/>
              <w:bottom w:val="single" w:color="auto" w:sz="4" w:space="0"/>
              <w:right w:val="single" w:color="auto" w:sz="4" w:space="0"/>
            </w:tcBorders>
            <w:vAlign w:val="center"/>
          </w:tcPr>
          <w:p w14:paraId="563D5364">
            <w:pPr>
              <w:widowControl/>
              <w:spacing w:line="360" w:lineRule="auto"/>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数量</w:t>
            </w:r>
          </w:p>
        </w:tc>
        <w:tc>
          <w:tcPr>
            <w:tcW w:w="660" w:type="dxa"/>
            <w:tcBorders>
              <w:top w:val="single" w:color="auto" w:sz="4" w:space="0"/>
              <w:left w:val="single" w:color="auto" w:sz="4" w:space="0"/>
              <w:bottom w:val="single" w:color="auto" w:sz="4" w:space="0"/>
              <w:right w:val="single" w:color="auto" w:sz="4" w:space="0"/>
            </w:tcBorders>
            <w:vAlign w:val="center"/>
          </w:tcPr>
          <w:p w14:paraId="09B4FE98">
            <w:pPr>
              <w:widowControl/>
              <w:spacing w:line="360" w:lineRule="auto"/>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单位</w:t>
            </w:r>
          </w:p>
        </w:tc>
        <w:tc>
          <w:tcPr>
            <w:tcW w:w="1242" w:type="dxa"/>
            <w:tcBorders>
              <w:top w:val="single" w:color="auto" w:sz="4" w:space="0"/>
              <w:left w:val="single" w:color="auto" w:sz="4" w:space="0"/>
              <w:bottom w:val="single" w:color="auto" w:sz="4" w:space="0"/>
              <w:right w:val="single" w:color="auto" w:sz="4" w:space="0"/>
            </w:tcBorders>
            <w:vAlign w:val="center"/>
          </w:tcPr>
          <w:p w14:paraId="7F97C9D5">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参考单价（元）</w:t>
            </w:r>
          </w:p>
        </w:tc>
      </w:tr>
      <w:tr w14:paraId="1FC347E4">
        <w:tblPrEx>
          <w:tblCellMar>
            <w:top w:w="0" w:type="dxa"/>
            <w:left w:w="108" w:type="dxa"/>
            <w:bottom w:w="0" w:type="dxa"/>
            <w:right w:w="108" w:type="dxa"/>
          </w:tblCellMar>
        </w:tblPrEx>
        <w:trPr>
          <w:trHeight w:val="661" w:hRule="atLeast"/>
        </w:trPr>
        <w:tc>
          <w:tcPr>
            <w:tcW w:w="10546" w:type="dxa"/>
            <w:gridSpan w:val="6"/>
            <w:tcBorders>
              <w:top w:val="single" w:color="auto" w:sz="4" w:space="0"/>
              <w:left w:val="single" w:color="auto" w:sz="4" w:space="0"/>
              <w:bottom w:val="single" w:color="auto" w:sz="4" w:space="0"/>
              <w:right w:val="single" w:color="auto" w:sz="4" w:space="0"/>
            </w:tcBorders>
            <w:vAlign w:val="center"/>
          </w:tcPr>
          <w:p w14:paraId="599AB94B">
            <w:pPr>
              <w:widowControl/>
              <w:spacing w:line="360" w:lineRule="auto"/>
              <w:ind w:firstLine="422"/>
              <w:jc w:val="center"/>
              <w:textAlignment w:val="center"/>
              <w:rPr>
                <w:rFonts w:hint="eastAsia" w:ascii="宋体" w:hAnsi="宋体" w:cs="宋体"/>
                <w:color w:val="auto"/>
                <w:szCs w:val="21"/>
              </w:rPr>
            </w:pPr>
            <w:r>
              <w:rPr>
                <w:rFonts w:hint="eastAsia"/>
                <w:b/>
                <w:bCs/>
                <w:color w:val="auto"/>
                <w:szCs w:val="21"/>
              </w:rPr>
              <w:t>幼儿教育专业建设（健康照护实训室）</w:t>
            </w:r>
          </w:p>
        </w:tc>
      </w:tr>
      <w:tr w14:paraId="14FBD549">
        <w:tblPrEx>
          <w:tblCellMar>
            <w:top w:w="0" w:type="dxa"/>
            <w:left w:w="108" w:type="dxa"/>
            <w:bottom w:w="0" w:type="dxa"/>
            <w:right w:w="108" w:type="dxa"/>
          </w:tblCellMar>
        </w:tblPrEx>
        <w:trPr>
          <w:trHeight w:val="801" w:hRule="atLeast"/>
        </w:trPr>
        <w:tc>
          <w:tcPr>
            <w:tcW w:w="765" w:type="dxa"/>
            <w:tcBorders>
              <w:top w:val="single" w:color="auto" w:sz="4" w:space="0"/>
              <w:left w:val="single" w:color="auto" w:sz="4" w:space="0"/>
              <w:bottom w:val="single" w:color="auto" w:sz="4" w:space="0"/>
              <w:right w:val="single" w:color="auto" w:sz="4" w:space="0"/>
            </w:tcBorders>
            <w:vAlign w:val="center"/>
          </w:tcPr>
          <w:p w14:paraId="21A9C0E9">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w:t>
            </w:r>
          </w:p>
        </w:tc>
        <w:tc>
          <w:tcPr>
            <w:tcW w:w="1151" w:type="dxa"/>
            <w:tcBorders>
              <w:top w:val="single" w:color="auto" w:sz="4" w:space="0"/>
              <w:left w:val="single" w:color="auto" w:sz="4" w:space="0"/>
              <w:bottom w:val="single" w:color="auto" w:sz="4" w:space="0"/>
              <w:right w:val="single" w:color="auto" w:sz="4" w:space="0"/>
            </w:tcBorders>
            <w:vAlign w:val="center"/>
          </w:tcPr>
          <w:p w14:paraId="085A5E46">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内涵建设服务</w:t>
            </w:r>
            <w:r>
              <w:rPr>
                <w:rFonts w:ascii="Calibri" w:hAnsi="Calibri" w:cs="Calibri"/>
                <w:color w:val="auto"/>
                <w:kern w:val="0"/>
                <w:szCs w:val="21"/>
                <w:lang w:bidi="ar"/>
              </w:rPr>
              <w:t>①</w:t>
            </w:r>
          </w:p>
        </w:tc>
        <w:tc>
          <w:tcPr>
            <w:tcW w:w="6018" w:type="dxa"/>
            <w:tcBorders>
              <w:top w:val="single" w:color="auto" w:sz="4" w:space="0"/>
              <w:left w:val="single" w:color="auto" w:sz="4" w:space="0"/>
              <w:bottom w:val="single" w:color="auto" w:sz="4" w:space="0"/>
              <w:right w:val="single" w:color="auto" w:sz="4" w:space="0"/>
            </w:tcBorders>
          </w:tcPr>
          <w:p w14:paraId="0DDF5CAE">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教学成果奖：技术需求或服务要求</w:t>
            </w:r>
          </w:p>
          <w:p w14:paraId="4CF329FF">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一、服务目标与教学成果奖提炼方向</w:t>
            </w:r>
          </w:p>
          <w:p w14:paraId="279EEA9D">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A、目标一：提炼校园文化并以此形成支撑校级所有改革成果</w:t>
            </w:r>
          </w:p>
          <w:p w14:paraId="169B4DBF">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 提炼校园文化并具象化，形成谱系，达成支撑学校全面改革的要求；</w:t>
            </w:r>
          </w:p>
          <w:p w14:paraId="5F026184">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 提炼教学模式并绘制相应图件一套，支持全校的内涵教学改革；</w:t>
            </w:r>
          </w:p>
          <w:p w14:paraId="7963E994">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3、 提炼课程改革成果、教学中三个问题、三个解决方案、三个特色点、三个成果，撰写相应标准文案，总结师资队伍建设经验，凝练成果申报省级“职业院校教师教学创新团队”相关奖项。</w:t>
            </w:r>
          </w:p>
          <w:p w14:paraId="0904D0CC">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★B、 目标二：</w:t>
            </w:r>
            <w:bookmarkStart w:id="12" w:name="_Hlk202138880"/>
            <w:r>
              <w:rPr>
                <w:rFonts w:hint="eastAsia" w:ascii="宋体" w:hAnsi="宋体" w:cs="宋体"/>
                <w:color w:val="auto"/>
                <w:kern w:val="0"/>
                <w:szCs w:val="21"/>
                <w:lang w:bidi="ar"/>
              </w:rPr>
              <w:t>打造产教融合协同育人示范性成果</w:t>
            </w:r>
            <w:bookmarkEnd w:id="12"/>
          </w:p>
          <w:p w14:paraId="18CAE9AB">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1、 </w:t>
            </w:r>
            <w:bookmarkStart w:id="13" w:name="_Hlk202138580"/>
            <w:r>
              <w:rPr>
                <w:rFonts w:hint="eastAsia" w:ascii="宋体" w:hAnsi="宋体" w:cs="宋体"/>
                <w:color w:val="auto"/>
                <w:kern w:val="0"/>
                <w:szCs w:val="21"/>
                <w:lang w:bidi="ar"/>
              </w:rPr>
              <w:t>提炼≥12个校企共建实训基地成果，共同研发企业真实项目案例库（≥20个）；</w:t>
            </w:r>
          </w:p>
          <w:bookmarkEnd w:id="13"/>
          <w:p w14:paraId="3B730A81">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 建立“双导师制”校企联合培养机制，实现订单班覆盖≥6个重点专业；</w:t>
            </w:r>
          </w:p>
          <w:p w14:paraId="4766D858">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3、 提炼课程改革成果、教学中三个问题、三个解决方案、三个特色点、三个成果，撰写相应标准文案，形成可复制产教融合经验，申报省级“产教融合协同育人优秀案例”或相关教学成果奖</w:t>
            </w:r>
          </w:p>
          <w:p w14:paraId="4F868DDF">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二、达标技术服务要求</w:t>
            </w:r>
          </w:p>
          <w:p w14:paraId="77FD7F0C">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A、 成果培育与申报指导</w:t>
            </w:r>
          </w:p>
          <w:p w14:paraId="52FFE3CC">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 组建专家团队全程指导教学成果奖申报材料撰写、数据佐证及亮点提炼；</w:t>
            </w:r>
          </w:p>
          <w:p w14:paraId="3DD2ED70">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 需要近年来指导职教获省级一等奖以上的知名专家名单及相应的支撑材料；</w:t>
            </w:r>
          </w:p>
          <w:p w14:paraId="5FEBC3D8">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3、 同时需提供近3年省级以上教学成果奖成功案例模板及政策解读；</w:t>
            </w:r>
          </w:p>
          <w:p w14:paraId="72C50D5B">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4、 提供教学成果的培训≥2场，现场指导≥2场。</w:t>
            </w:r>
          </w:p>
          <w:p w14:paraId="0C9E5EBD">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B、 成果凝练及成型</w:t>
            </w:r>
          </w:p>
          <w:p w14:paraId="32A523BF">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 需提供撰写相应的文案，每个目标≥1套，并达到市级评审的要求；</w:t>
            </w:r>
          </w:p>
          <w:p w14:paraId="04591AE0">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 绘制相应的成果奖综合图件，每个目标≥6套以上，达到教学成果奖评审要求；</w:t>
            </w:r>
          </w:p>
          <w:p w14:paraId="6968B799">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三、</w:t>
            </w:r>
            <w:bookmarkStart w:id="14" w:name="_Hlk202138615"/>
            <w:r>
              <w:rPr>
                <w:rFonts w:hint="eastAsia" w:ascii="宋体" w:hAnsi="宋体" w:cs="宋体"/>
                <w:color w:val="auto"/>
                <w:kern w:val="0"/>
                <w:szCs w:val="21"/>
                <w:lang w:bidi="ar"/>
              </w:rPr>
              <w:t xml:space="preserve"> 达标成果指标要求</w:t>
            </w:r>
            <w:bookmarkEnd w:id="14"/>
          </w:p>
          <w:p w14:paraId="71585992">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★1、 </w:t>
            </w:r>
            <w:bookmarkStart w:id="15" w:name="_Hlk202138625"/>
            <w:r>
              <w:rPr>
                <w:rFonts w:hint="eastAsia" w:ascii="宋体" w:hAnsi="宋体" w:cs="宋体"/>
                <w:color w:val="auto"/>
                <w:kern w:val="0"/>
                <w:szCs w:val="21"/>
                <w:lang w:bidi="ar"/>
              </w:rPr>
              <w:t>完成≥2项省级教学成果奖申报材料，确保≥1项获省级二等奖以上；</w:t>
            </w:r>
          </w:p>
          <w:bookmarkEnd w:id="15"/>
          <w:p w14:paraId="657132F1">
            <w:pPr>
              <w:widowControl/>
              <w:spacing w:line="360" w:lineRule="auto"/>
              <w:jc w:val="left"/>
              <w:textAlignment w:val="center"/>
              <w:rPr>
                <w:rFonts w:hint="eastAsia" w:ascii="宋体" w:hAnsi="宋体" w:cs="宋体"/>
                <w:color w:val="auto"/>
                <w:kern w:val="0"/>
                <w:szCs w:val="21"/>
                <w:lang w:bidi="ar"/>
              </w:rPr>
            </w:pPr>
          </w:p>
        </w:tc>
        <w:tc>
          <w:tcPr>
            <w:tcW w:w="710" w:type="dxa"/>
            <w:tcBorders>
              <w:top w:val="single" w:color="auto" w:sz="4" w:space="0"/>
              <w:left w:val="single" w:color="auto" w:sz="4" w:space="0"/>
              <w:bottom w:val="single" w:color="auto" w:sz="4" w:space="0"/>
              <w:right w:val="single" w:color="auto" w:sz="4" w:space="0"/>
            </w:tcBorders>
            <w:vAlign w:val="center"/>
          </w:tcPr>
          <w:p w14:paraId="42BC3FF6">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w:t>
            </w:r>
          </w:p>
        </w:tc>
        <w:tc>
          <w:tcPr>
            <w:tcW w:w="660" w:type="dxa"/>
            <w:tcBorders>
              <w:top w:val="single" w:color="auto" w:sz="4" w:space="0"/>
              <w:left w:val="single" w:color="auto" w:sz="4" w:space="0"/>
              <w:bottom w:val="single" w:color="auto" w:sz="4" w:space="0"/>
              <w:right w:val="single" w:color="auto" w:sz="4" w:space="0"/>
            </w:tcBorders>
            <w:vAlign w:val="center"/>
          </w:tcPr>
          <w:p w14:paraId="4AEE963C">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项</w:t>
            </w:r>
          </w:p>
        </w:tc>
        <w:tc>
          <w:tcPr>
            <w:tcW w:w="1242" w:type="dxa"/>
            <w:tcBorders>
              <w:top w:val="single" w:color="auto" w:sz="4" w:space="0"/>
              <w:left w:val="single" w:color="auto" w:sz="4" w:space="0"/>
              <w:bottom w:val="single" w:color="auto" w:sz="4" w:space="0"/>
              <w:right w:val="single" w:color="auto" w:sz="4" w:space="0"/>
            </w:tcBorders>
            <w:vAlign w:val="center"/>
          </w:tcPr>
          <w:p w14:paraId="3E065BC8">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200000.00</w:t>
            </w:r>
          </w:p>
        </w:tc>
      </w:tr>
      <w:tr w14:paraId="7620EFC5">
        <w:tblPrEx>
          <w:tblCellMar>
            <w:top w:w="0" w:type="dxa"/>
            <w:left w:w="108" w:type="dxa"/>
            <w:bottom w:w="0" w:type="dxa"/>
            <w:right w:w="108" w:type="dxa"/>
          </w:tblCellMar>
        </w:tblPrEx>
        <w:trPr>
          <w:trHeight w:val="1401" w:hRule="atLeast"/>
        </w:trPr>
        <w:tc>
          <w:tcPr>
            <w:tcW w:w="765" w:type="dxa"/>
            <w:tcBorders>
              <w:top w:val="single" w:color="auto" w:sz="4" w:space="0"/>
              <w:left w:val="single" w:color="000000" w:sz="4" w:space="0"/>
              <w:bottom w:val="single" w:color="000000" w:sz="4" w:space="0"/>
              <w:right w:val="single" w:color="000000" w:sz="4" w:space="0"/>
            </w:tcBorders>
            <w:vAlign w:val="center"/>
          </w:tcPr>
          <w:p w14:paraId="1C320BE4">
            <w:pPr>
              <w:widowControl/>
              <w:spacing w:line="360" w:lineRule="auto"/>
              <w:ind w:firstLine="400"/>
              <w:jc w:val="center"/>
              <w:textAlignment w:val="center"/>
              <w:rPr>
                <w:rFonts w:hint="eastAsia" w:ascii="宋体" w:hAnsi="宋体" w:cs="宋体"/>
                <w:color w:val="auto"/>
                <w:sz w:val="20"/>
                <w:szCs w:val="20"/>
              </w:rPr>
            </w:pPr>
            <w:r>
              <w:rPr>
                <w:rFonts w:hint="eastAsia" w:ascii="宋体" w:hAnsi="宋体" w:cs="宋体"/>
                <w:color w:val="auto"/>
                <w:sz w:val="20"/>
                <w:szCs w:val="20"/>
              </w:rPr>
              <w:t>2</w:t>
            </w:r>
          </w:p>
        </w:tc>
        <w:tc>
          <w:tcPr>
            <w:tcW w:w="1151" w:type="dxa"/>
            <w:tcBorders>
              <w:top w:val="single" w:color="auto" w:sz="4" w:space="0"/>
              <w:left w:val="single" w:color="000000" w:sz="4" w:space="0"/>
              <w:bottom w:val="single" w:color="000000" w:sz="4" w:space="0"/>
              <w:right w:val="single" w:color="000000" w:sz="4" w:space="0"/>
            </w:tcBorders>
            <w:vAlign w:val="center"/>
          </w:tcPr>
          <w:p w14:paraId="46FEF069">
            <w:pPr>
              <w:widowControl/>
              <w:spacing w:line="360" w:lineRule="auto"/>
              <w:ind w:firstLine="422"/>
              <w:jc w:val="center"/>
              <w:textAlignment w:val="center"/>
              <w:rPr>
                <w:rFonts w:hint="eastAsia" w:ascii="宋体" w:hAnsi="宋体" w:cs="宋体"/>
                <w:b/>
                <w:color w:val="auto"/>
                <w:szCs w:val="21"/>
              </w:rPr>
            </w:pPr>
          </w:p>
          <w:p w14:paraId="3D59CA08">
            <w:pPr>
              <w:widowControl/>
              <w:spacing w:line="360" w:lineRule="auto"/>
              <w:textAlignment w:val="center"/>
              <w:rPr>
                <w:rFonts w:hint="eastAsia" w:ascii="宋体" w:hAnsi="宋体" w:cs="宋体"/>
                <w:color w:val="auto"/>
                <w:sz w:val="20"/>
                <w:szCs w:val="20"/>
              </w:rPr>
            </w:pPr>
            <w:r>
              <w:rPr>
                <w:rFonts w:hint="eastAsia" w:ascii="宋体" w:hAnsi="宋体" w:cs="宋体"/>
                <w:color w:val="auto"/>
                <w:kern w:val="0"/>
                <w:szCs w:val="21"/>
                <w:lang w:bidi="ar"/>
              </w:rPr>
              <w:t>内涵建设服务</w:t>
            </w:r>
            <w:r>
              <w:rPr>
                <w:rFonts w:ascii="Calibri" w:hAnsi="Calibri" w:cs="Calibri"/>
                <w:color w:val="auto"/>
                <w:kern w:val="0"/>
                <w:szCs w:val="21"/>
                <w:lang w:bidi="ar"/>
              </w:rPr>
              <w:t>②</w:t>
            </w:r>
          </w:p>
        </w:tc>
        <w:tc>
          <w:tcPr>
            <w:tcW w:w="6018" w:type="dxa"/>
            <w:tcBorders>
              <w:top w:val="single" w:color="auto" w:sz="4" w:space="0"/>
              <w:left w:val="single" w:color="000000" w:sz="4" w:space="0"/>
              <w:bottom w:val="single" w:color="000000" w:sz="4" w:space="0"/>
              <w:right w:val="single" w:color="000000" w:sz="4" w:space="0"/>
            </w:tcBorders>
          </w:tcPr>
          <w:p w14:paraId="38A85F3C">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一、内涵建设服务总体要求 1项：</w:t>
            </w:r>
          </w:p>
          <w:p w14:paraId="2E5A61D5">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一）服务内容包括：根据学校2024年桂林市级高技能人才培训基地项目涉及的计算机应用与维修（电商平台）、幼儿教育（健康照护）等二个专业（以下简称二个专业）的建设要求，成立二个专业校企合作专家委员会，召开相关会议，完善项目组织与管理改革、人才培养模式创新、课程改革、校企合作、建设材料汇总并提炼工作经验等。</w:t>
            </w:r>
          </w:p>
          <w:p w14:paraId="5C67E478">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（二）服务要求：必须满足学校2024年桂林市级高技能人才培训基地项目的对专业内涵建设的各项要求，保障项目完成后，达到验收合格标准。</w:t>
            </w:r>
          </w:p>
          <w:p w14:paraId="18B4C35C">
            <w:pPr>
              <w:widowControl/>
              <w:spacing w:line="360" w:lineRule="auto"/>
              <w:jc w:val="left"/>
              <w:textAlignment w:val="center"/>
              <w:rPr>
                <w:rFonts w:hint="eastAsia" w:ascii="宋体" w:hAnsi="宋体" w:cs="宋体"/>
                <w:color w:val="auto"/>
                <w:kern w:val="0"/>
                <w:szCs w:val="21"/>
                <w:lang w:bidi="ar"/>
              </w:rPr>
            </w:pPr>
          </w:p>
          <w:p w14:paraId="69B76C3F">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二、完成创新高技能人才培训模式 1项：</w:t>
            </w:r>
          </w:p>
          <w:p w14:paraId="3CC0A632">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（一） 项目组织与管理改革 1项：</w:t>
            </w:r>
          </w:p>
          <w:p w14:paraId="45B4A8ED">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1.服务要求</w:t>
            </w:r>
          </w:p>
          <w:p w14:paraId="3EC160FE">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设置项目专门组织机构，人员分工明确，责任到人。健全制度，运行规范，项目档案及相关资料完整。</w:t>
            </w:r>
          </w:p>
          <w:p w14:paraId="1BB2C266">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2.服务内容</w:t>
            </w:r>
          </w:p>
          <w:p w14:paraId="33D87987">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(1)协助学校成立项目组织机构，并制定有关项目建设的管理办法及建设资金管理办法。</w:t>
            </w:r>
          </w:p>
          <w:p w14:paraId="12BB0BE8">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(2)协助二个专业根据《建设方案》完成各项目组具体任务分解表。</w:t>
            </w:r>
          </w:p>
          <w:p w14:paraId="2CC49148">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(3)协助学校完善相关管理制度。</w:t>
            </w:r>
          </w:p>
          <w:p w14:paraId="0C06545F">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(4)协助并完成各专业项目档案。</w:t>
            </w:r>
          </w:p>
          <w:p w14:paraId="69DF727D">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3.必须提交的服务成果</w:t>
            </w:r>
          </w:p>
          <w:p w14:paraId="3C38052B">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(1)学校有关项目建设的管理办法。</w:t>
            </w:r>
          </w:p>
          <w:p w14:paraId="4C2B21B4">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 学校有关项目建设资金的管理办法。</w:t>
            </w:r>
          </w:p>
          <w:p w14:paraId="2DB8E37D">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(3)各项目组成员具体建设任务分工表。</w:t>
            </w:r>
          </w:p>
          <w:p w14:paraId="28FBF7DF">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(4) 完善的相关培训管理制度。</w:t>
            </w:r>
          </w:p>
          <w:p w14:paraId="6560E819">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(5) 完善的相关风险管理制度。</w:t>
            </w:r>
          </w:p>
          <w:p w14:paraId="51B4E8DD">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(二) 完成人才培养模式创新 1项</w:t>
            </w:r>
          </w:p>
          <w:p w14:paraId="245641B3">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1.服务要求</w:t>
            </w:r>
          </w:p>
          <w:p w14:paraId="1C233A95">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  坚持工学结合的人才培训模式，以科学定位为立足点，优化培训层次结构，以对接产业为切入点，强化培训特色，适应区域产业需求，明晰人才培训目标，紧贴产业转型升级，优化产业结构布局，强化学员素质培养，改进培训教学过程。</w:t>
            </w:r>
          </w:p>
          <w:p w14:paraId="0E8B35B5">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2.服务内容</w:t>
            </w:r>
          </w:p>
          <w:p w14:paraId="0D98107D">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(1)协助并完成二个专业的岗位技能（能力）调研分析报告。</w:t>
            </w:r>
          </w:p>
          <w:p w14:paraId="1DBD3393">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(2)通过召开实践专家访谈会，组织专家指导并提炼二个专业的典型工作任务。</w:t>
            </w:r>
          </w:p>
          <w:p w14:paraId="7E704FA9">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(3)组织专家指导高技能人才培训模式、人才培训方案结构、人才培训方案编写的方法。</w:t>
            </w:r>
          </w:p>
          <w:p w14:paraId="35AD0E9D">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(4)协助并完成二个专业的高技能人才培训方案。</w:t>
            </w:r>
          </w:p>
          <w:p w14:paraId="4B167F91">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(5)协助并完成佐证材料的整理。</w:t>
            </w:r>
          </w:p>
          <w:p w14:paraId="3928B20C">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★3.</w:t>
            </w:r>
            <w:bookmarkStart w:id="16" w:name="_Hlk202138659"/>
            <w:r>
              <w:rPr>
                <w:rFonts w:hint="eastAsia" w:ascii="宋体" w:hAnsi="宋体" w:cs="宋体"/>
                <w:color w:val="auto"/>
                <w:kern w:val="0"/>
                <w:szCs w:val="21"/>
                <w:lang w:bidi="ar"/>
              </w:rPr>
              <w:t>必须提交的服务成果</w:t>
            </w:r>
          </w:p>
          <w:bookmarkEnd w:id="16"/>
          <w:p w14:paraId="69433E10">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 二个专业高技能人才培训模式工作方案。</w:t>
            </w:r>
          </w:p>
          <w:p w14:paraId="53B0E57F">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 二个专业岗位技能（能力）调研分析报告。</w:t>
            </w:r>
          </w:p>
          <w:p w14:paraId="44611260">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(3) 二个专业高技能人才培训方案。</w:t>
            </w:r>
          </w:p>
          <w:p w14:paraId="5B0AD387">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(4) 二个专业高技能人才培训方案修订说明。</w:t>
            </w:r>
          </w:p>
          <w:p w14:paraId="4961B60A">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三、完成专业课程体系改革 1项：</w:t>
            </w:r>
          </w:p>
          <w:p w14:paraId="449168DC">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    通过校企合作、建立一体化课程开发团队、共同进行二个专业人才岗位调研、组织专家提炼课程典型工作任务开展座谈研讨、专家论证、试运行等方式最后得出适合社会发展、企业满意的人才培训一体化课程标准和培训实施方案。课程标准和课程实施方案要求建立以国家职业鉴定标准为依据、以工作任务为导向、以综合职业能力培养为核心的高技能人才培训课程，针对广西、桂林地区经济社会的发展需求，围绕二个专业高技能人才培养目标，以校企合作为载体，改革创新一体化课程，开发出一套高级工一体化课程标准、课程实施方案。</w:t>
            </w:r>
          </w:p>
          <w:p w14:paraId="1970A7DA">
            <w:pPr>
              <w:widowControl/>
              <w:spacing w:line="360" w:lineRule="auto"/>
              <w:jc w:val="left"/>
              <w:textAlignment w:val="center"/>
              <w:rPr>
                <w:rFonts w:hint="eastAsia" w:ascii="宋体" w:hAnsi="宋体" w:cs="宋体"/>
                <w:color w:val="auto"/>
                <w:kern w:val="0"/>
                <w:szCs w:val="21"/>
                <w:lang w:bidi="ar"/>
              </w:rPr>
            </w:pPr>
          </w:p>
          <w:p w14:paraId="11E40734">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四、完成培训教材开发 2本</w:t>
            </w:r>
          </w:p>
          <w:p w14:paraId="73F5016C">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(一) 服务要求</w:t>
            </w:r>
          </w:p>
          <w:p w14:paraId="19447A88">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   紧紧依托行业优势，以为企业培训满足其岗位需求的高技能人才为最终目标，组织相关人员、采用走访、问卷调查、座谈会等方式，对全区具有代表性的行业企业、部分城市的职业院校进行调研，组织行业和技能教育方面的专家对教材内容、编写模式等进行深入探讨，然后由专业教师和企业专家共同编写出工学结合的专业特色培训教材。培训教材内容以工作任务为主线编排，创建与之对应的学习领域及学习情境，融入国家职业资格标准，创新培训教材内容，确保培训教材能反映当前的技术发展趋势。</w:t>
            </w:r>
          </w:p>
          <w:p w14:paraId="731D7544">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（二）完成服务内容</w:t>
            </w:r>
          </w:p>
          <w:p w14:paraId="4C28A4F1">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1.组织学校教师开展行业企业调研，指导并完成二个专业高技能人才培训系列教材开发工作方案。</w:t>
            </w:r>
          </w:p>
          <w:p w14:paraId="4E4C997A">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2.协助并完成二个专业高技能人才培训系列教材编写大纲。</w:t>
            </w:r>
          </w:p>
          <w:p w14:paraId="6BA8B4AF">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3.组织专家指导并完成二个专业高技能人才培训系列教材。</w:t>
            </w:r>
          </w:p>
          <w:p w14:paraId="422895D6">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4.指导并完成二个专业高技能人才培训系列教材开发佐证材料的整理。</w:t>
            </w:r>
          </w:p>
          <w:p w14:paraId="2A08FAC0">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5.免费提供每本10册打印教材样板。</w:t>
            </w:r>
          </w:p>
          <w:p w14:paraId="35886095">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（三） 服务成果</w:t>
            </w:r>
          </w:p>
          <w:p w14:paraId="4BEDFCE2">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 高技能人才培训教材开发工作方案。</w:t>
            </w:r>
          </w:p>
          <w:p w14:paraId="040B5242">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 高技能人才培训教材编写大纲。</w:t>
            </w:r>
          </w:p>
          <w:p w14:paraId="415F4D86">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3. 专业高技能人才培训教材打印成册。</w:t>
            </w:r>
          </w:p>
          <w:p w14:paraId="002DD338">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4. 高技能人才培训教材开发实施情况总结报告。</w:t>
            </w:r>
          </w:p>
          <w:p w14:paraId="790CAE08">
            <w:pPr>
              <w:widowControl/>
              <w:spacing w:line="360" w:lineRule="auto"/>
              <w:jc w:val="left"/>
              <w:textAlignment w:val="center"/>
              <w:rPr>
                <w:rFonts w:hint="eastAsia" w:ascii="宋体" w:hAnsi="宋体" w:cs="宋体"/>
                <w:color w:val="auto"/>
                <w:kern w:val="0"/>
                <w:szCs w:val="21"/>
                <w:lang w:bidi="ar"/>
              </w:rPr>
            </w:pPr>
          </w:p>
          <w:p w14:paraId="767D6CEE">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五、完成学校层面建设资料汇总</w:t>
            </w:r>
          </w:p>
          <w:p w14:paraId="44C8D0A2">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根据国家职业技能标准，针对本次高技能基地项目二个重点建设专业的建设任务，完成以下资料编制、汇总：</w:t>
            </w:r>
          </w:p>
          <w:p w14:paraId="66F8BF86">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总目录</w:t>
            </w:r>
          </w:p>
          <w:p w14:paraId="6FD86E5D">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(一)组织与管理</w:t>
            </w:r>
          </w:p>
          <w:p w14:paraId="5D0EDB32">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1-01  项目组织  </w:t>
            </w:r>
          </w:p>
          <w:p w14:paraId="1DFBFF48">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1.自评说明</w:t>
            </w:r>
          </w:p>
          <w:p w14:paraId="677D3922">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2.项目组织机构及管理办法</w:t>
            </w:r>
          </w:p>
          <w:p w14:paraId="4A05AE3C">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3.各项目组成员具体建设任务分工表</w:t>
            </w:r>
          </w:p>
          <w:p w14:paraId="56FA0851">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1-02  项目管理   </w:t>
            </w:r>
          </w:p>
          <w:p w14:paraId="511DE111">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1.自评说明</w:t>
            </w:r>
          </w:p>
          <w:p w14:paraId="02503A9F">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2.相关制度文件</w:t>
            </w:r>
          </w:p>
          <w:p w14:paraId="5AE59963">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3.各专业项目档案</w:t>
            </w:r>
          </w:p>
          <w:p w14:paraId="353A4A94">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（二）培训能力</w:t>
            </w:r>
          </w:p>
          <w:p w14:paraId="184BD18E">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2-03  场地条件   </w:t>
            </w:r>
          </w:p>
          <w:p w14:paraId="2FB2FA7F">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1.自评说明</w:t>
            </w:r>
          </w:p>
          <w:p w14:paraId="00409FAD">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2.培训基地建设专业培训教室汇总表</w:t>
            </w:r>
          </w:p>
          <w:p w14:paraId="4A3A528A">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3.各专业培训教室统计表</w:t>
            </w:r>
          </w:p>
          <w:p w14:paraId="3A7D55CC">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4.各专业培训教室平面图</w:t>
            </w:r>
          </w:p>
          <w:p w14:paraId="755136EB">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2-04  装备条件  </w:t>
            </w:r>
          </w:p>
          <w:p w14:paraId="47B4BDF9">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1.自评说明</w:t>
            </w:r>
          </w:p>
          <w:p w14:paraId="7BE8C2CF">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2.培训基地建设3个专业培训教室汇总表</w:t>
            </w:r>
          </w:p>
          <w:p w14:paraId="2B8678BC">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3.培训基地建设3个实训设备台账汇总表</w:t>
            </w:r>
          </w:p>
          <w:p w14:paraId="60D28FBF">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4.各专业实训设备台账</w:t>
            </w:r>
          </w:p>
          <w:p w14:paraId="08E18F39">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5.各专业实训设备使用记录</w:t>
            </w:r>
          </w:p>
          <w:p w14:paraId="50402259">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2-05  师资条件 </w:t>
            </w:r>
          </w:p>
          <w:p w14:paraId="4772835A">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1.自评说明 </w:t>
            </w:r>
          </w:p>
          <w:p w14:paraId="0F25F76E">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2.各专业教师花名册 </w:t>
            </w:r>
          </w:p>
          <w:p w14:paraId="3E91E15F">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3.各专业培训学员花名册 </w:t>
            </w:r>
          </w:p>
          <w:p w14:paraId="7D7FCC01">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4.各专业培训学员成绩册 </w:t>
            </w:r>
          </w:p>
          <w:p w14:paraId="2AC2420B">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2-06  课程体系 </w:t>
            </w:r>
          </w:p>
          <w:p w14:paraId="796C6740">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1.自评说明（各专业）  </w:t>
            </w:r>
          </w:p>
          <w:p w14:paraId="4EC1F87C">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2.各专业培训课程体系  </w:t>
            </w:r>
          </w:p>
          <w:p w14:paraId="02669F2B">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（三）培训体系</w:t>
            </w:r>
          </w:p>
          <w:p w14:paraId="35F4DA3C">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3-07  校企合作   </w:t>
            </w:r>
          </w:p>
          <w:p w14:paraId="0D6510AF">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1.自评说明</w:t>
            </w:r>
          </w:p>
          <w:p w14:paraId="793DCEBB">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2.各专业与企业签订开展高技能人才培训的协议</w:t>
            </w:r>
          </w:p>
          <w:p w14:paraId="5330CEDF">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3.各专业与合作企业共同制定高技能人才培训的方案</w:t>
            </w:r>
          </w:p>
          <w:p w14:paraId="127D336E">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3-08  课程开发   </w:t>
            </w:r>
          </w:p>
          <w:p w14:paraId="682AC472">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1.自评说明  </w:t>
            </w:r>
          </w:p>
          <w:p w14:paraId="4BBF402D">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2.各专业与企业共同开发的培训课程  </w:t>
            </w:r>
          </w:p>
          <w:p w14:paraId="030DD45F">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3.各专业培训课程建设研讨材料汇总</w:t>
            </w:r>
          </w:p>
          <w:p w14:paraId="4498E1B4">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3-09  教材开发   </w:t>
            </w:r>
          </w:p>
          <w:p w14:paraId="3817A224">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1.自评说明  </w:t>
            </w:r>
          </w:p>
          <w:p w14:paraId="7DB41132">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2.高技能人才培训教材开发指导性意见  </w:t>
            </w:r>
          </w:p>
          <w:p w14:paraId="0004AE5E">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3.校本教材编写审定使用管理暂行办法  </w:t>
            </w:r>
          </w:p>
          <w:p w14:paraId="4EA201B9">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4.各专业课程调研报告、大纲 </w:t>
            </w:r>
          </w:p>
          <w:p w14:paraId="3828EB2E">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5.各专业高技能人才培训教材（样本）</w:t>
            </w:r>
          </w:p>
          <w:p w14:paraId="14D3044D">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3-10  师资建设   </w:t>
            </w:r>
          </w:p>
          <w:p w14:paraId="7E58C779">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1.自评说明  </w:t>
            </w:r>
          </w:p>
          <w:p w14:paraId="2EE9746E">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2.培训基地建设二个专业师生比数据说明  </w:t>
            </w:r>
          </w:p>
          <w:p w14:paraId="4D246305">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3.各专业教师花名册、证书（样件） </w:t>
            </w:r>
          </w:p>
          <w:p w14:paraId="07F7A677">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4.各专业兼职教师花名册及聘书、证书</w:t>
            </w:r>
          </w:p>
          <w:p w14:paraId="42B9C912">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5.各专业培训基地专职培训教师花名册及技术等级证书</w:t>
            </w:r>
          </w:p>
          <w:p w14:paraId="6C6386F6">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6.各专业培训基地实训教师花名册   </w:t>
            </w:r>
          </w:p>
          <w:p w14:paraId="413D79E3">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7.各专业高级实习指导教师和高级技师教师占实训教师比例数据分析表  </w:t>
            </w:r>
          </w:p>
          <w:p w14:paraId="6E79D04E">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3-11  效果评价  </w:t>
            </w:r>
          </w:p>
          <w:p w14:paraId="52392E2E">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1.自评说明  </w:t>
            </w:r>
          </w:p>
          <w:p w14:paraId="76AD7FA3">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2.高技能人才能力考核评价办法</w:t>
            </w:r>
          </w:p>
          <w:p w14:paraId="790683C0">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3.各专业行业企业专家参与能力评价建设材料汇总（样件）</w:t>
            </w:r>
          </w:p>
          <w:p w14:paraId="09F9608D">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4.各专业高技能人才培训考核评价体系方案</w:t>
            </w:r>
          </w:p>
          <w:p w14:paraId="3EF9C82E">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5.各专业高技能人才培训评价模式改革的总结报告</w:t>
            </w:r>
          </w:p>
          <w:p w14:paraId="0F816714">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（三）资金管理</w:t>
            </w:r>
          </w:p>
          <w:p w14:paraId="725C1FFD">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4-12  使用范围</w:t>
            </w:r>
          </w:p>
          <w:p w14:paraId="53440FD1">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1.自评说明</w:t>
            </w:r>
          </w:p>
          <w:p w14:paraId="751F95C5">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2.高技能人才培训基地建设项目经费管理实施细则</w:t>
            </w:r>
          </w:p>
          <w:p w14:paraId="57C1A665">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3.项目资金专账</w:t>
            </w:r>
          </w:p>
          <w:p w14:paraId="3B194609">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4.项目资金使用审批单据</w:t>
            </w:r>
          </w:p>
          <w:p w14:paraId="53A09CD6">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5.项目资金专账使用票据</w:t>
            </w:r>
          </w:p>
          <w:p w14:paraId="53ADA837">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4-13  配套资金  </w:t>
            </w:r>
          </w:p>
          <w:p w14:paraId="481B2417">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1.自评说明</w:t>
            </w:r>
          </w:p>
          <w:p w14:paraId="54446597">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2.地方财政配套资金到位情况说明</w:t>
            </w:r>
          </w:p>
          <w:p w14:paraId="5EFA2686">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3.行业企业配套资金到位情况说明</w:t>
            </w:r>
          </w:p>
          <w:p w14:paraId="3DA4C643">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4.行业企业配套资金到位相关材料</w:t>
            </w:r>
          </w:p>
          <w:p w14:paraId="7556BB2C">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4-14  资金核算  </w:t>
            </w:r>
          </w:p>
          <w:p w14:paraId="1B578817">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1.自评说明</w:t>
            </w:r>
          </w:p>
          <w:p w14:paraId="080C8CA3">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2.高技能人才培训基地建设项目经费管理实施细则</w:t>
            </w:r>
          </w:p>
          <w:p w14:paraId="647BF81E">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3.项目资金专账</w:t>
            </w:r>
          </w:p>
          <w:p w14:paraId="02EA8BDE">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4.项目资金使用审批单据</w:t>
            </w:r>
          </w:p>
          <w:p w14:paraId="7B046583">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5.项目资金专账使用票据</w:t>
            </w:r>
          </w:p>
          <w:p w14:paraId="72B756B0">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（五）完成项目产出</w:t>
            </w:r>
          </w:p>
          <w:p w14:paraId="7E8597B1">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5-15  体系构建 </w:t>
            </w:r>
          </w:p>
          <w:p w14:paraId="661967F2">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1.自评说明  </w:t>
            </w:r>
          </w:p>
          <w:p w14:paraId="77B5987C">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2.各专业体现校企合作开展高技能人才培养模式、课程设置、教材开发、师资建设、能力评价5个环节的建设总结 </w:t>
            </w:r>
          </w:p>
          <w:p w14:paraId="0CA7CAA1">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5-16  规模效应 </w:t>
            </w:r>
          </w:p>
          <w:p w14:paraId="1C154673">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1.自评说明</w:t>
            </w:r>
          </w:p>
          <w:p w14:paraId="773C79F3">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2.学校培训基地建设在本区域发挥示范作用的材料汇编</w:t>
            </w:r>
          </w:p>
          <w:p w14:paraId="661F46C0">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3.各专业项目建设在本区域发挥示范作用的材料汇总</w:t>
            </w:r>
          </w:p>
          <w:p w14:paraId="58EA2E1B">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4.各专业社会化高技能人才培训统计表</w:t>
            </w:r>
          </w:p>
          <w:p w14:paraId="2AF7B367">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5.各专业高技能培训学员花名册 </w:t>
            </w:r>
          </w:p>
          <w:p w14:paraId="7BAA37FA">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6.各专业高技能培训学员身份证、缴费单、培训合格证复印件（样件）</w:t>
            </w:r>
          </w:p>
          <w:p w14:paraId="4C326F8D">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7.各专业高技能人才培训过程材料（样件）</w:t>
            </w:r>
          </w:p>
          <w:p w14:paraId="45EE4645">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8.各专业总培训人数与高技能培训人数汇总表</w:t>
            </w:r>
          </w:p>
          <w:p w14:paraId="610A9AEF">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5-17  评价反馈 </w:t>
            </w:r>
          </w:p>
          <w:p w14:paraId="6EE6A2CE">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1.自评说明</w:t>
            </w:r>
          </w:p>
          <w:p w14:paraId="2100ACD4">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2.职业培训质量社会评价实施方案  </w:t>
            </w:r>
          </w:p>
          <w:p w14:paraId="31F2FB63">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3.各专业职业技能培训用人单位满意度调查表（样件）</w:t>
            </w:r>
          </w:p>
          <w:p w14:paraId="51A2CB8C">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4.各专业职业技能培训学员满意度调查表（样件）</w:t>
            </w:r>
          </w:p>
          <w:p w14:paraId="6D6797BE">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5.建设专业培训质量社会评价实施情况调查报告</w:t>
            </w:r>
          </w:p>
          <w:p w14:paraId="3A3544B7">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5-18  经验总结 </w:t>
            </w:r>
          </w:p>
          <w:p w14:paraId="289A0184">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1.自评说明</w:t>
            </w:r>
          </w:p>
          <w:p w14:paraId="3738E10C">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2.项目总结报告（学校）</w:t>
            </w:r>
          </w:p>
          <w:p w14:paraId="1C1E56C3">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3.建设专业总结报告汇编</w:t>
            </w:r>
          </w:p>
          <w:p w14:paraId="52F342AB">
            <w:pPr>
              <w:widowControl/>
              <w:spacing w:line="360" w:lineRule="auto"/>
              <w:jc w:val="left"/>
              <w:textAlignment w:val="center"/>
              <w:rPr>
                <w:rFonts w:hint="eastAsia" w:ascii="宋体" w:hAnsi="宋体" w:cs="宋体"/>
                <w:color w:val="auto"/>
                <w:kern w:val="0"/>
                <w:szCs w:val="21"/>
                <w:lang w:bidi="ar"/>
              </w:rPr>
            </w:pPr>
          </w:p>
          <w:p w14:paraId="59516D11">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六、</w:t>
            </w:r>
            <w:bookmarkStart w:id="17" w:name="_Hlk202138696"/>
            <w:bookmarkStart w:id="18" w:name="_Hlk202138356"/>
            <w:r>
              <w:rPr>
                <w:rFonts w:hint="eastAsia" w:ascii="宋体" w:hAnsi="宋体" w:cs="宋体"/>
                <w:color w:val="auto"/>
                <w:kern w:val="0"/>
                <w:szCs w:val="21"/>
                <w:lang w:bidi="ar"/>
              </w:rPr>
              <w:t>完成师资建</w:t>
            </w:r>
            <w:bookmarkEnd w:id="17"/>
            <w:r>
              <w:rPr>
                <w:rFonts w:hint="eastAsia" w:ascii="宋体" w:hAnsi="宋体" w:cs="宋体"/>
                <w:color w:val="auto"/>
                <w:kern w:val="0"/>
                <w:szCs w:val="21"/>
                <w:lang w:bidi="ar"/>
              </w:rPr>
              <w:t>设</w:t>
            </w:r>
            <w:bookmarkEnd w:id="18"/>
            <w:r>
              <w:rPr>
                <w:rFonts w:hint="eastAsia" w:ascii="宋体" w:hAnsi="宋体" w:cs="宋体"/>
                <w:color w:val="auto"/>
                <w:kern w:val="0"/>
                <w:szCs w:val="21"/>
                <w:lang w:bidi="ar"/>
              </w:rPr>
              <w:t xml:space="preserve"> 1项</w:t>
            </w:r>
          </w:p>
          <w:p w14:paraId="23D201F0">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  提供本次高技能基地项目2个重点建设专业，展开师资培训，完成至少2名专业带头人、6名骨干专业教师、6名兼职教师的职业技能提升培训，包括用于提升教师各项技能培训，例如工学一体化教师培训、比赛技能培训、赛项指导等。</w:t>
            </w:r>
          </w:p>
          <w:p w14:paraId="4AA12915">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（一）</w:t>
            </w:r>
            <w:bookmarkStart w:id="19" w:name="_Hlk202138725"/>
            <w:r>
              <w:rPr>
                <w:rFonts w:hint="eastAsia" w:ascii="宋体" w:hAnsi="宋体" w:cs="宋体"/>
                <w:color w:val="auto"/>
                <w:kern w:val="0"/>
                <w:szCs w:val="21"/>
                <w:lang w:bidi="ar"/>
              </w:rPr>
              <w:t>完成专业带头人培养</w:t>
            </w:r>
            <w:bookmarkEnd w:id="19"/>
            <w:r>
              <w:rPr>
                <w:rFonts w:hint="eastAsia" w:ascii="宋体" w:hAnsi="宋体" w:cs="宋体"/>
                <w:color w:val="auto"/>
                <w:kern w:val="0"/>
                <w:szCs w:val="21"/>
                <w:lang w:bidi="ar"/>
              </w:rPr>
              <w:t>≥2人</w:t>
            </w:r>
          </w:p>
          <w:p w14:paraId="23B1DCC1">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1.指导并完成二个专业高技能人才培训师资队伍建设工作方案。</w:t>
            </w:r>
          </w:p>
          <w:p w14:paraId="796E8E95">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2.指导并完成本专业高技能人才培训专业带头人培养方案。</w:t>
            </w:r>
          </w:p>
          <w:p w14:paraId="2160EC5B">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3. 培养≥2名，具有专业发展方向把握能力、课程开发能力、教研教改能力、组织协调能力的学校专业带头人。</w:t>
            </w:r>
          </w:p>
          <w:p w14:paraId="1E582D36">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4. 提供专业带头人建设标准建议规划方案，提供专业带头人技能培训1次，每次不少于5天，并获得相关培训证书。</w:t>
            </w:r>
          </w:p>
          <w:p w14:paraId="37CB3567">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5. 组织课程开发讲座培训1次。</w:t>
            </w:r>
          </w:p>
          <w:p w14:paraId="09CC8085">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6. 组织专业建设专家会议1次。</w:t>
            </w:r>
          </w:p>
          <w:p w14:paraId="056B2877">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7. 指导并完成本专业高技能人才培训专业带头人培养佐证材料的整理。</w:t>
            </w:r>
          </w:p>
          <w:p w14:paraId="7AFC0EE8">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（二）</w:t>
            </w:r>
            <w:bookmarkStart w:id="20" w:name="_Hlk202138737"/>
            <w:r>
              <w:rPr>
                <w:rFonts w:hint="eastAsia" w:ascii="宋体" w:hAnsi="宋体" w:cs="宋体"/>
                <w:color w:val="auto"/>
                <w:kern w:val="0"/>
                <w:szCs w:val="21"/>
                <w:lang w:bidi="ar"/>
              </w:rPr>
              <w:t>完成骨干教师培养</w:t>
            </w:r>
            <w:bookmarkEnd w:id="20"/>
            <w:r>
              <w:rPr>
                <w:rFonts w:hint="eastAsia" w:ascii="宋体" w:hAnsi="宋体" w:cs="宋体"/>
                <w:color w:val="auto"/>
                <w:kern w:val="0"/>
                <w:szCs w:val="21"/>
                <w:lang w:bidi="ar"/>
              </w:rPr>
              <w:t>≥6人：</w:t>
            </w:r>
          </w:p>
          <w:p w14:paraId="32D4C488">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1.指导并完成二个专业高技能人才培训骨干教师培养方案。</w:t>
            </w:r>
          </w:p>
          <w:p w14:paraId="27845EC3">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 根据人才培养目标，按岗位核心课程要求制定骨干教师认定标准。</w:t>
            </w:r>
          </w:p>
          <w:p w14:paraId="1C343203">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3. 培养专业基础理论扎实，对本专业课程有较强把握，对新技术有较强跟踪能力，并能承担一些实际项目的骨干教师≥6名。</w:t>
            </w:r>
          </w:p>
          <w:p w14:paraId="196F6865">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4. 提供骨干教师技术培训1次；每次不少于5天，并获相关培训证书。</w:t>
            </w:r>
          </w:p>
          <w:p w14:paraId="6204B338">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5. 指导并完成本专业高技能人才培训骨干教师培养佐证材料的整理。</w:t>
            </w:r>
          </w:p>
          <w:p w14:paraId="695C64F3">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（三）</w:t>
            </w:r>
            <w:bookmarkStart w:id="21" w:name="_Hlk202138749"/>
            <w:r>
              <w:rPr>
                <w:rFonts w:hint="eastAsia" w:ascii="宋体" w:hAnsi="宋体" w:cs="宋体"/>
                <w:color w:val="auto"/>
                <w:kern w:val="0"/>
                <w:szCs w:val="21"/>
                <w:lang w:bidi="ar"/>
              </w:rPr>
              <w:t>完成兼职教师培养</w:t>
            </w:r>
            <w:bookmarkEnd w:id="21"/>
            <w:r>
              <w:rPr>
                <w:rFonts w:hint="eastAsia" w:ascii="宋体" w:hAnsi="宋体" w:cs="宋体"/>
                <w:color w:val="auto"/>
                <w:kern w:val="0"/>
                <w:szCs w:val="21"/>
                <w:lang w:bidi="ar"/>
              </w:rPr>
              <w:t>≥6人：</w:t>
            </w:r>
          </w:p>
          <w:p w14:paraId="1899B6EA">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1.指导并完成二个专业高技能人才兼职教师培养方案。</w:t>
            </w:r>
          </w:p>
          <w:p w14:paraId="5C0AF36A">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 根据人才培养目标，按岗位核心课程要求制定兼职教师认定标准。</w:t>
            </w:r>
          </w:p>
          <w:p w14:paraId="2B29237E">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3. 培养基础理论扎实，对本专业课程有较强把握，对新技术有较强跟踪能力，并能承担一些实际项目的兼职教师教师3名。</w:t>
            </w:r>
          </w:p>
          <w:p w14:paraId="64436785">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4. 指导并完成本专业兼职教师培养佐证材料的整理。</w:t>
            </w:r>
          </w:p>
          <w:p w14:paraId="08E755DA">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（四）完成服务成果</w:t>
            </w:r>
          </w:p>
          <w:p w14:paraId="2DD53B54">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 本专业高技能人才培训师资队伍建设工作方案。</w:t>
            </w:r>
          </w:p>
          <w:p w14:paraId="6851C2A8">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 本专业带头人培养方案。</w:t>
            </w:r>
          </w:p>
          <w:p w14:paraId="23A58944">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3. 本专业带头人建设过程材料汇总。</w:t>
            </w:r>
          </w:p>
          <w:p w14:paraId="208FAE34">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4. 本专业带头人建设工作总结。</w:t>
            </w:r>
          </w:p>
          <w:p w14:paraId="431AB2B8">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5. 本专业骨干教师培养方案。</w:t>
            </w:r>
          </w:p>
          <w:p w14:paraId="72470EAA">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6. 本专业骨干教师建设过程材料汇总。</w:t>
            </w:r>
          </w:p>
          <w:p w14:paraId="2B0A7716">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7. 本专业骨干教师建设工作总结。</w:t>
            </w:r>
          </w:p>
          <w:p w14:paraId="4B874D0D">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8. 本专业专业教师培养方案。</w:t>
            </w:r>
          </w:p>
          <w:p w14:paraId="20A3BF32">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9. 本专业专业教师建设过程材料汇总。</w:t>
            </w:r>
          </w:p>
          <w:p w14:paraId="44EAA1FA">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10. 本专业专业教师建设工作总结。</w:t>
            </w:r>
          </w:p>
          <w:p w14:paraId="7854D23A">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11. 本专业兼职教师培养方案。</w:t>
            </w:r>
          </w:p>
          <w:p w14:paraId="6911F62D">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12. 本专业兼职教师建设过程材料汇总。</w:t>
            </w:r>
          </w:p>
          <w:p w14:paraId="711E06F8">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13. 本专业兼职教师建设工作总结。</w:t>
            </w:r>
          </w:p>
          <w:p w14:paraId="27FE4424">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★七、</w:t>
            </w:r>
            <w:bookmarkStart w:id="22" w:name="_Hlk202138774"/>
            <w:r>
              <w:rPr>
                <w:rFonts w:hint="eastAsia" w:ascii="宋体" w:hAnsi="宋体" w:cs="宋体"/>
                <w:color w:val="auto"/>
                <w:kern w:val="0"/>
                <w:szCs w:val="21"/>
                <w:lang w:bidi="ar"/>
              </w:rPr>
              <w:t>提炼基地建设工作经验、形成论文形式需≥2份并发表到国内期刊，知网可查。</w:t>
            </w:r>
            <w:bookmarkEnd w:id="22"/>
          </w:p>
          <w:p w14:paraId="6088F038">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★八、</w:t>
            </w:r>
            <w:bookmarkStart w:id="23" w:name="_Hlk202138789"/>
            <w:r>
              <w:rPr>
                <w:rFonts w:hint="eastAsia" w:ascii="宋体" w:hAnsi="宋体" w:cs="宋体"/>
                <w:color w:val="auto"/>
                <w:kern w:val="0"/>
                <w:szCs w:val="21"/>
                <w:lang w:bidi="ar"/>
              </w:rPr>
              <w:t>为保障完善学校内涵建设的实施质量，要求内涵建设团队专家成员必须达≥3人以上</w:t>
            </w:r>
            <w:bookmarkEnd w:id="23"/>
            <w:r>
              <w:rPr>
                <w:rFonts w:hint="eastAsia" w:ascii="宋体" w:hAnsi="宋体" w:cs="宋体"/>
                <w:color w:val="auto"/>
                <w:kern w:val="0"/>
                <w:szCs w:val="21"/>
                <w:lang w:bidi="ar"/>
              </w:rPr>
              <w:t>，需在广西省内熟悉技工教育管理、具备成功主持国家级高技能人才培训基地申报与建设经历、副高级以上职称的配置标准；</w:t>
            </w:r>
          </w:p>
        </w:tc>
        <w:tc>
          <w:tcPr>
            <w:tcW w:w="710" w:type="dxa"/>
            <w:tcBorders>
              <w:top w:val="single" w:color="auto" w:sz="4" w:space="0"/>
              <w:left w:val="single" w:color="000000" w:sz="4" w:space="0"/>
              <w:bottom w:val="single" w:color="000000" w:sz="4" w:space="0"/>
              <w:right w:val="single" w:color="000000" w:sz="4" w:space="0"/>
            </w:tcBorders>
            <w:vAlign w:val="center"/>
          </w:tcPr>
          <w:p w14:paraId="007477B4">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w:t>
            </w:r>
          </w:p>
        </w:tc>
        <w:tc>
          <w:tcPr>
            <w:tcW w:w="660" w:type="dxa"/>
            <w:tcBorders>
              <w:top w:val="single" w:color="auto" w:sz="4" w:space="0"/>
              <w:left w:val="single" w:color="000000" w:sz="4" w:space="0"/>
              <w:bottom w:val="single" w:color="000000" w:sz="4" w:space="0"/>
              <w:right w:val="single" w:color="000000" w:sz="4" w:space="0"/>
            </w:tcBorders>
            <w:vAlign w:val="center"/>
          </w:tcPr>
          <w:p w14:paraId="0F20E253">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项</w:t>
            </w:r>
          </w:p>
        </w:tc>
        <w:tc>
          <w:tcPr>
            <w:tcW w:w="1242" w:type="dxa"/>
            <w:tcBorders>
              <w:top w:val="single" w:color="auto" w:sz="4" w:space="0"/>
              <w:left w:val="single" w:color="000000" w:sz="4" w:space="0"/>
              <w:bottom w:val="single" w:color="000000" w:sz="4" w:space="0"/>
              <w:right w:val="single" w:color="000000" w:sz="4" w:space="0"/>
            </w:tcBorders>
            <w:vAlign w:val="center"/>
          </w:tcPr>
          <w:p w14:paraId="7B974AE3">
            <w:pPr>
              <w:widowControl/>
              <w:spacing w:line="360" w:lineRule="auto"/>
              <w:jc w:val="center"/>
              <w:textAlignment w:val="center"/>
              <w:rPr>
                <w:color w:val="auto"/>
              </w:rPr>
            </w:pPr>
            <w:r>
              <w:rPr>
                <w:rFonts w:hint="eastAsia" w:ascii="宋体" w:hAnsi="宋体" w:cs="宋体"/>
                <w:color w:val="auto"/>
                <w:kern w:val="0"/>
                <w:szCs w:val="21"/>
                <w:bdr w:val="single" w:color="000000" w:sz="4" w:space="0"/>
                <w:lang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9525" cy="20955"/>
                  <wp:effectExtent l="0" t="0" r="0" b="0"/>
                  <wp:wrapNone/>
                  <wp:docPr id="1797" name="Picture_22"/>
                  <wp:cNvGraphicFramePr/>
                  <a:graphic xmlns:a="http://schemas.openxmlformats.org/drawingml/2006/main">
                    <a:graphicData uri="http://schemas.openxmlformats.org/drawingml/2006/picture">
                      <pic:pic xmlns:pic="http://schemas.openxmlformats.org/drawingml/2006/picture">
                        <pic:nvPicPr>
                          <pic:cNvPr id="1797" name="Picture_22"/>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9525" cy="20955"/>
                  <wp:effectExtent l="0" t="0" r="0" b="0"/>
                  <wp:wrapNone/>
                  <wp:docPr id="1798" name="Picture_44"/>
                  <wp:cNvGraphicFramePr/>
                  <a:graphic xmlns:a="http://schemas.openxmlformats.org/drawingml/2006/main">
                    <a:graphicData uri="http://schemas.openxmlformats.org/drawingml/2006/picture">
                      <pic:pic xmlns:pic="http://schemas.openxmlformats.org/drawingml/2006/picture">
                        <pic:nvPicPr>
                          <pic:cNvPr id="1798" name="Picture_44"/>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9525" cy="20955"/>
                  <wp:effectExtent l="0" t="0" r="0" b="0"/>
                  <wp:wrapNone/>
                  <wp:docPr id="1799" name="Picture_44_SpCnt_1"/>
                  <wp:cNvGraphicFramePr/>
                  <a:graphic xmlns:a="http://schemas.openxmlformats.org/drawingml/2006/main">
                    <a:graphicData uri="http://schemas.openxmlformats.org/drawingml/2006/picture">
                      <pic:pic xmlns:pic="http://schemas.openxmlformats.org/drawingml/2006/picture">
                        <pic:nvPicPr>
                          <pic:cNvPr id="1799" name="Picture_44_SpCnt_1"/>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9525" cy="20955"/>
                  <wp:effectExtent l="0" t="0" r="0" b="0"/>
                  <wp:wrapNone/>
                  <wp:docPr id="1800" name="Picture_44_SpCnt_2"/>
                  <wp:cNvGraphicFramePr/>
                  <a:graphic xmlns:a="http://schemas.openxmlformats.org/drawingml/2006/main">
                    <a:graphicData uri="http://schemas.openxmlformats.org/drawingml/2006/picture">
                      <pic:pic xmlns:pic="http://schemas.openxmlformats.org/drawingml/2006/picture">
                        <pic:nvPicPr>
                          <pic:cNvPr id="1800" name="Picture_44_SpCnt_2"/>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9525" cy="20955"/>
                  <wp:effectExtent l="0" t="0" r="0" b="0"/>
                  <wp:wrapNone/>
                  <wp:docPr id="1801" name="Picture_44_SpCnt_3"/>
                  <wp:cNvGraphicFramePr/>
                  <a:graphic xmlns:a="http://schemas.openxmlformats.org/drawingml/2006/main">
                    <a:graphicData uri="http://schemas.openxmlformats.org/drawingml/2006/picture">
                      <pic:pic xmlns:pic="http://schemas.openxmlformats.org/drawingml/2006/picture">
                        <pic:nvPicPr>
                          <pic:cNvPr id="1801" name="Picture_44_SpCnt_3"/>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9525" cy="20955"/>
                  <wp:effectExtent l="0" t="0" r="0" b="0"/>
                  <wp:wrapNone/>
                  <wp:docPr id="1802" name="Picture_44_SpCnt_4"/>
                  <wp:cNvGraphicFramePr/>
                  <a:graphic xmlns:a="http://schemas.openxmlformats.org/drawingml/2006/main">
                    <a:graphicData uri="http://schemas.openxmlformats.org/drawingml/2006/picture">
                      <pic:pic xmlns:pic="http://schemas.openxmlformats.org/drawingml/2006/picture">
                        <pic:nvPicPr>
                          <pic:cNvPr id="1802" name="Picture_44_SpCnt_4"/>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9525" cy="20955"/>
                  <wp:effectExtent l="0" t="0" r="0" b="0"/>
                  <wp:wrapNone/>
                  <wp:docPr id="1803" name="Picture_44_SpCnt_5"/>
                  <wp:cNvGraphicFramePr/>
                  <a:graphic xmlns:a="http://schemas.openxmlformats.org/drawingml/2006/main">
                    <a:graphicData uri="http://schemas.openxmlformats.org/drawingml/2006/picture">
                      <pic:pic xmlns:pic="http://schemas.openxmlformats.org/drawingml/2006/picture">
                        <pic:nvPicPr>
                          <pic:cNvPr id="1803" name="Picture_44_SpCnt_5"/>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9525" cy="20955"/>
                  <wp:effectExtent l="0" t="0" r="0" b="0"/>
                  <wp:wrapNone/>
                  <wp:docPr id="1804" name="Picture_45"/>
                  <wp:cNvGraphicFramePr/>
                  <a:graphic xmlns:a="http://schemas.openxmlformats.org/drawingml/2006/main">
                    <a:graphicData uri="http://schemas.openxmlformats.org/drawingml/2006/picture">
                      <pic:pic xmlns:pic="http://schemas.openxmlformats.org/drawingml/2006/picture">
                        <pic:nvPicPr>
                          <pic:cNvPr id="1804" name="Picture_45"/>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9525" cy="20955"/>
                  <wp:effectExtent l="0" t="0" r="0" b="0"/>
                  <wp:wrapNone/>
                  <wp:docPr id="1805" name="Picture_44_SpCnt_6"/>
                  <wp:cNvGraphicFramePr/>
                  <a:graphic xmlns:a="http://schemas.openxmlformats.org/drawingml/2006/main">
                    <a:graphicData uri="http://schemas.openxmlformats.org/drawingml/2006/picture">
                      <pic:pic xmlns:pic="http://schemas.openxmlformats.org/drawingml/2006/picture">
                        <pic:nvPicPr>
                          <pic:cNvPr id="1805" name="Picture_44_SpCnt_6"/>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9525" cy="20955"/>
                  <wp:effectExtent l="0" t="0" r="0" b="0"/>
                  <wp:wrapNone/>
                  <wp:docPr id="1806" name="Picture_23"/>
                  <wp:cNvGraphicFramePr/>
                  <a:graphic xmlns:a="http://schemas.openxmlformats.org/drawingml/2006/main">
                    <a:graphicData uri="http://schemas.openxmlformats.org/drawingml/2006/picture">
                      <pic:pic xmlns:pic="http://schemas.openxmlformats.org/drawingml/2006/picture">
                        <pic:nvPicPr>
                          <pic:cNvPr id="1806" name="Picture_23"/>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9525" cy="20955"/>
                  <wp:effectExtent l="0" t="0" r="0" b="0"/>
                  <wp:wrapNone/>
                  <wp:docPr id="1807" name="Picture_22_SpCnt_1"/>
                  <wp:cNvGraphicFramePr/>
                  <a:graphic xmlns:a="http://schemas.openxmlformats.org/drawingml/2006/main">
                    <a:graphicData uri="http://schemas.openxmlformats.org/drawingml/2006/picture">
                      <pic:pic xmlns:pic="http://schemas.openxmlformats.org/drawingml/2006/picture">
                        <pic:nvPicPr>
                          <pic:cNvPr id="1807" name="Picture_22_SpCnt_1"/>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9525" cy="20955"/>
                  <wp:effectExtent l="0" t="0" r="0" b="0"/>
                  <wp:wrapNone/>
                  <wp:docPr id="1808" name="Picture_45_SpCnt_1"/>
                  <wp:cNvGraphicFramePr/>
                  <a:graphic xmlns:a="http://schemas.openxmlformats.org/drawingml/2006/main">
                    <a:graphicData uri="http://schemas.openxmlformats.org/drawingml/2006/picture">
                      <pic:pic xmlns:pic="http://schemas.openxmlformats.org/drawingml/2006/picture">
                        <pic:nvPicPr>
                          <pic:cNvPr id="1808" name="Picture_45_SpCnt_1"/>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9525" cy="20955"/>
                  <wp:effectExtent l="0" t="0" r="0" b="0"/>
                  <wp:wrapNone/>
                  <wp:docPr id="1809" name="Picture_44_SpCnt_7"/>
                  <wp:cNvGraphicFramePr/>
                  <a:graphic xmlns:a="http://schemas.openxmlformats.org/drawingml/2006/main">
                    <a:graphicData uri="http://schemas.openxmlformats.org/drawingml/2006/picture">
                      <pic:pic xmlns:pic="http://schemas.openxmlformats.org/drawingml/2006/picture">
                        <pic:nvPicPr>
                          <pic:cNvPr id="1809" name="Picture_44_SpCnt_7"/>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9525" cy="20955"/>
                  <wp:effectExtent l="0" t="0" r="0" b="0"/>
                  <wp:wrapNone/>
                  <wp:docPr id="1810" name="Picture_23_SpCnt_1"/>
                  <wp:cNvGraphicFramePr/>
                  <a:graphic xmlns:a="http://schemas.openxmlformats.org/drawingml/2006/main">
                    <a:graphicData uri="http://schemas.openxmlformats.org/drawingml/2006/picture">
                      <pic:pic xmlns:pic="http://schemas.openxmlformats.org/drawingml/2006/picture">
                        <pic:nvPicPr>
                          <pic:cNvPr id="1810" name="Picture_23_SpCnt_1"/>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9525" cy="20955"/>
                  <wp:effectExtent l="0" t="0" r="0" b="0"/>
                  <wp:wrapNone/>
                  <wp:docPr id="1811" name="Picture_22_SpCnt_2"/>
                  <wp:cNvGraphicFramePr/>
                  <a:graphic xmlns:a="http://schemas.openxmlformats.org/drawingml/2006/main">
                    <a:graphicData uri="http://schemas.openxmlformats.org/drawingml/2006/picture">
                      <pic:pic xmlns:pic="http://schemas.openxmlformats.org/drawingml/2006/picture">
                        <pic:nvPicPr>
                          <pic:cNvPr id="1811" name="Picture_22_SpCnt_2"/>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9525" cy="20955"/>
                  <wp:effectExtent l="0" t="0" r="0" b="0"/>
                  <wp:wrapNone/>
                  <wp:docPr id="1812" name="Picture_45_SpCnt_2"/>
                  <wp:cNvGraphicFramePr/>
                  <a:graphic xmlns:a="http://schemas.openxmlformats.org/drawingml/2006/main">
                    <a:graphicData uri="http://schemas.openxmlformats.org/drawingml/2006/picture">
                      <pic:pic xmlns:pic="http://schemas.openxmlformats.org/drawingml/2006/picture">
                        <pic:nvPicPr>
                          <pic:cNvPr id="1812" name="Picture_45_SpCnt_2"/>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9525" cy="20955"/>
                  <wp:effectExtent l="0" t="0" r="0" b="0"/>
                  <wp:wrapNone/>
                  <wp:docPr id="1813" name="Picture_44_SpCnt_8"/>
                  <wp:cNvGraphicFramePr/>
                  <a:graphic xmlns:a="http://schemas.openxmlformats.org/drawingml/2006/main">
                    <a:graphicData uri="http://schemas.openxmlformats.org/drawingml/2006/picture">
                      <pic:pic xmlns:pic="http://schemas.openxmlformats.org/drawingml/2006/picture">
                        <pic:nvPicPr>
                          <pic:cNvPr id="1813" name="Picture_44_SpCnt_8"/>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9525" cy="20955"/>
                  <wp:effectExtent l="0" t="0" r="0" b="0"/>
                  <wp:wrapNone/>
                  <wp:docPr id="1814" name="Picture_23_SpCnt_2"/>
                  <wp:cNvGraphicFramePr/>
                  <a:graphic xmlns:a="http://schemas.openxmlformats.org/drawingml/2006/main">
                    <a:graphicData uri="http://schemas.openxmlformats.org/drawingml/2006/picture">
                      <pic:pic xmlns:pic="http://schemas.openxmlformats.org/drawingml/2006/picture">
                        <pic:nvPicPr>
                          <pic:cNvPr id="1814" name="Picture_23_SpCnt_2"/>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9525" cy="20955"/>
                  <wp:effectExtent l="0" t="0" r="0" b="0"/>
                  <wp:wrapNone/>
                  <wp:docPr id="1815" name="Picture_22_SpCnt_3"/>
                  <wp:cNvGraphicFramePr/>
                  <a:graphic xmlns:a="http://schemas.openxmlformats.org/drawingml/2006/main">
                    <a:graphicData uri="http://schemas.openxmlformats.org/drawingml/2006/picture">
                      <pic:pic xmlns:pic="http://schemas.openxmlformats.org/drawingml/2006/picture">
                        <pic:nvPicPr>
                          <pic:cNvPr id="1815" name="Picture_22_SpCnt_3"/>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9525" cy="20955"/>
                  <wp:effectExtent l="0" t="0" r="0" b="0"/>
                  <wp:wrapNone/>
                  <wp:docPr id="1816" name="Picture_45_SpCnt_3"/>
                  <wp:cNvGraphicFramePr/>
                  <a:graphic xmlns:a="http://schemas.openxmlformats.org/drawingml/2006/main">
                    <a:graphicData uri="http://schemas.openxmlformats.org/drawingml/2006/picture">
                      <pic:pic xmlns:pic="http://schemas.openxmlformats.org/drawingml/2006/picture">
                        <pic:nvPicPr>
                          <pic:cNvPr id="1816" name="Picture_45_SpCnt_3"/>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9525" cy="20955"/>
                  <wp:effectExtent l="0" t="0" r="0" b="0"/>
                  <wp:wrapNone/>
                  <wp:docPr id="1817" name="Picture_44_SpCnt_9"/>
                  <wp:cNvGraphicFramePr/>
                  <a:graphic xmlns:a="http://schemas.openxmlformats.org/drawingml/2006/main">
                    <a:graphicData uri="http://schemas.openxmlformats.org/drawingml/2006/picture">
                      <pic:pic xmlns:pic="http://schemas.openxmlformats.org/drawingml/2006/picture">
                        <pic:nvPicPr>
                          <pic:cNvPr id="1817" name="Picture_44_SpCnt_9"/>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9525" cy="20955"/>
                  <wp:effectExtent l="0" t="0" r="0" b="0"/>
                  <wp:wrapNone/>
                  <wp:docPr id="1818" name="Picture_23_SpCnt_3"/>
                  <wp:cNvGraphicFramePr/>
                  <a:graphic xmlns:a="http://schemas.openxmlformats.org/drawingml/2006/main">
                    <a:graphicData uri="http://schemas.openxmlformats.org/drawingml/2006/picture">
                      <pic:pic xmlns:pic="http://schemas.openxmlformats.org/drawingml/2006/picture">
                        <pic:nvPicPr>
                          <pic:cNvPr id="1818" name="Picture_23_SpCnt_3"/>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9525" cy="20955"/>
                  <wp:effectExtent l="0" t="0" r="0" b="0"/>
                  <wp:wrapNone/>
                  <wp:docPr id="1819" name="Picture_22_SpCnt_4"/>
                  <wp:cNvGraphicFramePr/>
                  <a:graphic xmlns:a="http://schemas.openxmlformats.org/drawingml/2006/main">
                    <a:graphicData uri="http://schemas.openxmlformats.org/drawingml/2006/picture">
                      <pic:pic xmlns:pic="http://schemas.openxmlformats.org/drawingml/2006/picture">
                        <pic:nvPicPr>
                          <pic:cNvPr id="1819" name="Picture_22_SpCnt_4"/>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9525" cy="20955"/>
                  <wp:effectExtent l="0" t="0" r="0" b="0"/>
                  <wp:wrapNone/>
                  <wp:docPr id="1820" name="Picture_45_SpCnt_4"/>
                  <wp:cNvGraphicFramePr/>
                  <a:graphic xmlns:a="http://schemas.openxmlformats.org/drawingml/2006/main">
                    <a:graphicData uri="http://schemas.openxmlformats.org/drawingml/2006/picture">
                      <pic:pic xmlns:pic="http://schemas.openxmlformats.org/drawingml/2006/picture">
                        <pic:nvPicPr>
                          <pic:cNvPr id="1820" name="Picture_45_SpCnt_4"/>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9525" cy="20955"/>
                  <wp:effectExtent l="0" t="0" r="0" b="0"/>
                  <wp:wrapNone/>
                  <wp:docPr id="1821" name="Picture_44_SpCnt_10"/>
                  <wp:cNvGraphicFramePr/>
                  <a:graphic xmlns:a="http://schemas.openxmlformats.org/drawingml/2006/main">
                    <a:graphicData uri="http://schemas.openxmlformats.org/drawingml/2006/picture">
                      <pic:pic xmlns:pic="http://schemas.openxmlformats.org/drawingml/2006/picture">
                        <pic:nvPicPr>
                          <pic:cNvPr id="1821" name="Picture_44_SpCnt_10"/>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9525" cy="20955"/>
                  <wp:effectExtent l="0" t="0" r="0" b="0"/>
                  <wp:wrapNone/>
                  <wp:docPr id="1822" name="Picture_23_SpCnt_4"/>
                  <wp:cNvGraphicFramePr/>
                  <a:graphic xmlns:a="http://schemas.openxmlformats.org/drawingml/2006/main">
                    <a:graphicData uri="http://schemas.openxmlformats.org/drawingml/2006/picture">
                      <pic:pic xmlns:pic="http://schemas.openxmlformats.org/drawingml/2006/picture">
                        <pic:nvPicPr>
                          <pic:cNvPr id="1822" name="Picture_23_SpCnt_4"/>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9525" cy="20955"/>
                  <wp:effectExtent l="0" t="0" r="0" b="0"/>
                  <wp:wrapNone/>
                  <wp:docPr id="1823" name="Picture_22_SpCnt_5"/>
                  <wp:cNvGraphicFramePr/>
                  <a:graphic xmlns:a="http://schemas.openxmlformats.org/drawingml/2006/main">
                    <a:graphicData uri="http://schemas.openxmlformats.org/drawingml/2006/picture">
                      <pic:pic xmlns:pic="http://schemas.openxmlformats.org/drawingml/2006/picture">
                        <pic:nvPicPr>
                          <pic:cNvPr id="1823" name="Picture_22_SpCnt_5"/>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9525" cy="20955"/>
                  <wp:effectExtent l="0" t="0" r="0" b="0"/>
                  <wp:wrapNone/>
                  <wp:docPr id="1824" name="Picture_45_SpCnt_5"/>
                  <wp:cNvGraphicFramePr/>
                  <a:graphic xmlns:a="http://schemas.openxmlformats.org/drawingml/2006/main">
                    <a:graphicData uri="http://schemas.openxmlformats.org/drawingml/2006/picture">
                      <pic:pic xmlns:pic="http://schemas.openxmlformats.org/drawingml/2006/picture">
                        <pic:nvPicPr>
                          <pic:cNvPr id="1824" name="Picture_45_SpCnt_5"/>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9525" cy="20955"/>
                  <wp:effectExtent l="0" t="0" r="0" b="0"/>
                  <wp:wrapNone/>
                  <wp:docPr id="1825" name="Picture_44_SpCnt_11"/>
                  <wp:cNvGraphicFramePr/>
                  <a:graphic xmlns:a="http://schemas.openxmlformats.org/drawingml/2006/main">
                    <a:graphicData uri="http://schemas.openxmlformats.org/drawingml/2006/picture">
                      <pic:pic xmlns:pic="http://schemas.openxmlformats.org/drawingml/2006/picture">
                        <pic:nvPicPr>
                          <pic:cNvPr id="1825" name="Picture_44_SpCnt_11"/>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9525" cy="20955"/>
                  <wp:effectExtent l="0" t="0" r="0" b="0"/>
                  <wp:wrapNone/>
                  <wp:docPr id="1826" name="Picture_23_SpCnt_5"/>
                  <wp:cNvGraphicFramePr/>
                  <a:graphic xmlns:a="http://schemas.openxmlformats.org/drawingml/2006/main">
                    <a:graphicData uri="http://schemas.openxmlformats.org/drawingml/2006/picture">
                      <pic:pic xmlns:pic="http://schemas.openxmlformats.org/drawingml/2006/picture">
                        <pic:nvPicPr>
                          <pic:cNvPr id="1826" name="Picture_23_SpCnt_5"/>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9525" cy="20955"/>
                  <wp:effectExtent l="0" t="0" r="0" b="0"/>
                  <wp:wrapNone/>
                  <wp:docPr id="1827" name="Picture_22_SpCnt_6"/>
                  <wp:cNvGraphicFramePr/>
                  <a:graphic xmlns:a="http://schemas.openxmlformats.org/drawingml/2006/main">
                    <a:graphicData uri="http://schemas.openxmlformats.org/drawingml/2006/picture">
                      <pic:pic xmlns:pic="http://schemas.openxmlformats.org/drawingml/2006/picture">
                        <pic:nvPicPr>
                          <pic:cNvPr id="1827" name="Picture_22_SpCnt_6"/>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9525" cy="20955"/>
                  <wp:effectExtent l="0" t="0" r="0" b="0"/>
                  <wp:wrapNone/>
                  <wp:docPr id="1828" name="Picture_45_SpCnt_6"/>
                  <wp:cNvGraphicFramePr/>
                  <a:graphic xmlns:a="http://schemas.openxmlformats.org/drawingml/2006/main">
                    <a:graphicData uri="http://schemas.openxmlformats.org/drawingml/2006/picture">
                      <pic:pic xmlns:pic="http://schemas.openxmlformats.org/drawingml/2006/picture">
                        <pic:nvPicPr>
                          <pic:cNvPr id="1828" name="Picture_45_SpCnt_6"/>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9525" cy="20955"/>
                  <wp:effectExtent l="0" t="0" r="0" b="0"/>
                  <wp:wrapNone/>
                  <wp:docPr id="1829" name="Picture_44_SpCnt_12"/>
                  <wp:cNvGraphicFramePr/>
                  <a:graphic xmlns:a="http://schemas.openxmlformats.org/drawingml/2006/main">
                    <a:graphicData uri="http://schemas.openxmlformats.org/drawingml/2006/picture">
                      <pic:pic xmlns:pic="http://schemas.openxmlformats.org/drawingml/2006/picture">
                        <pic:nvPicPr>
                          <pic:cNvPr id="1829" name="Picture_44_SpCnt_12"/>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9525" cy="20955"/>
                  <wp:effectExtent l="0" t="0" r="0" b="0"/>
                  <wp:wrapNone/>
                  <wp:docPr id="1830" name="Picture_23_SpCnt_6"/>
                  <wp:cNvGraphicFramePr/>
                  <a:graphic xmlns:a="http://schemas.openxmlformats.org/drawingml/2006/main">
                    <a:graphicData uri="http://schemas.openxmlformats.org/drawingml/2006/picture">
                      <pic:pic xmlns:pic="http://schemas.openxmlformats.org/drawingml/2006/picture">
                        <pic:nvPicPr>
                          <pic:cNvPr id="1830" name="Picture_23_SpCnt_6"/>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9525" cy="20955"/>
                  <wp:effectExtent l="0" t="0" r="0" b="0"/>
                  <wp:wrapNone/>
                  <wp:docPr id="1831" name="Picture_22_SpCnt_7"/>
                  <wp:cNvGraphicFramePr/>
                  <a:graphic xmlns:a="http://schemas.openxmlformats.org/drawingml/2006/main">
                    <a:graphicData uri="http://schemas.openxmlformats.org/drawingml/2006/picture">
                      <pic:pic xmlns:pic="http://schemas.openxmlformats.org/drawingml/2006/picture">
                        <pic:nvPicPr>
                          <pic:cNvPr id="1831" name="Picture_22_SpCnt_7"/>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698176" behindDoc="0" locked="0" layoutInCell="1" allowOverlap="1">
                  <wp:simplePos x="0" y="0"/>
                  <wp:positionH relativeFrom="column">
                    <wp:posOffset>0</wp:posOffset>
                  </wp:positionH>
                  <wp:positionV relativeFrom="paragraph">
                    <wp:posOffset>0</wp:posOffset>
                  </wp:positionV>
                  <wp:extent cx="9525" cy="20955"/>
                  <wp:effectExtent l="0" t="0" r="0" b="0"/>
                  <wp:wrapNone/>
                  <wp:docPr id="1832" name="Picture_45_SpCnt_7"/>
                  <wp:cNvGraphicFramePr/>
                  <a:graphic xmlns:a="http://schemas.openxmlformats.org/drawingml/2006/main">
                    <a:graphicData uri="http://schemas.openxmlformats.org/drawingml/2006/picture">
                      <pic:pic xmlns:pic="http://schemas.openxmlformats.org/drawingml/2006/picture">
                        <pic:nvPicPr>
                          <pic:cNvPr id="1832" name="Picture_45_SpCnt_7"/>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9525" cy="20955"/>
                  <wp:effectExtent l="0" t="0" r="0" b="0"/>
                  <wp:wrapNone/>
                  <wp:docPr id="1833" name="Picture_44_SpCnt_13"/>
                  <wp:cNvGraphicFramePr/>
                  <a:graphic xmlns:a="http://schemas.openxmlformats.org/drawingml/2006/main">
                    <a:graphicData uri="http://schemas.openxmlformats.org/drawingml/2006/picture">
                      <pic:pic xmlns:pic="http://schemas.openxmlformats.org/drawingml/2006/picture">
                        <pic:nvPicPr>
                          <pic:cNvPr id="1833" name="Picture_44_SpCnt_13"/>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00224" behindDoc="0" locked="0" layoutInCell="1" allowOverlap="1">
                  <wp:simplePos x="0" y="0"/>
                  <wp:positionH relativeFrom="column">
                    <wp:posOffset>0</wp:posOffset>
                  </wp:positionH>
                  <wp:positionV relativeFrom="paragraph">
                    <wp:posOffset>0</wp:posOffset>
                  </wp:positionV>
                  <wp:extent cx="9525" cy="20955"/>
                  <wp:effectExtent l="0" t="0" r="0" b="0"/>
                  <wp:wrapNone/>
                  <wp:docPr id="1834" name="Picture_23_SpCnt_7"/>
                  <wp:cNvGraphicFramePr/>
                  <a:graphic xmlns:a="http://schemas.openxmlformats.org/drawingml/2006/main">
                    <a:graphicData uri="http://schemas.openxmlformats.org/drawingml/2006/picture">
                      <pic:pic xmlns:pic="http://schemas.openxmlformats.org/drawingml/2006/picture">
                        <pic:nvPicPr>
                          <pic:cNvPr id="1834" name="Picture_23_SpCnt_7"/>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9525" cy="20955"/>
                  <wp:effectExtent l="0" t="0" r="0" b="0"/>
                  <wp:wrapNone/>
                  <wp:docPr id="1835" name="Picture_22_SpCnt_8"/>
                  <wp:cNvGraphicFramePr/>
                  <a:graphic xmlns:a="http://schemas.openxmlformats.org/drawingml/2006/main">
                    <a:graphicData uri="http://schemas.openxmlformats.org/drawingml/2006/picture">
                      <pic:pic xmlns:pic="http://schemas.openxmlformats.org/drawingml/2006/picture">
                        <pic:nvPicPr>
                          <pic:cNvPr id="1835" name="Picture_22_SpCnt_8"/>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02272" behindDoc="0" locked="0" layoutInCell="1" allowOverlap="1">
                  <wp:simplePos x="0" y="0"/>
                  <wp:positionH relativeFrom="column">
                    <wp:posOffset>0</wp:posOffset>
                  </wp:positionH>
                  <wp:positionV relativeFrom="paragraph">
                    <wp:posOffset>0</wp:posOffset>
                  </wp:positionV>
                  <wp:extent cx="9525" cy="20955"/>
                  <wp:effectExtent l="0" t="0" r="0" b="0"/>
                  <wp:wrapNone/>
                  <wp:docPr id="1836" name="Picture_45_SpCnt_8"/>
                  <wp:cNvGraphicFramePr/>
                  <a:graphic xmlns:a="http://schemas.openxmlformats.org/drawingml/2006/main">
                    <a:graphicData uri="http://schemas.openxmlformats.org/drawingml/2006/picture">
                      <pic:pic xmlns:pic="http://schemas.openxmlformats.org/drawingml/2006/picture">
                        <pic:nvPicPr>
                          <pic:cNvPr id="1836" name="Picture_45_SpCnt_8"/>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03296" behindDoc="0" locked="0" layoutInCell="1" allowOverlap="1">
                  <wp:simplePos x="0" y="0"/>
                  <wp:positionH relativeFrom="column">
                    <wp:posOffset>0</wp:posOffset>
                  </wp:positionH>
                  <wp:positionV relativeFrom="paragraph">
                    <wp:posOffset>0</wp:posOffset>
                  </wp:positionV>
                  <wp:extent cx="9525" cy="20955"/>
                  <wp:effectExtent l="0" t="0" r="0" b="0"/>
                  <wp:wrapNone/>
                  <wp:docPr id="1837" name="Picture_44_SpCnt_14"/>
                  <wp:cNvGraphicFramePr/>
                  <a:graphic xmlns:a="http://schemas.openxmlformats.org/drawingml/2006/main">
                    <a:graphicData uri="http://schemas.openxmlformats.org/drawingml/2006/picture">
                      <pic:pic xmlns:pic="http://schemas.openxmlformats.org/drawingml/2006/picture">
                        <pic:nvPicPr>
                          <pic:cNvPr id="1837" name="Picture_44_SpCnt_14"/>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04320" behindDoc="0" locked="0" layoutInCell="1" allowOverlap="1">
                  <wp:simplePos x="0" y="0"/>
                  <wp:positionH relativeFrom="column">
                    <wp:posOffset>0</wp:posOffset>
                  </wp:positionH>
                  <wp:positionV relativeFrom="paragraph">
                    <wp:posOffset>0</wp:posOffset>
                  </wp:positionV>
                  <wp:extent cx="9525" cy="20955"/>
                  <wp:effectExtent l="0" t="0" r="0" b="0"/>
                  <wp:wrapNone/>
                  <wp:docPr id="1838" name="Picture_23_SpCnt_8"/>
                  <wp:cNvGraphicFramePr/>
                  <a:graphic xmlns:a="http://schemas.openxmlformats.org/drawingml/2006/main">
                    <a:graphicData uri="http://schemas.openxmlformats.org/drawingml/2006/picture">
                      <pic:pic xmlns:pic="http://schemas.openxmlformats.org/drawingml/2006/picture">
                        <pic:nvPicPr>
                          <pic:cNvPr id="1838" name="Picture_23_SpCnt_8"/>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9525" cy="20955"/>
                  <wp:effectExtent l="0" t="0" r="0" b="0"/>
                  <wp:wrapNone/>
                  <wp:docPr id="1839" name="Picture_22_SpCnt_9"/>
                  <wp:cNvGraphicFramePr/>
                  <a:graphic xmlns:a="http://schemas.openxmlformats.org/drawingml/2006/main">
                    <a:graphicData uri="http://schemas.openxmlformats.org/drawingml/2006/picture">
                      <pic:pic xmlns:pic="http://schemas.openxmlformats.org/drawingml/2006/picture">
                        <pic:nvPicPr>
                          <pic:cNvPr id="1839" name="Picture_22_SpCnt_9"/>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9525" cy="20955"/>
                  <wp:effectExtent l="0" t="0" r="0" b="0"/>
                  <wp:wrapNone/>
                  <wp:docPr id="1840" name="Picture_45_SpCnt_9"/>
                  <wp:cNvGraphicFramePr/>
                  <a:graphic xmlns:a="http://schemas.openxmlformats.org/drawingml/2006/main">
                    <a:graphicData uri="http://schemas.openxmlformats.org/drawingml/2006/picture">
                      <pic:pic xmlns:pic="http://schemas.openxmlformats.org/drawingml/2006/picture">
                        <pic:nvPicPr>
                          <pic:cNvPr id="1840" name="Picture_45_SpCnt_9"/>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9525" cy="20955"/>
                  <wp:effectExtent l="0" t="0" r="0" b="0"/>
                  <wp:wrapNone/>
                  <wp:docPr id="1841" name="Picture_44_SpCnt_15"/>
                  <wp:cNvGraphicFramePr/>
                  <a:graphic xmlns:a="http://schemas.openxmlformats.org/drawingml/2006/main">
                    <a:graphicData uri="http://schemas.openxmlformats.org/drawingml/2006/picture">
                      <pic:pic xmlns:pic="http://schemas.openxmlformats.org/drawingml/2006/picture">
                        <pic:nvPicPr>
                          <pic:cNvPr id="1841" name="Picture_44_SpCnt_15"/>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9525" cy="20955"/>
                  <wp:effectExtent l="0" t="0" r="0" b="0"/>
                  <wp:wrapNone/>
                  <wp:docPr id="1842" name="Picture_23_SpCnt_9"/>
                  <wp:cNvGraphicFramePr/>
                  <a:graphic xmlns:a="http://schemas.openxmlformats.org/drawingml/2006/main">
                    <a:graphicData uri="http://schemas.openxmlformats.org/drawingml/2006/picture">
                      <pic:pic xmlns:pic="http://schemas.openxmlformats.org/drawingml/2006/picture">
                        <pic:nvPicPr>
                          <pic:cNvPr id="1842" name="Picture_23_SpCnt_9"/>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9525" cy="20955"/>
                  <wp:effectExtent l="0" t="0" r="0" b="0"/>
                  <wp:wrapNone/>
                  <wp:docPr id="1843" name="Picture_22_SpCnt_10"/>
                  <wp:cNvGraphicFramePr/>
                  <a:graphic xmlns:a="http://schemas.openxmlformats.org/drawingml/2006/main">
                    <a:graphicData uri="http://schemas.openxmlformats.org/drawingml/2006/picture">
                      <pic:pic xmlns:pic="http://schemas.openxmlformats.org/drawingml/2006/picture">
                        <pic:nvPicPr>
                          <pic:cNvPr id="1843" name="Picture_22_SpCnt_10"/>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9525" cy="20955"/>
                  <wp:effectExtent l="0" t="0" r="0" b="0"/>
                  <wp:wrapNone/>
                  <wp:docPr id="1844" name="Picture_45_SpCnt_10"/>
                  <wp:cNvGraphicFramePr/>
                  <a:graphic xmlns:a="http://schemas.openxmlformats.org/drawingml/2006/main">
                    <a:graphicData uri="http://schemas.openxmlformats.org/drawingml/2006/picture">
                      <pic:pic xmlns:pic="http://schemas.openxmlformats.org/drawingml/2006/picture">
                        <pic:nvPicPr>
                          <pic:cNvPr id="1844" name="Picture_45_SpCnt_10"/>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9525" cy="20955"/>
                  <wp:effectExtent l="0" t="0" r="0" b="0"/>
                  <wp:wrapNone/>
                  <wp:docPr id="1845" name="Picture_44_SpCnt_16"/>
                  <wp:cNvGraphicFramePr/>
                  <a:graphic xmlns:a="http://schemas.openxmlformats.org/drawingml/2006/main">
                    <a:graphicData uri="http://schemas.openxmlformats.org/drawingml/2006/picture">
                      <pic:pic xmlns:pic="http://schemas.openxmlformats.org/drawingml/2006/picture">
                        <pic:nvPicPr>
                          <pic:cNvPr id="1845" name="Picture_44_SpCnt_16"/>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9525" cy="20955"/>
                  <wp:effectExtent l="0" t="0" r="0" b="0"/>
                  <wp:wrapNone/>
                  <wp:docPr id="1846" name="Picture_23_SpCnt_10"/>
                  <wp:cNvGraphicFramePr/>
                  <a:graphic xmlns:a="http://schemas.openxmlformats.org/drawingml/2006/main">
                    <a:graphicData uri="http://schemas.openxmlformats.org/drawingml/2006/picture">
                      <pic:pic xmlns:pic="http://schemas.openxmlformats.org/drawingml/2006/picture">
                        <pic:nvPicPr>
                          <pic:cNvPr id="1846" name="Picture_23_SpCnt_10"/>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13536" behindDoc="0" locked="0" layoutInCell="1" allowOverlap="1">
                  <wp:simplePos x="0" y="0"/>
                  <wp:positionH relativeFrom="column">
                    <wp:posOffset>0</wp:posOffset>
                  </wp:positionH>
                  <wp:positionV relativeFrom="paragraph">
                    <wp:posOffset>0</wp:posOffset>
                  </wp:positionV>
                  <wp:extent cx="9525" cy="20955"/>
                  <wp:effectExtent l="0" t="0" r="0" b="0"/>
                  <wp:wrapNone/>
                  <wp:docPr id="1847" name="Picture_22_SpCnt_11"/>
                  <wp:cNvGraphicFramePr/>
                  <a:graphic xmlns:a="http://schemas.openxmlformats.org/drawingml/2006/main">
                    <a:graphicData uri="http://schemas.openxmlformats.org/drawingml/2006/picture">
                      <pic:pic xmlns:pic="http://schemas.openxmlformats.org/drawingml/2006/picture">
                        <pic:nvPicPr>
                          <pic:cNvPr id="1847" name="Picture_22_SpCnt_11"/>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14560" behindDoc="0" locked="0" layoutInCell="1" allowOverlap="1">
                  <wp:simplePos x="0" y="0"/>
                  <wp:positionH relativeFrom="column">
                    <wp:posOffset>0</wp:posOffset>
                  </wp:positionH>
                  <wp:positionV relativeFrom="paragraph">
                    <wp:posOffset>0</wp:posOffset>
                  </wp:positionV>
                  <wp:extent cx="9525" cy="20955"/>
                  <wp:effectExtent l="0" t="0" r="0" b="0"/>
                  <wp:wrapNone/>
                  <wp:docPr id="1848" name="Picture_45_SpCnt_11"/>
                  <wp:cNvGraphicFramePr/>
                  <a:graphic xmlns:a="http://schemas.openxmlformats.org/drawingml/2006/main">
                    <a:graphicData uri="http://schemas.openxmlformats.org/drawingml/2006/picture">
                      <pic:pic xmlns:pic="http://schemas.openxmlformats.org/drawingml/2006/picture">
                        <pic:nvPicPr>
                          <pic:cNvPr id="1848" name="Picture_45_SpCnt_11"/>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15584" behindDoc="0" locked="0" layoutInCell="1" allowOverlap="1">
                  <wp:simplePos x="0" y="0"/>
                  <wp:positionH relativeFrom="column">
                    <wp:posOffset>0</wp:posOffset>
                  </wp:positionH>
                  <wp:positionV relativeFrom="paragraph">
                    <wp:posOffset>0</wp:posOffset>
                  </wp:positionV>
                  <wp:extent cx="9525" cy="20955"/>
                  <wp:effectExtent l="0" t="0" r="0" b="0"/>
                  <wp:wrapNone/>
                  <wp:docPr id="1849" name="Picture_44_SpCnt_17"/>
                  <wp:cNvGraphicFramePr/>
                  <a:graphic xmlns:a="http://schemas.openxmlformats.org/drawingml/2006/main">
                    <a:graphicData uri="http://schemas.openxmlformats.org/drawingml/2006/picture">
                      <pic:pic xmlns:pic="http://schemas.openxmlformats.org/drawingml/2006/picture">
                        <pic:nvPicPr>
                          <pic:cNvPr id="1849" name="Picture_44_SpCnt_17"/>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16608" behindDoc="0" locked="0" layoutInCell="1" allowOverlap="1">
                  <wp:simplePos x="0" y="0"/>
                  <wp:positionH relativeFrom="column">
                    <wp:posOffset>0</wp:posOffset>
                  </wp:positionH>
                  <wp:positionV relativeFrom="paragraph">
                    <wp:posOffset>0</wp:posOffset>
                  </wp:positionV>
                  <wp:extent cx="9525" cy="20955"/>
                  <wp:effectExtent l="0" t="0" r="0" b="0"/>
                  <wp:wrapNone/>
                  <wp:docPr id="1850" name="Picture_23_SpCnt_11"/>
                  <wp:cNvGraphicFramePr/>
                  <a:graphic xmlns:a="http://schemas.openxmlformats.org/drawingml/2006/main">
                    <a:graphicData uri="http://schemas.openxmlformats.org/drawingml/2006/picture">
                      <pic:pic xmlns:pic="http://schemas.openxmlformats.org/drawingml/2006/picture">
                        <pic:nvPicPr>
                          <pic:cNvPr id="1850" name="Picture_23_SpCnt_11"/>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9525" cy="20955"/>
                  <wp:effectExtent l="0" t="0" r="0" b="0"/>
                  <wp:wrapNone/>
                  <wp:docPr id="1851" name="Picture_22_SpCnt_12"/>
                  <wp:cNvGraphicFramePr/>
                  <a:graphic xmlns:a="http://schemas.openxmlformats.org/drawingml/2006/main">
                    <a:graphicData uri="http://schemas.openxmlformats.org/drawingml/2006/picture">
                      <pic:pic xmlns:pic="http://schemas.openxmlformats.org/drawingml/2006/picture">
                        <pic:nvPicPr>
                          <pic:cNvPr id="1851" name="Picture_22_SpCnt_12"/>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9525" cy="20955"/>
                  <wp:effectExtent l="0" t="0" r="0" b="0"/>
                  <wp:wrapNone/>
                  <wp:docPr id="1852" name="Picture_45_SpCnt_12"/>
                  <wp:cNvGraphicFramePr/>
                  <a:graphic xmlns:a="http://schemas.openxmlformats.org/drawingml/2006/main">
                    <a:graphicData uri="http://schemas.openxmlformats.org/drawingml/2006/picture">
                      <pic:pic xmlns:pic="http://schemas.openxmlformats.org/drawingml/2006/picture">
                        <pic:nvPicPr>
                          <pic:cNvPr id="1852" name="Picture_45_SpCnt_12"/>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9525" cy="20955"/>
                  <wp:effectExtent l="0" t="0" r="0" b="0"/>
                  <wp:wrapNone/>
                  <wp:docPr id="1853" name="Picture_44_SpCnt_18"/>
                  <wp:cNvGraphicFramePr/>
                  <a:graphic xmlns:a="http://schemas.openxmlformats.org/drawingml/2006/main">
                    <a:graphicData uri="http://schemas.openxmlformats.org/drawingml/2006/picture">
                      <pic:pic xmlns:pic="http://schemas.openxmlformats.org/drawingml/2006/picture">
                        <pic:nvPicPr>
                          <pic:cNvPr id="1853" name="Picture_44_SpCnt_18"/>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9525" cy="20955"/>
                  <wp:effectExtent l="0" t="0" r="0" b="0"/>
                  <wp:wrapNone/>
                  <wp:docPr id="1854" name="Picture_23_SpCnt_12"/>
                  <wp:cNvGraphicFramePr/>
                  <a:graphic xmlns:a="http://schemas.openxmlformats.org/drawingml/2006/main">
                    <a:graphicData uri="http://schemas.openxmlformats.org/drawingml/2006/picture">
                      <pic:pic xmlns:pic="http://schemas.openxmlformats.org/drawingml/2006/picture">
                        <pic:nvPicPr>
                          <pic:cNvPr id="1854" name="Picture_23_SpCnt_12"/>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21728" behindDoc="0" locked="0" layoutInCell="1" allowOverlap="1">
                  <wp:simplePos x="0" y="0"/>
                  <wp:positionH relativeFrom="column">
                    <wp:posOffset>0</wp:posOffset>
                  </wp:positionH>
                  <wp:positionV relativeFrom="paragraph">
                    <wp:posOffset>0</wp:posOffset>
                  </wp:positionV>
                  <wp:extent cx="9525" cy="20955"/>
                  <wp:effectExtent l="0" t="0" r="0" b="0"/>
                  <wp:wrapNone/>
                  <wp:docPr id="1855" name="Picture_22_SpCnt_13"/>
                  <wp:cNvGraphicFramePr/>
                  <a:graphic xmlns:a="http://schemas.openxmlformats.org/drawingml/2006/main">
                    <a:graphicData uri="http://schemas.openxmlformats.org/drawingml/2006/picture">
                      <pic:pic xmlns:pic="http://schemas.openxmlformats.org/drawingml/2006/picture">
                        <pic:nvPicPr>
                          <pic:cNvPr id="1855" name="Picture_22_SpCnt_13"/>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22752" behindDoc="0" locked="0" layoutInCell="1" allowOverlap="1">
                  <wp:simplePos x="0" y="0"/>
                  <wp:positionH relativeFrom="column">
                    <wp:posOffset>0</wp:posOffset>
                  </wp:positionH>
                  <wp:positionV relativeFrom="paragraph">
                    <wp:posOffset>0</wp:posOffset>
                  </wp:positionV>
                  <wp:extent cx="9525" cy="20955"/>
                  <wp:effectExtent l="0" t="0" r="0" b="0"/>
                  <wp:wrapNone/>
                  <wp:docPr id="1856" name="Picture_45_SpCnt_13"/>
                  <wp:cNvGraphicFramePr/>
                  <a:graphic xmlns:a="http://schemas.openxmlformats.org/drawingml/2006/main">
                    <a:graphicData uri="http://schemas.openxmlformats.org/drawingml/2006/picture">
                      <pic:pic xmlns:pic="http://schemas.openxmlformats.org/drawingml/2006/picture">
                        <pic:nvPicPr>
                          <pic:cNvPr id="1856" name="Picture_45_SpCnt_13"/>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23776" behindDoc="0" locked="0" layoutInCell="1" allowOverlap="1">
                  <wp:simplePos x="0" y="0"/>
                  <wp:positionH relativeFrom="column">
                    <wp:posOffset>0</wp:posOffset>
                  </wp:positionH>
                  <wp:positionV relativeFrom="paragraph">
                    <wp:posOffset>0</wp:posOffset>
                  </wp:positionV>
                  <wp:extent cx="9525" cy="20955"/>
                  <wp:effectExtent l="0" t="0" r="0" b="0"/>
                  <wp:wrapNone/>
                  <wp:docPr id="1857" name="Picture_44_SpCnt_19"/>
                  <wp:cNvGraphicFramePr/>
                  <a:graphic xmlns:a="http://schemas.openxmlformats.org/drawingml/2006/main">
                    <a:graphicData uri="http://schemas.openxmlformats.org/drawingml/2006/picture">
                      <pic:pic xmlns:pic="http://schemas.openxmlformats.org/drawingml/2006/picture">
                        <pic:nvPicPr>
                          <pic:cNvPr id="1857" name="Picture_44_SpCnt_19"/>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9525" cy="20955"/>
                  <wp:effectExtent l="0" t="0" r="0" b="0"/>
                  <wp:wrapNone/>
                  <wp:docPr id="1858" name="Picture_23_SpCnt_13"/>
                  <wp:cNvGraphicFramePr/>
                  <a:graphic xmlns:a="http://schemas.openxmlformats.org/drawingml/2006/main">
                    <a:graphicData uri="http://schemas.openxmlformats.org/drawingml/2006/picture">
                      <pic:pic xmlns:pic="http://schemas.openxmlformats.org/drawingml/2006/picture">
                        <pic:nvPicPr>
                          <pic:cNvPr id="1858" name="Picture_23_SpCnt_13"/>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9525" cy="20955"/>
                  <wp:effectExtent l="0" t="0" r="0" b="0"/>
                  <wp:wrapNone/>
                  <wp:docPr id="1859" name="Picture_22_SpCnt_14"/>
                  <wp:cNvGraphicFramePr/>
                  <a:graphic xmlns:a="http://schemas.openxmlformats.org/drawingml/2006/main">
                    <a:graphicData uri="http://schemas.openxmlformats.org/drawingml/2006/picture">
                      <pic:pic xmlns:pic="http://schemas.openxmlformats.org/drawingml/2006/picture">
                        <pic:nvPicPr>
                          <pic:cNvPr id="1859" name="Picture_22_SpCnt_14"/>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9525" cy="20955"/>
                  <wp:effectExtent l="0" t="0" r="0" b="0"/>
                  <wp:wrapNone/>
                  <wp:docPr id="1860" name="Picture_45_SpCnt_14"/>
                  <wp:cNvGraphicFramePr/>
                  <a:graphic xmlns:a="http://schemas.openxmlformats.org/drawingml/2006/main">
                    <a:graphicData uri="http://schemas.openxmlformats.org/drawingml/2006/picture">
                      <pic:pic xmlns:pic="http://schemas.openxmlformats.org/drawingml/2006/picture">
                        <pic:nvPicPr>
                          <pic:cNvPr id="1860" name="Picture_45_SpCnt_14"/>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9525" cy="20955"/>
                  <wp:effectExtent l="0" t="0" r="0" b="0"/>
                  <wp:wrapNone/>
                  <wp:docPr id="1861" name="Picture_44_SpCnt_20"/>
                  <wp:cNvGraphicFramePr/>
                  <a:graphic xmlns:a="http://schemas.openxmlformats.org/drawingml/2006/main">
                    <a:graphicData uri="http://schemas.openxmlformats.org/drawingml/2006/picture">
                      <pic:pic xmlns:pic="http://schemas.openxmlformats.org/drawingml/2006/picture">
                        <pic:nvPicPr>
                          <pic:cNvPr id="1861" name="Picture_44_SpCnt_20"/>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9525" cy="20955"/>
                  <wp:effectExtent l="0" t="0" r="0" b="0"/>
                  <wp:wrapNone/>
                  <wp:docPr id="1862" name="Picture_23_SpCnt_14"/>
                  <wp:cNvGraphicFramePr/>
                  <a:graphic xmlns:a="http://schemas.openxmlformats.org/drawingml/2006/main">
                    <a:graphicData uri="http://schemas.openxmlformats.org/drawingml/2006/picture">
                      <pic:pic xmlns:pic="http://schemas.openxmlformats.org/drawingml/2006/picture">
                        <pic:nvPicPr>
                          <pic:cNvPr id="1862" name="Picture_23_SpCnt_14"/>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9525" cy="20955"/>
                  <wp:effectExtent l="0" t="0" r="0" b="0"/>
                  <wp:wrapNone/>
                  <wp:docPr id="1863" name="Picture_22_SpCnt_15"/>
                  <wp:cNvGraphicFramePr/>
                  <a:graphic xmlns:a="http://schemas.openxmlformats.org/drawingml/2006/main">
                    <a:graphicData uri="http://schemas.openxmlformats.org/drawingml/2006/picture">
                      <pic:pic xmlns:pic="http://schemas.openxmlformats.org/drawingml/2006/picture">
                        <pic:nvPicPr>
                          <pic:cNvPr id="1863" name="Picture_22_SpCnt_15"/>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9525" cy="20955"/>
                  <wp:effectExtent l="0" t="0" r="0" b="0"/>
                  <wp:wrapNone/>
                  <wp:docPr id="1864" name="Picture_45_SpCnt_15"/>
                  <wp:cNvGraphicFramePr/>
                  <a:graphic xmlns:a="http://schemas.openxmlformats.org/drawingml/2006/main">
                    <a:graphicData uri="http://schemas.openxmlformats.org/drawingml/2006/picture">
                      <pic:pic xmlns:pic="http://schemas.openxmlformats.org/drawingml/2006/picture">
                        <pic:nvPicPr>
                          <pic:cNvPr id="1864" name="Picture_45_SpCnt_15"/>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9525" cy="20955"/>
                  <wp:effectExtent l="0" t="0" r="0" b="0"/>
                  <wp:wrapNone/>
                  <wp:docPr id="1865" name="Picture_44_SpCnt_21"/>
                  <wp:cNvGraphicFramePr/>
                  <a:graphic xmlns:a="http://schemas.openxmlformats.org/drawingml/2006/main">
                    <a:graphicData uri="http://schemas.openxmlformats.org/drawingml/2006/picture">
                      <pic:pic xmlns:pic="http://schemas.openxmlformats.org/drawingml/2006/picture">
                        <pic:nvPicPr>
                          <pic:cNvPr id="1865" name="Picture_44_SpCnt_21"/>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9525" cy="20955"/>
                  <wp:effectExtent l="0" t="0" r="0" b="0"/>
                  <wp:wrapNone/>
                  <wp:docPr id="1866" name="Picture_23_SpCnt_15"/>
                  <wp:cNvGraphicFramePr/>
                  <a:graphic xmlns:a="http://schemas.openxmlformats.org/drawingml/2006/main">
                    <a:graphicData uri="http://schemas.openxmlformats.org/drawingml/2006/picture">
                      <pic:pic xmlns:pic="http://schemas.openxmlformats.org/drawingml/2006/picture">
                        <pic:nvPicPr>
                          <pic:cNvPr id="1866" name="Picture_23_SpCnt_15"/>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34016" behindDoc="0" locked="0" layoutInCell="1" allowOverlap="1">
                  <wp:simplePos x="0" y="0"/>
                  <wp:positionH relativeFrom="column">
                    <wp:posOffset>0</wp:posOffset>
                  </wp:positionH>
                  <wp:positionV relativeFrom="paragraph">
                    <wp:posOffset>0</wp:posOffset>
                  </wp:positionV>
                  <wp:extent cx="9525" cy="20955"/>
                  <wp:effectExtent l="0" t="0" r="0" b="0"/>
                  <wp:wrapNone/>
                  <wp:docPr id="1867" name="Picture_22_SpCnt_16"/>
                  <wp:cNvGraphicFramePr/>
                  <a:graphic xmlns:a="http://schemas.openxmlformats.org/drawingml/2006/main">
                    <a:graphicData uri="http://schemas.openxmlformats.org/drawingml/2006/picture">
                      <pic:pic xmlns:pic="http://schemas.openxmlformats.org/drawingml/2006/picture">
                        <pic:nvPicPr>
                          <pic:cNvPr id="1867" name="Picture_22_SpCnt_16"/>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9525" cy="20955"/>
                  <wp:effectExtent l="0" t="0" r="0" b="0"/>
                  <wp:wrapNone/>
                  <wp:docPr id="1868" name="Picture_23_SpCnt_16"/>
                  <wp:cNvGraphicFramePr/>
                  <a:graphic xmlns:a="http://schemas.openxmlformats.org/drawingml/2006/main">
                    <a:graphicData uri="http://schemas.openxmlformats.org/drawingml/2006/picture">
                      <pic:pic xmlns:pic="http://schemas.openxmlformats.org/drawingml/2006/picture">
                        <pic:nvPicPr>
                          <pic:cNvPr id="1868" name="Picture_23_SpCnt_16"/>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36064" behindDoc="0" locked="0" layoutInCell="1" allowOverlap="1">
                  <wp:simplePos x="0" y="0"/>
                  <wp:positionH relativeFrom="column">
                    <wp:posOffset>0</wp:posOffset>
                  </wp:positionH>
                  <wp:positionV relativeFrom="paragraph">
                    <wp:posOffset>0</wp:posOffset>
                  </wp:positionV>
                  <wp:extent cx="9525" cy="20955"/>
                  <wp:effectExtent l="0" t="0" r="0" b="0"/>
                  <wp:wrapNone/>
                  <wp:docPr id="1869" name="Picture_45_SpCnt_16"/>
                  <wp:cNvGraphicFramePr/>
                  <a:graphic xmlns:a="http://schemas.openxmlformats.org/drawingml/2006/main">
                    <a:graphicData uri="http://schemas.openxmlformats.org/drawingml/2006/picture">
                      <pic:pic xmlns:pic="http://schemas.openxmlformats.org/drawingml/2006/picture">
                        <pic:nvPicPr>
                          <pic:cNvPr id="1869" name="Picture_45_SpCnt_16"/>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9525" cy="20955"/>
                  <wp:effectExtent l="0" t="0" r="0" b="0"/>
                  <wp:wrapNone/>
                  <wp:docPr id="1870" name="Picture_22_SpCnt_17"/>
                  <wp:cNvGraphicFramePr/>
                  <a:graphic xmlns:a="http://schemas.openxmlformats.org/drawingml/2006/main">
                    <a:graphicData uri="http://schemas.openxmlformats.org/drawingml/2006/picture">
                      <pic:pic xmlns:pic="http://schemas.openxmlformats.org/drawingml/2006/picture">
                        <pic:nvPicPr>
                          <pic:cNvPr id="1870" name="Picture_22_SpCnt_17"/>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9525" cy="20955"/>
                  <wp:effectExtent l="0" t="0" r="0" b="0"/>
                  <wp:wrapNone/>
                  <wp:docPr id="1871" name="Picture_45_SpCnt_17"/>
                  <wp:cNvGraphicFramePr/>
                  <a:graphic xmlns:a="http://schemas.openxmlformats.org/drawingml/2006/main">
                    <a:graphicData uri="http://schemas.openxmlformats.org/drawingml/2006/picture">
                      <pic:pic xmlns:pic="http://schemas.openxmlformats.org/drawingml/2006/picture">
                        <pic:nvPicPr>
                          <pic:cNvPr id="1871" name="Picture_45_SpCnt_17"/>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9525" cy="20955"/>
                  <wp:effectExtent l="0" t="0" r="0" b="0"/>
                  <wp:wrapNone/>
                  <wp:docPr id="1872" name="Picture_44_SpCnt_22"/>
                  <wp:cNvGraphicFramePr/>
                  <a:graphic xmlns:a="http://schemas.openxmlformats.org/drawingml/2006/main">
                    <a:graphicData uri="http://schemas.openxmlformats.org/drawingml/2006/picture">
                      <pic:pic xmlns:pic="http://schemas.openxmlformats.org/drawingml/2006/picture">
                        <pic:nvPicPr>
                          <pic:cNvPr id="1872" name="Picture_44_SpCnt_22"/>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9525" cy="20955"/>
                  <wp:effectExtent l="0" t="0" r="0" b="0"/>
                  <wp:wrapNone/>
                  <wp:docPr id="1873" name="Picture_23_SpCnt_17"/>
                  <wp:cNvGraphicFramePr/>
                  <a:graphic xmlns:a="http://schemas.openxmlformats.org/drawingml/2006/main">
                    <a:graphicData uri="http://schemas.openxmlformats.org/drawingml/2006/picture">
                      <pic:pic xmlns:pic="http://schemas.openxmlformats.org/drawingml/2006/picture">
                        <pic:nvPicPr>
                          <pic:cNvPr id="1873" name="Picture_23_SpCnt_17"/>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41184" behindDoc="0" locked="0" layoutInCell="1" allowOverlap="1">
                  <wp:simplePos x="0" y="0"/>
                  <wp:positionH relativeFrom="column">
                    <wp:posOffset>0</wp:posOffset>
                  </wp:positionH>
                  <wp:positionV relativeFrom="paragraph">
                    <wp:posOffset>0</wp:posOffset>
                  </wp:positionV>
                  <wp:extent cx="9525" cy="20955"/>
                  <wp:effectExtent l="0" t="0" r="0" b="0"/>
                  <wp:wrapNone/>
                  <wp:docPr id="1874" name="Picture_22_SpCnt_18"/>
                  <wp:cNvGraphicFramePr/>
                  <a:graphic xmlns:a="http://schemas.openxmlformats.org/drawingml/2006/main">
                    <a:graphicData uri="http://schemas.openxmlformats.org/drawingml/2006/picture">
                      <pic:pic xmlns:pic="http://schemas.openxmlformats.org/drawingml/2006/picture">
                        <pic:nvPicPr>
                          <pic:cNvPr id="1874" name="Picture_22_SpCnt_18"/>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9525" cy="20955"/>
                  <wp:effectExtent l="0" t="0" r="0" b="0"/>
                  <wp:wrapNone/>
                  <wp:docPr id="1875" name="Picture_45_SpCnt_18"/>
                  <wp:cNvGraphicFramePr/>
                  <a:graphic xmlns:a="http://schemas.openxmlformats.org/drawingml/2006/main">
                    <a:graphicData uri="http://schemas.openxmlformats.org/drawingml/2006/picture">
                      <pic:pic xmlns:pic="http://schemas.openxmlformats.org/drawingml/2006/picture">
                        <pic:nvPicPr>
                          <pic:cNvPr id="1875" name="Picture_45_SpCnt_18"/>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43232" behindDoc="0" locked="0" layoutInCell="1" allowOverlap="1">
                  <wp:simplePos x="0" y="0"/>
                  <wp:positionH relativeFrom="column">
                    <wp:posOffset>0</wp:posOffset>
                  </wp:positionH>
                  <wp:positionV relativeFrom="paragraph">
                    <wp:posOffset>0</wp:posOffset>
                  </wp:positionV>
                  <wp:extent cx="9525" cy="20955"/>
                  <wp:effectExtent l="0" t="0" r="0" b="0"/>
                  <wp:wrapNone/>
                  <wp:docPr id="1876" name="Picture_44_SpCnt_23"/>
                  <wp:cNvGraphicFramePr/>
                  <a:graphic xmlns:a="http://schemas.openxmlformats.org/drawingml/2006/main">
                    <a:graphicData uri="http://schemas.openxmlformats.org/drawingml/2006/picture">
                      <pic:pic xmlns:pic="http://schemas.openxmlformats.org/drawingml/2006/picture">
                        <pic:nvPicPr>
                          <pic:cNvPr id="1876" name="Picture_44_SpCnt_23"/>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44256" behindDoc="0" locked="0" layoutInCell="1" allowOverlap="1">
                  <wp:simplePos x="0" y="0"/>
                  <wp:positionH relativeFrom="column">
                    <wp:posOffset>0</wp:posOffset>
                  </wp:positionH>
                  <wp:positionV relativeFrom="paragraph">
                    <wp:posOffset>0</wp:posOffset>
                  </wp:positionV>
                  <wp:extent cx="9525" cy="20955"/>
                  <wp:effectExtent l="0" t="0" r="0" b="0"/>
                  <wp:wrapNone/>
                  <wp:docPr id="1877" name="Picture_23_SpCnt_18"/>
                  <wp:cNvGraphicFramePr/>
                  <a:graphic xmlns:a="http://schemas.openxmlformats.org/drawingml/2006/main">
                    <a:graphicData uri="http://schemas.openxmlformats.org/drawingml/2006/picture">
                      <pic:pic xmlns:pic="http://schemas.openxmlformats.org/drawingml/2006/picture">
                        <pic:nvPicPr>
                          <pic:cNvPr id="1877" name="Picture_23_SpCnt_18"/>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45280" behindDoc="0" locked="0" layoutInCell="1" allowOverlap="1">
                  <wp:simplePos x="0" y="0"/>
                  <wp:positionH relativeFrom="column">
                    <wp:posOffset>0</wp:posOffset>
                  </wp:positionH>
                  <wp:positionV relativeFrom="paragraph">
                    <wp:posOffset>0</wp:posOffset>
                  </wp:positionV>
                  <wp:extent cx="9525" cy="20955"/>
                  <wp:effectExtent l="0" t="0" r="0" b="0"/>
                  <wp:wrapNone/>
                  <wp:docPr id="1878" name="Picture_22_SpCnt_19"/>
                  <wp:cNvGraphicFramePr/>
                  <a:graphic xmlns:a="http://schemas.openxmlformats.org/drawingml/2006/main">
                    <a:graphicData uri="http://schemas.openxmlformats.org/drawingml/2006/picture">
                      <pic:pic xmlns:pic="http://schemas.openxmlformats.org/drawingml/2006/picture">
                        <pic:nvPicPr>
                          <pic:cNvPr id="1878" name="Picture_22_SpCnt_19"/>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46304" behindDoc="0" locked="0" layoutInCell="1" allowOverlap="1">
                  <wp:simplePos x="0" y="0"/>
                  <wp:positionH relativeFrom="column">
                    <wp:posOffset>0</wp:posOffset>
                  </wp:positionH>
                  <wp:positionV relativeFrom="paragraph">
                    <wp:posOffset>0</wp:posOffset>
                  </wp:positionV>
                  <wp:extent cx="9525" cy="20955"/>
                  <wp:effectExtent l="0" t="0" r="0" b="0"/>
                  <wp:wrapNone/>
                  <wp:docPr id="1879" name="Picture_45_SpCnt_19"/>
                  <wp:cNvGraphicFramePr/>
                  <a:graphic xmlns:a="http://schemas.openxmlformats.org/drawingml/2006/main">
                    <a:graphicData uri="http://schemas.openxmlformats.org/drawingml/2006/picture">
                      <pic:pic xmlns:pic="http://schemas.openxmlformats.org/drawingml/2006/picture">
                        <pic:nvPicPr>
                          <pic:cNvPr id="1879" name="Picture_45_SpCnt_19"/>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47328" behindDoc="0" locked="0" layoutInCell="1" allowOverlap="1">
                  <wp:simplePos x="0" y="0"/>
                  <wp:positionH relativeFrom="column">
                    <wp:posOffset>0</wp:posOffset>
                  </wp:positionH>
                  <wp:positionV relativeFrom="paragraph">
                    <wp:posOffset>0</wp:posOffset>
                  </wp:positionV>
                  <wp:extent cx="9525" cy="20955"/>
                  <wp:effectExtent l="0" t="0" r="0" b="0"/>
                  <wp:wrapNone/>
                  <wp:docPr id="1880" name="Picture_44_SpCnt_24"/>
                  <wp:cNvGraphicFramePr/>
                  <a:graphic xmlns:a="http://schemas.openxmlformats.org/drawingml/2006/main">
                    <a:graphicData uri="http://schemas.openxmlformats.org/drawingml/2006/picture">
                      <pic:pic xmlns:pic="http://schemas.openxmlformats.org/drawingml/2006/picture">
                        <pic:nvPicPr>
                          <pic:cNvPr id="1880" name="Picture_44_SpCnt_24"/>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9525" cy="20955"/>
                  <wp:effectExtent l="0" t="0" r="0" b="0"/>
                  <wp:wrapNone/>
                  <wp:docPr id="1881" name="Picture_23_SpCnt_19"/>
                  <wp:cNvGraphicFramePr/>
                  <a:graphic xmlns:a="http://schemas.openxmlformats.org/drawingml/2006/main">
                    <a:graphicData uri="http://schemas.openxmlformats.org/drawingml/2006/picture">
                      <pic:pic xmlns:pic="http://schemas.openxmlformats.org/drawingml/2006/picture">
                        <pic:nvPicPr>
                          <pic:cNvPr id="1881" name="Picture_23_SpCnt_19"/>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9525" cy="20955"/>
                  <wp:effectExtent l="0" t="0" r="0" b="0"/>
                  <wp:wrapNone/>
                  <wp:docPr id="1882" name="Picture_22_SpCnt_20"/>
                  <wp:cNvGraphicFramePr/>
                  <a:graphic xmlns:a="http://schemas.openxmlformats.org/drawingml/2006/main">
                    <a:graphicData uri="http://schemas.openxmlformats.org/drawingml/2006/picture">
                      <pic:pic xmlns:pic="http://schemas.openxmlformats.org/drawingml/2006/picture">
                        <pic:nvPicPr>
                          <pic:cNvPr id="1882" name="Picture_22_SpCnt_20"/>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9525" cy="20955"/>
                  <wp:effectExtent l="0" t="0" r="0" b="0"/>
                  <wp:wrapNone/>
                  <wp:docPr id="1883" name="Picture_45_SpCnt_20"/>
                  <wp:cNvGraphicFramePr/>
                  <a:graphic xmlns:a="http://schemas.openxmlformats.org/drawingml/2006/main">
                    <a:graphicData uri="http://schemas.openxmlformats.org/drawingml/2006/picture">
                      <pic:pic xmlns:pic="http://schemas.openxmlformats.org/drawingml/2006/picture">
                        <pic:nvPicPr>
                          <pic:cNvPr id="1883" name="Picture_45_SpCnt_20"/>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9525" cy="20955"/>
                  <wp:effectExtent l="0" t="0" r="0" b="0"/>
                  <wp:wrapNone/>
                  <wp:docPr id="1884" name="Picture_44_SpCnt_25"/>
                  <wp:cNvGraphicFramePr/>
                  <a:graphic xmlns:a="http://schemas.openxmlformats.org/drawingml/2006/main">
                    <a:graphicData uri="http://schemas.openxmlformats.org/drawingml/2006/picture">
                      <pic:pic xmlns:pic="http://schemas.openxmlformats.org/drawingml/2006/picture">
                        <pic:nvPicPr>
                          <pic:cNvPr id="1884" name="Picture_44_SpCnt_25"/>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52448" behindDoc="0" locked="0" layoutInCell="1" allowOverlap="1">
                  <wp:simplePos x="0" y="0"/>
                  <wp:positionH relativeFrom="column">
                    <wp:posOffset>0</wp:posOffset>
                  </wp:positionH>
                  <wp:positionV relativeFrom="paragraph">
                    <wp:posOffset>0</wp:posOffset>
                  </wp:positionV>
                  <wp:extent cx="9525" cy="20955"/>
                  <wp:effectExtent l="0" t="0" r="0" b="0"/>
                  <wp:wrapNone/>
                  <wp:docPr id="1885" name="Picture_23_SpCnt_20"/>
                  <wp:cNvGraphicFramePr/>
                  <a:graphic xmlns:a="http://schemas.openxmlformats.org/drawingml/2006/main">
                    <a:graphicData uri="http://schemas.openxmlformats.org/drawingml/2006/picture">
                      <pic:pic xmlns:pic="http://schemas.openxmlformats.org/drawingml/2006/picture">
                        <pic:nvPicPr>
                          <pic:cNvPr id="1885" name="Picture_23_SpCnt_20"/>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53472" behindDoc="0" locked="0" layoutInCell="1" allowOverlap="1">
                  <wp:simplePos x="0" y="0"/>
                  <wp:positionH relativeFrom="column">
                    <wp:posOffset>0</wp:posOffset>
                  </wp:positionH>
                  <wp:positionV relativeFrom="paragraph">
                    <wp:posOffset>0</wp:posOffset>
                  </wp:positionV>
                  <wp:extent cx="9525" cy="20955"/>
                  <wp:effectExtent l="0" t="0" r="0" b="0"/>
                  <wp:wrapNone/>
                  <wp:docPr id="1886" name="Picture_22_SpCnt_21"/>
                  <wp:cNvGraphicFramePr/>
                  <a:graphic xmlns:a="http://schemas.openxmlformats.org/drawingml/2006/main">
                    <a:graphicData uri="http://schemas.openxmlformats.org/drawingml/2006/picture">
                      <pic:pic xmlns:pic="http://schemas.openxmlformats.org/drawingml/2006/picture">
                        <pic:nvPicPr>
                          <pic:cNvPr id="1886" name="Picture_22_SpCnt_21"/>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54496" behindDoc="0" locked="0" layoutInCell="1" allowOverlap="1">
                  <wp:simplePos x="0" y="0"/>
                  <wp:positionH relativeFrom="column">
                    <wp:posOffset>0</wp:posOffset>
                  </wp:positionH>
                  <wp:positionV relativeFrom="paragraph">
                    <wp:posOffset>0</wp:posOffset>
                  </wp:positionV>
                  <wp:extent cx="9525" cy="20955"/>
                  <wp:effectExtent l="0" t="0" r="0" b="0"/>
                  <wp:wrapNone/>
                  <wp:docPr id="1887" name="Picture_45_SpCnt_21"/>
                  <wp:cNvGraphicFramePr/>
                  <a:graphic xmlns:a="http://schemas.openxmlformats.org/drawingml/2006/main">
                    <a:graphicData uri="http://schemas.openxmlformats.org/drawingml/2006/picture">
                      <pic:pic xmlns:pic="http://schemas.openxmlformats.org/drawingml/2006/picture">
                        <pic:nvPicPr>
                          <pic:cNvPr id="1887" name="Picture_45_SpCnt_21"/>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55520" behindDoc="0" locked="0" layoutInCell="1" allowOverlap="1">
                  <wp:simplePos x="0" y="0"/>
                  <wp:positionH relativeFrom="column">
                    <wp:posOffset>0</wp:posOffset>
                  </wp:positionH>
                  <wp:positionV relativeFrom="paragraph">
                    <wp:posOffset>0</wp:posOffset>
                  </wp:positionV>
                  <wp:extent cx="9525" cy="20955"/>
                  <wp:effectExtent l="0" t="0" r="0" b="0"/>
                  <wp:wrapNone/>
                  <wp:docPr id="1888" name="Picture_44_SpCnt_26"/>
                  <wp:cNvGraphicFramePr/>
                  <a:graphic xmlns:a="http://schemas.openxmlformats.org/drawingml/2006/main">
                    <a:graphicData uri="http://schemas.openxmlformats.org/drawingml/2006/picture">
                      <pic:pic xmlns:pic="http://schemas.openxmlformats.org/drawingml/2006/picture">
                        <pic:nvPicPr>
                          <pic:cNvPr id="1888" name="Picture_44_SpCnt_26"/>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56544" behindDoc="0" locked="0" layoutInCell="1" allowOverlap="1">
                  <wp:simplePos x="0" y="0"/>
                  <wp:positionH relativeFrom="column">
                    <wp:posOffset>0</wp:posOffset>
                  </wp:positionH>
                  <wp:positionV relativeFrom="paragraph">
                    <wp:posOffset>0</wp:posOffset>
                  </wp:positionV>
                  <wp:extent cx="9525" cy="20955"/>
                  <wp:effectExtent l="0" t="0" r="0" b="0"/>
                  <wp:wrapNone/>
                  <wp:docPr id="1889" name="Picture_23_SpCnt_21"/>
                  <wp:cNvGraphicFramePr/>
                  <a:graphic xmlns:a="http://schemas.openxmlformats.org/drawingml/2006/main">
                    <a:graphicData uri="http://schemas.openxmlformats.org/drawingml/2006/picture">
                      <pic:pic xmlns:pic="http://schemas.openxmlformats.org/drawingml/2006/picture">
                        <pic:nvPicPr>
                          <pic:cNvPr id="1889" name="Picture_23_SpCnt_21"/>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9525" cy="20955"/>
                  <wp:effectExtent l="0" t="0" r="0" b="0"/>
                  <wp:wrapNone/>
                  <wp:docPr id="1890" name="Picture_22_SpCnt_22"/>
                  <wp:cNvGraphicFramePr/>
                  <a:graphic xmlns:a="http://schemas.openxmlformats.org/drawingml/2006/main">
                    <a:graphicData uri="http://schemas.openxmlformats.org/drawingml/2006/picture">
                      <pic:pic xmlns:pic="http://schemas.openxmlformats.org/drawingml/2006/picture">
                        <pic:nvPicPr>
                          <pic:cNvPr id="1890" name="Picture_22_SpCnt_22"/>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9525" cy="20955"/>
                  <wp:effectExtent l="0" t="0" r="0" b="0"/>
                  <wp:wrapNone/>
                  <wp:docPr id="1891" name="Picture_45_SpCnt_22"/>
                  <wp:cNvGraphicFramePr/>
                  <a:graphic xmlns:a="http://schemas.openxmlformats.org/drawingml/2006/main">
                    <a:graphicData uri="http://schemas.openxmlformats.org/drawingml/2006/picture">
                      <pic:pic xmlns:pic="http://schemas.openxmlformats.org/drawingml/2006/picture">
                        <pic:nvPicPr>
                          <pic:cNvPr id="1891" name="Picture_45_SpCnt_22"/>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9525" cy="20955"/>
                  <wp:effectExtent l="0" t="0" r="0" b="0"/>
                  <wp:wrapNone/>
                  <wp:docPr id="1892" name="Picture_44_SpCnt_27"/>
                  <wp:cNvGraphicFramePr/>
                  <a:graphic xmlns:a="http://schemas.openxmlformats.org/drawingml/2006/main">
                    <a:graphicData uri="http://schemas.openxmlformats.org/drawingml/2006/picture">
                      <pic:pic xmlns:pic="http://schemas.openxmlformats.org/drawingml/2006/picture">
                        <pic:nvPicPr>
                          <pic:cNvPr id="1892" name="Picture_44_SpCnt_27"/>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9525" cy="20955"/>
                  <wp:effectExtent l="0" t="0" r="0" b="0"/>
                  <wp:wrapNone/>
                  <wp:docPr id="1893" name="Picture_23_SpCnt_22"/>
                  <wp:cNvGraphicFramePr/>
                  <a:graphic xmlns:a="http://schemas.openxmlformats.org/drawingml/2006/main">
                    <a:graphicData uri="http://schemas.openxmlformats.org/drawingml/2006/picture">
                      <pic:pic xmlns:pic="http://schemas.openxmlformats.org/drawingml/2006/picture">
                        <pic:nvPicPr>
                          <pic:cNvPr id="1893" name="Picture_23_SpCnt_22"/>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61664" behindDoc="0" locked="0" layoutInCell="1" allowOverlap="1">
                  <wp:simplePos x="0" y="0"/>
                  <wp:positionH relativeFrom="column">
                    <wp:posOffset>0</wp:posOffset>
                  </wp:positionH>
                  <wp:positionV relativeFrom="paragraph">
                    <wp:posOffset>0</wp:posOffset>
                  </wp:positionV>
                  <wp:extent cx="9525" cy="20955"/>
                  <wp:effectExtent l="0" t="0" r="0" b="0"/>
                  <wp:wrapNone/>
                  <wp:docPr id="1894" name="Picture_22_SpCnt_23"/>
                  <wp:cNvGraphicFramePr/>
                  <a:graphic xmlns:a="http://schemas.openxmlformats.org/drawingml/2006/main">
                    <a:graphicData uri="http://schemas.openxmlformats.org/drawingml/2006/picture">
                      <pic:pic xmlns:pic="http://schemas.openxmlformats.org/drawingml/2006/picture">
                        <pic:nvPicPr>
                          <pic:cNvPr id="1894" name="Picture_22_SpCnt_23"/>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9525" cy="20955"/>
                  <wp:effectExtent l="0" t="0" r="0" b="0"/>
                  <wp:wrapNone/>
                  <wp:docPr id="1895" name="Picture_45_SpCnt_23"/>
                  <wp:cNvGraphicFramePr/>
                  <a:graphic xmlns:a="http://schemas.openxmlformats.org/drawingml/2006/main">
                    <a:graphicData uri="http://schemas.openxmlformats.org/drawingml/2006/picture">
                      <pic:pic xmlns:pic="http://schemas.openxmlformats.org/drawingml/2006/picture">
                        <pic:nvPicPr>
                          <pic:cNvPr id="1895" name="Picture_45_SpCnt_23"/>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9525" cy="20955"/>
                  <wp:effectExtent l="0" t="0" r="0" b="0"/>
                  <wp:wrapNone/>
                  <wp:docPr id="1896" name="Picture_44_SpCnt_28"/>
                  <wp:cNvGraphicFramePr/>
                  <a:graphic xmlns:a="http://schemas.openxmlformats.org/drawingml/2006/main">
                    <a:graphicData uri="http://schemas.openxmlformats.org/drawingml/2006/picture">
                      <pic:pic xmlns:pic="http://schemas.openxmlformats.org/drawingml/2006/picture">
                        <pic:nvPicPr>
                          <pic:cNvPr id="1896" name="Picture_44_SpCnt_28"/>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64736" behindDoc="0" locked="0" layoutInCell="1" allowOverlap="1">
                  <wp:simplePos x="0" y="0"/>
                  <wp:positionH relativeFrom="column">
                    <wp:posOffset>0</wp:posOffset>
                  </wp:positionH>
                  <wp:positionV relativeFrom="paragraph">
                    <wp:posOffset>0</wp:posOffset>
                  </wp:positionV>
                  <wp:extent cx="9525" cy="20955"/>
                  <wp:effectExtent l="0" t="0" r="0" b="0"/>
                  <wp:wrapNone/>
                  <wp:docPr id="1897" name="Picture_23_SpCnt_23"/>
                  <wp:cNvGraphicFramePr/>
                  <a:graphic xmlns:a="http://schemas.openxmlformats.org/drawingml/2006/main">
                    <a:graphicData uri="http://schemas.openxmlformats.org/drawingml/2006/picture">
                      <pic:pic xmlns:pic="http://schemas.openxmlformats.org/drawingml/2006/picture">
                        <pic:nvPicPr>
                          <pic:cNvPr id="1897" name="Picture_23_SpCnt_23"/>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9525" cy="20955"/>
                  <wp:effectExtent l="0" t="0" r="0" b="0"/>
                  <wp:wrapNone/>
                  <wp:docPr id="1898" name="Picture_22_SpCnt_24"/>
                  <wp:cNvGraphicFramePr/>
                  <a:graphic xmlns:a="http://schemas.openxmlformats.org/drawingml/2006/main">
                    <a:graphicData uri="http://schemas.openxmlformats.org/drawingml/2006/picture">
                      <pic:pic xmlns:pic="http://schemas.openxmlformats.org/drawingml/2006/picture">
                        <pic:nvPicPr>
                          <pic:cNvPr id="1898" name="Picture_22_SpCnt_24"/>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66784" behindDoc="0" locked="0" layoutInCell="1" allowOverlap="1">
                  <wp:simplePos x="0" y="0"/>
                  <wp:positionH relativeFrom="column">
                    <wp:posOffset>0</wp:posOffset>
                  </wp:positionH>
                  <wp:positionV relativeFrom="paragraph">
                    <wp:posOffset>0</wp:posOffset>
                  </wp:positionV>
                  <wp:extent cx="9525" cy="20955"/>
                  <wp:effectExtent l="0" t="0" r="0" b="0"/>
                  <wp:wrapNone/>
                  <wp:docPr id="1899" name="Picture_45_SpCnt_24"/>
                  <wp:cNvGraphicFramePr/>
                  <a:graphic xmlns:a="http://schemas.openxmlformats.org/drawingml/2006/main">
                    <a:graphicData uri="http://schemas.openxmlformats.org/drawingml/2006/picture">
                      <pic:pic xmlns:pic="http://schemas.openxmlformats.org/drawingml/2006/picture">
                        <pic:nvPicPr>
                          <pic:cNvPr id="1899" name="Picture_45_SpCnt_24"/>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67808" behindDoc="0" locked="0" layoutInCell="1" allowOverlap="1">
                  <wp:simplePos x="0" y="0"/>
                  <wp:positionH relativeFrom="column">
                    <wp:posOffset>0</wp:posOffset>
                  </wp:positionH>
                  <wp:positionV relativeFrom="paragraph">
                    <wp:posOffset>0</wp:posOffset>
                  </wp:positionV>
                  <wp:extent cx="9525" cy="20955"/>
                  <wp:effectExtent l="0" t="0" r="0" b="0"/>
                  <wp:wrapNone/>
                  <wp:docPr id="1900" name="Picture_44_SpCnt_29"/>
                  <wp:cNvGraphicFramePr/>
                  <a:graphic xmlns:a="http://schemas.openxmlformats.org/drawingml/2006/main">
                    <a:graphicData uri="http://schemas.openxmlformats.org/drawingml/2006/picture">
                      <pic:pic xmlns:pic="http://schemas.openxmlformats.org/drawingml/2006/picture">
                        <pic:nvPicPr>
                          <pic:cNvPr id="1900" name="Picture_44_SpCnt_29"/>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68832" behindDoc="0" locked="0" layoutInCell="1" allowOverlap="1">
                  <wp:simplePos x="0" y="0"/>
                  <wp:positionH relativeFrom="column">
                    <wp:posOffset>0</wp:posOffset>
                  </wp:positionH>
                  <wp:positionV relativeFrom="paragraph">
                    <wp:posOffset>0</wp:posOffset>
                  </wp:positionV>
                  <wp:extent cx="9525" cy="20955"/>
                  <wp:effectExtent l="0" t="0" r="0" b="0"/>
                  <wp:wrapNone/>
                  <wp:docPr id="1901" name="Picture_23_SpCnt_24"/>
                  <wp:cNvGraphicFramePr/>
                  <a:graphic xmlns:a="http://schemas.openxmlformats.org/drawingml/2006/main">
                    <a:graphicData uri="http://schemas.openxmlformats.org/drawingml/2006/picture">
                      <pic:pic xmlns:pic="http://schemas.openxmlformats.org/drawingml/2006/picture">
                        <pic:nvPicPr>
                          <pic:cNvPr id="1901" name="Picture_23_SpCnt_24"/>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69856" behindDoc="0" locked="0" layoutInCell="1" allowOverlap="1">
                  <wp:simplePos x="0" y="0"/>
                  <wp:positionH relativeFrom="column">
                    <wp:posOffset>0</wp:posOffset>
                  </wp:positionH>
                  <wp:positionV relativeFrom="paragraph">
                    <wp:posOffset>0</wp:posOffset>
                  </wp:positionV>
                  <wp:extent cx="9525" cy="20955"/>
                  <wp:effectExtent l="0" t="0" r="0" b="0"/>
                  <wp:wrapNone/>
                  <wp:docPr id="1902" name="Picture_22_SpCnt_25"/>
                  <wp:cNvGraphicFramePr/>
                  <a:graphic xmlns:a="http://schemas.openxmlformats.org/drawingml/2006/main">
                    <a:graphicData uri="http://schemas.openxmlformats.org/drawingml/2006/picture">
                      <pic:pic xmlns:pic="http://schemas.openxmlformats.org/drawingml/2006/picture">
                        <pic:nvPicPr>
                          <pic:cNvPr id="1902" name="Picture_22_SpCnt_25"/>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9525" cy="20955"/>
                  <wp:effectExtent l="0" t="0" r="0" b="0"/>
                  <wp:wrapNone/>
                  <wp:docPr id="1903" name="Picture_45_SpCnt_25"/>
                  <wp:cNvGraphicFramePr/>
                  <a:graphic xmlns:a="http://schemas.openxmlformats.org/drawingml/2006/main">
                    <a:graphicData uri="http://schemas.openxmlformats.org/drawingml/2006/picture">
                      <pic:pic xmlns:pic="http://schemas.openxmlformats.org/drawingml/2006/picture">
                        <pic:nvPicPr>
                          <pic:cNvPr id="1903" name="Picture_45_SpCnt_25"/>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9525" cy="20955"/>
                  <wp:effectExtent l="0" t="0" r="0" b="0"/>
                  <wp:wrapNone/>
                  <wp:docPr id="1904" name="Picture_44_SpCnt_30"/>
                  <wp:cNvGraphicFramePr/>
                  <a:graphic xmlns:a="http://schemas.openxmlformats.org/drawingml/2006/main">
                    <a:graphicData uri="http://schemas.openxmlformats.org/drawingml/2006/picture">
                      <pic:pic xmlns:pic="http://schemas.openxmlformats.org/drawingml/2006/picture">
                        <pic:nvPicPr>
                          <pic:cNvPr id="1904" name="Picture_44_SpCnt_30"/>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9525" cy="20955"/>
                  <wp:effectExtent l="0" t="0" r="0" b="0"/>
                  <wp:wrapNone/>
                  <wp:docPr id="1905" name="Picture_23_SpCnt_25"/>
                  <wp:cNvGraphicFramePr/>
                  <a:graphic xmlns:a="http://schemas.openxmlformats.org/drawingml/2006/main">
                    <a:graphicData uri="http://schemas.openxmlformats.org/drawingml/2006/picture">
                      <pic:pic xmlns:pic="http://schemas.openxmlformats.org/drawingml/2006/picture">
                        <pic:nvPicPr>
                          <pic:cNvPr id="1905" name="Picture_23_SpCnt_25"/>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9525" cy="20955"/>
                  <wp:effectExtent l="0" t="0" r="0" b="0"/>
                  <wp:wrapNone/>
                  <wp:docPr id="1906" name="Picture_22_SpCnt_26"/>
                  <wp:cNvGraphicFramePr/>
                  <a:graphic xmlns:a="http://schemas.openxmlformats.org/drawingml/2006/main">
                    <a:graphicData uri="http://schemas.openxmlformats.org/drawingml/2006/picture">
                      <pic:pic xmlns:pic="http://schemas.openxmlformats.org/drawingml/2006/picture">
                        <pic:nvPicPr>
                          <pic:cNvPr id="1906" name="Picture_22_SpCnt_26"/>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9525" cy="20955"/>
                  <wp:effectExtent l="0" t="0" r="0" b="0"/>
                  <wp:wrapNone/>
                  <wp:docPr id="1907" name="Picture_45_SpCnt_26"/>
                  <wp:cNvGraphicFramePr/>
                  <a:graphic xmlns:a="http://schemas.openxmlformats.org/drawingml/2006/main">
                    <a:graphicData uri="http://schemas.openxmlformats.org/drawingml/2006/picture">
                      <pic:pic xmlns:pic="http://schemas.openxmlformats.org/drawingml/2006/picture">
                        <pic:nvPicPr>
                          <pic:cNvPr id="1907" name="Picture_45_SpCnt_26"/>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9525" cy="20955"/>
                  <wp:effectExtent l="0" t="0" r="0" b="0"/>
                  <wp:wrapNone/>
                  <wp:docPr id="1908" name="Picture_44_SpCnt_31"/>
                  <wp:cNvGraphicFramePr/>
                  <a:graphic xmlns:a="http://schemas.openxmlformats.org/drawingml/2006/main">
                    <a:graphicData uri="http://schemas.openxmlformats.org/drawingml/2006/picture">
                      <pic:pic xmlns:pic="http://schemas.openxmlformats.org/drawingml/2006/picture">
                        <pic:nvPicPr>
                          <pic:cNvPr id="1908" name="Picture_44_SpCnt_31"/>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9525" cy="20955"/>
                  <wp:effectExtent l="0" t="0" r="0" b="0"/>
                  <wp:wrapNone/>
                  <wp:docPr id="1909" name="Picture_23_SpCnt_26"/>
                  <wp:cNvGraphicFramePr/>
                  <a:graphic xmlns:a="http://schemas.openxmlformats.org/drawingml/2006/main">
                    <a:graphicData uri="http://schemas.openxmlformats.org/drawingml/2006/picture">
                      <pic:pic xmlns:pic="http://schemas.openxmlformats.org/drawingml/2006/picture">
                        <pic:nvPicPr>
                          <pic:cNvPr id="1909" name="Picture_23_SpCnt_26"/>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9525" cy="20955"/>
                  <wp:effectExtent l="0" t="0" r="0" b="0"/>
                  <wp:wrapNone/>
                  <wp:docPr id="1910" name="Picture_22_SpCnt_27"/>
                  <wp:cNvGraphicFramePr/>
                  <a:graphic xmlns:a="http://schemas.openxmlformats.org/drawingml/2006/main">
                    <a:graphicData uri="http://schemas.openxmlformats.org/drawingml/2006/picture">
                      <pic:pic xmlns:pic="http://schemas.openxmlformats.org/drawingml/2006/picture">
                        <pic:nvPicPr>
                          <pic:cNvPr id="1910" name="Picture_22_SpCnt_27"/>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79072" behindDoc="0" locked="0" layoutInCell="1" allowOverlap="1">
                  <wp:simplePos x="0" y="0"/>
                  <wp:positionH relativeFrom="column">
                    <wp:posOffset>0</wp:posOffset>
                  </wp:positionH>
                  <wp:positionV relativeFrom="paragraph">
                    <wp:posOffset>0</wp:posOffset>
                  </wp:positionV>
                  <wp:extent cx="9525" cy="20955"/>
                  <wp:effectExtent l="0" t="0" r="0" b="0"/>
                  <wp:wrapNone/>
                  <wp:docPr id="1911" name="Picture_45_SpCnt_27"/>
                  <wp:cNvGraphicFramePr/>
                  <a:graphic xmlns:a="http://schemas.openxmlformats.org/drawingml/2006/main">
                    <a:graphicData uri="http://schemas.openxmlformats.org/drawingml/2006/picture">
                      <pic:pic xmlns:pic="http://schemas.openxmlformats.org/drawingml/2006/picture">
                        <pic:nvPicPr>
                          <pic:cNvPr id="1911" name="Picture_45_SpCnt_27"/>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80096" behindDoc="0" locked="0" layoutInCell="1" allowOverlap="1">
                  <wp:simplePos x="0" y="0"/>
                  <wp:positionH relativeFrom="column">
                    <wp:posOffset>0</wp:posOffset>
                  </wp:positionH>
                  <wp:positionV relativeFrom="paragraph">
                    <wp:posOffset>0</wp:posOffset>
                  </wp:positionV>
                  <wp:extent cx="9525" cy="20955"/>
                  <wp:effectExtent l="0" t="0" r="0" b="0"/>
                  <wp:wrapNone/>
                  <wp:docPr id="1912" name="Picture_44_SpCnt_32"/>
                  <wp:cNvGraphicFramePr/>
                  <a:graphic xmlns:a="http://schemas.openxmlformats.org/drawingml/2006/main">
                    <a:graphicData uri="http://schemas.openxmlformats.org/drawingml/2006/picture">
                      <pic:pic xmlns:pic="http://schemas.openxmlformats.org/drawingml/2006/picture">
                        <pic:nvPicPr>
                          <pic:cNvPr id="1912" name="Picture_44_SpCnt_32"/>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81120" behindDoc="0" locked="0" layoutInCell="1" allowOverlap="1">
                  <wp:simplePos x="0" y="0"/>
                  <wp:positionH relativeFrom="column">
                    <wp:posOffset>0</wp:posOffset>
                  </wp:positionH>
                  <wp:positionV relativeFrom="paragraph">
                    <wp:posOffset>0</wp:posOffset>
                  </wp:positionV>
                  <wp:extent cx="9525" cy="20955"/>
                  <wp:effectExtent l="0" t="0" r="0" b="0"/>
                  <wp:wrapNone/>
                  <wp:docPr id="1913" name="Picture_23_SpCnt_27"/>
                  <wp:cNvGraphicFramePr/>
                  <a:graphic xmlns:a="http://schemas.openxmlformats.org/drawingml/2006/main">
                    <a:graphicData uri="http://schemas.openxmlformats.org/drawingml/2006/picture">
                      <pic:pic xmlns:pic="http://schemas.openxmlformats.org/drawingml/2006/picture">
                        <pic:nvPicPr>
                          <pic:cNvPr id="1913" name="Picture_23_SpCnt_27"/>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82144" behindDoc="0" locked="0" layoutInCell="1" allowOverlap="1">
                  <wp:simplePos x="0" y="0"/>
                  <wp:positionH relativeFrom="column">
                    <wp:posOffset>0</wp:posOffset>
                  </wp:positionH>
                  <wp:positionV relativeFrom="paragraph">
                    <wp:posOffset>0</wp:posOffset>
                  </wp:positionV>
                  <wp:extent cx="9525" cy="20955"/>
                  <wp:effectExtent l="0" t="0" r="0" b="0"/>
                  <wp:wrapNone/>
                  <wp:docPr id="1914" name="Picture_22_SpCnt_28"/>
                  <wp:cNvGraphicFramePr/>
                  <a:graphic xmlns:a="http://schemas.openxmlformats.org/drawingml/2006/main">
                    <a:graphicData uri="http://schemas.openxmlformats.org/drawingml/2006/picture">
                      <pic:pic xmlns:pic="http://schemas.openxmlformats.org/drawingml/2006/picture">
                        <pic:nvPicPr>
                          <pic:cNvPr id="1914" name="Picture_22_SpCnt_28"/>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83168" behindDoc="0" locked="0" layoutInCell="1" allowOverlap="1">
                  <wp:simplePos x="0" y="0"/>
                  <wp:positionH relativeFrom="column">
                    <wp:posOffset>0</wp:posOffset>
                  </wp:positionH>
                  <wp:positionV relativeFrom="paragraph">
                    <wp:posOffset>0</wp:posOffset>
                  </wp:positionV>
                  <wp:extent cx="9525" cy="20955"/>
                  <wp:effectExtent l="0" t="0" r="0" b="0"/>
                  <wp:wrapNone/>
                  <wp:docPr id="1915" name="Picture_45_SpCnt_28"/>
                  <wp:cNvGraphicFramePr/>
                  <a:graphic xmlns:a="http://schemas.openxmlformats.org/drawingml/2006/main">
                    <a:graphicData uri="http://schemas.openxmlformats.org/drawingml/2006/picture">
                      <pic:pic xmlns:pic="http://schemas.openxmlformats.org/drawingml/2006/picture">
                        <pic:nvPicPr>
                          <pic:cNvPr id="1915" name="Picture_45_SpCnt_28"/>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84192" behindDoc="0" locked="0" layoutInCell="1" allowOverlap="1">
                  <wp:simplePos x="0" y="0"/>
                  <wp:positionH relativeFrom="column">
                    <wp:posOffset>0</wp:posOffset>
                  </wp:positionH>
                  <wp:positionV relativeFrom="paragraph">
                    <wp:posOffset>0</wp:posOffset>
                  </wp:positionV>
                  <wp:extent cx="9525" cy="20955"/>
                  <wp:effectExtent l="0" t="0" r="0" b="0"/>
                  <wp:wrapNone/>
                  <wp:docPr id="1916" name="Picture_44_SpCnt_33"/>
                  <wp:cNvGraphicFramePr/>
                  <a:graphic xmlns:a="http://schemas.openxmlformats.org/drawingml/2006/main">
                    <a:graphicData uri="http://schemas.openxmlformats.org/drawingml/2006/picture">
                      <pic:pic xmlns:pic="http://schemas.openxmlformats.org/drawingml/2006/picture">
                        <pic:nvPicPr>
                          <pic:cNvPr id="1916" name="Picture_44_SpCnt_33"/>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85216" behindDoc="0" locked="0" layoutInCell="1" allowOverlap="1">
                  <wp:simplePos x="0" y="0"/>
                  <wp:positionH relativeFrom="column">
                    <wp:posOffset>0</wp:posOffset>
                  </wp:positionH>
                  <wp:positionV relativeFrom="paragraph">
                    <wp:posOffset>0</wp:posOffset>
                  </wp:positionV>
                  <wp:extent cx="9525" cy="20955"/>
                  <wp:effectExtent l="0" t="0" r="0" b="0"/>
                  <wp:wrapNone/>
                  <wp:docPr id="1917" name="Picture_23_SpCnt_28"/>
                  <wp:cNvGraphicFramePr/>
                  <a:graphic xmlns:a="http://schemas.openxmlformats.org/drawingml/2006/main">
                    <a:graphicData uri="http://schemas.openxmlformats.org/drawingml/2006/picture">
                      <pic:pic xmlns:pic="http://schemas.openxmlformats.org/drawingml/2006/picture">
                        <pic:nvPicPr>
                          <pic:cNvPr id="1917" name="Picture_23_SpCnt_28"/>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86240" behindDoc="0" locked="0" layoutInCell="1" allowOverlap="1">
                  <wp:simplePos x="0" y="0"/>
                  <wp:positionH relativeFrom="column">
                    <wp:posOffset>0</wp:posOffset>
                  </wp:positionH>
                  <wp:positionV relativeFrom="paragraph">
                    <wp:posOffset>0</wp:posOffset>
                  </wp:positionV>
                  <wp:extent cx="9525" cy="20955"/>
                  <wp:effectExtent l="0" t="0" r="0" b="0"/>
                  <wp:wrapNone/>
                  <wp:docPr id="1918" name="Picture_22_SpCnt_29"/>
                  <wp:cNvGraphicFramePr/>
                  <a:graphic xmlns:a="http://schemas.openxmlformats.org/drawingml/2006/main">
                    <a:graphicData uri="http://schemas.openxmlformats.org/drawingml/2006/picture">
                      <pic:pic xmlns:pic="http://schemas.openxmlformats.org/drawingml/2006/picture">
                        <pic:nvPicPr>
                          <pic:cNvPr id="1918" name="Picture_22_SpCnt_29"/>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87264" behindDoc="0" locked="0" layoutInCell="1" allowOverlap="1">
                  <wp:simplePos x="0" y="0"/>
                  <wp:positionH relativeFrom="column">
                    <wp:posOffset>0</wp:posOffset>
                  </wp:positionH>
                  <wp:positionV relativeFrom="paragraph">
                    <wp:posOffset>0</wp:posOffset>
                  </wp:positionV>
                  <wp:extent cx="9525" cy="20955"/>
                  <wp:effectExtent l="0" t="0" r="0" b="0"/>
                  <wp:wrapNone/>
                  <wp:docPr id="1919" name="Picture_45_SpCnt_29"/>
                  <wp:cNvGraphicFramePr/>
                  <a:graphic xmlns:a="http://schemas.openxmlformats.org/drawingml/2006/main">
                    <a:graphicData uri="http://schemas.openxmlformats.org/drawingml/2006/picture">
                      <pic:pic xmlns:pic="http://schemas.openxmlformats.org/drawingml/2006/picture">
                        <pic:nvPicPr>
                          <pic:cNvPr id="1919" name="Picture_45_SpCnt_29"/>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88288" behindDoc="0" locked="0" layoutInCell="1" allowOverlap="1">
                  <wp:simplePos x="0" y="0"/>
                  <wp:positionH relativeFrom="column">
                    <wp:posOffset>0</wp:posOffset>
                  </wp:positionH>
                  <wp:positionV relativeFrom="paragraph">
                    <wp:posOffset>0</wp:posOffset>
                  </wp:positionV>
                  <wp:extent cx="9525" cy="20955"/>
                  <wp:effectExtent l="0" t="0" r="0" b="0"/>
                  <wp:wrapNone/>
                  <wp:docPr id="1920" name="Picture_44_SpCnt_34"/>
                  <wp:cNvGraphicFramePr/>
                  <a:graphic xmlns:a="http://schemas.openxmlformats.org/drawingml/2006/main">
                    <a:graphicData uri="http://schemas.openxmlformats.org/drawingml/2006/picture">
                      <pic:pic xmlns:pic="http://schemas.openxmlformats.org/drawingml/2006/picture">
                        <pic:nvPicPr>
                          <pic:cNvPr id="1920" name="Picture_44_SpCnt_34"/>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89312" behindDoc="0" locked="0" layoutInCell="1" allowOverlap="1">
                  <wp:simplePos x="0" y="0"/>
                  <wp:positionH relativeFrom="column">
                    <wp:posOffset>0</wp:posOffset>
                  </wp:positionH>
                  <wp:positionV relativeFrom="paragraph">
                    <wp:posOffset>0</wp:posOffset>
                  </wp:positionV>
                  <wp:extent cx="9525" cy="20955"/>
                  <wp:effectExtent l="0" t="0" r="0" b="0"/>
                  <wp:wrapNone/>
                  <wp:docPr id="1921" name="Picture_23_SpCnt_29"/>
                  <wp:cNvGraphicFramePr/>
                  <a:graphic xmlns:a="http://schemas.openxmlformats.org/drawingml/2006/main">
                    <a:graphicData uri="http://schemas.openxmlformats.org/drawingml/2006/picture">
                      <pic:pic xmlns:pic="http://schemas.openxmlformats.org/drawingml/2006/picture">
                        <pic:nvPicPr>
                          <pic:cNvPr id="1921" name="Picture_23_SpCnt_29"/>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90336" behindDoc="0" locked="0" layoutInCell="1" allowOverlap="1">
                  <wp:simplePos x="0" y="0"/>
                  <wp:positionH relativeFrom="column">
                    <wp:posOffset>0</wp:posOffset>
                  </wp:positionH>
                  <wp:positionV relativeFrom="paragraph">
                    <wp:posOffset>0</wp:posOffset>
                  </wp:positionV>
                  <wp:extent cx="9525" cy="20955"/>
                  <wp:effectExtent l="0" t="0" r="0" b="0"/>
                  <wp:wrapNone/>
                  <wp:docPr id="1922" name="Picture_22_SpCnt_30"/>
                  <wp:cNvGraphicFramePr/>
                  <a:graphic xmlns:a="http://schemas.openxmlformats.org/drawingml/2006/main">
                    <a:graphicData uri="http://schemas.openxmlformats.org/drawingml/2006/picture">
                      <pic:pic xmlns:pic="http://schemas.openxmlformats.org/drawingml/2006/picture">
                        <pic:nvPicPr>
                          <pic:cNvPr id="1922" name="Picture_22_SpCnt_30"/>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91360" behindDoc="0" locked="0" layoutInCell="1" allowOverlap="1">
                  <wp:simplePos x="0" y="0"/>
                  <wp:positionH relativeFrom="column">
                    <wp:posOffset>0</wp:posOffset>
                  </wp:positionH>
                  <wp:positionV relativeFrom="paragraph">
                    <wp:posOffset>0</wp:posOffset>
                  </wp:positionV>
                  <wp:extent cx="9525" cy="20955"/>
                  <wp:effectExtent l="0" t="0" r="0" b="0"/>
                  <wp:wrapNone/>
                  <wp:docPr id="1923" name="Picture_45_SpCnt_30"/>
                  <wp:cNvGraphicFramePr/>
                  <a:graphic xmlns:a="http://schemas.openxmlformats.org/drawingml/2006/main">
                    <a:graphicData uri="http://schemas.openxmlformats.org/drawingml/2006/picture">
                      <pic:pic xmlns:pic="http://schemas.openxmlformats.org/drawingml/2006/picture">
                        <pic:nvPicPr>
                          <pic:cNvPr id="1923" name="Picture_45_SpCnt_30"/>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92384" behindDoc="0" locked="0" layoutInCell="1" allowOverlap="1">
                  <wp:simplePos x="0" y="0"/>
                  <wp:positionH relativeFrom="column">
                    <wp:posOffset>0</wp:posOffset>
                  </wp:positionH>
                  <wp:positionV relativeFrom="paragraph">
                    <wp:posOffset>0</wp:posOffset>
                  </wp:positionV>
                  <wp:extent cx="9525" cy="20955"/>
                  <wp:effectExtent l="0" t="0" r="0" b="0"/>
                  <wp:wrapNone/>
                  <wp:docPr id="1924" name="Picture_44_SpCnt_35"/>
                  <wp:cNvGraphicFramePr/>
                  <a:graphic xmlns:a="http://schemas.openxmlformats.org/drawingml/2006/main">
                    <a:graphicData uri="http://schemas.openxmlformats.org/drawingml/2006/picture">
                      <pic:pic xmlns:pic="http://schemas.openxmlformats.org/drawingml/2006/picture">
                        <pic:nvPicPr>
                          <pic:cNvPr id="1924" name="Picture_44_SpCnt_35"/>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93408" behindDoc="0" locked="0" layoutInCell="1" allowOverlap="1">
                  <wp:simplePos x="0" y="0"/>
                  <wp:positionH relativeFrom="column">
                    <wp:posOffset>0</wp:posOffset>
                  </wp:positionH>
                  <wp:positionV relativeFrom="paragraph">
                    <wp:posOffset>0</wp:posOffset>
                  </wp:positionV>
                  <wp:extent cx="9525" cy="20955"/>
                  <wp:effectExtent l="0" t="0" r="0" b="0"/>
                  <wp:wrapNone/>
                  <wp:docPr id="1925" name="Picture_23_SpCnt_30"/>
                  <wp:cNvGraphicFramePr/>
                  <a:graphic xmlns:a="http://schemas.openxmlformats.org/drawingml/2006/main">
                    <a:graphicData uri="http://schemas.openxmlformats.org/drawingml/2006/picture">
                      <pic:pic xmlns:pic="http://schemas.openxmlformats.org/drawingml/2006/picture">
                        <pic:nvPicPr>
                          <pic:cNvPr id="1925" name="Picture_23_SpCnt_30"/>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94432" behindDoc="0" locked="0" layoutInCell="1" allowOverlap="1">
                  <wp:simplePos x="0" y="0"/>
                  <wp:positionH relativeFrom="column">
                    <wp:posOffset>0</wp:posOffset>
                  </wp:positionH>
                  <wp:positionV relativeFrom="paragraph">
                    <wp:posOffset>0</wp:posOffset>
                  </wp:positionV>
                  <wp:extent cx="9525" cy="20955"/>
                  <wp:effectExtent l="0" t="0" r="0" b="0"/>
                  <wp:wrapNone/>
                  <wp:docPr id="1926" name="Picture_22_SpCnt_31"/>
                  <wp:cNvGraphicFramePr/>
                  <a:graphic xmlns:a="http://schemas.openxmlformats.org/drawingml/2006/main">
                    <a:graphicData uri="http://schemas.openxmlformats.org/drawingml/2006/picture">
                      <pic:pic xmlns:pic="http://schemas.openxmlformats.org/drawingml/2006/picture">
                        <pic:nvPicPr>
                          <pic:cNvPr id="1926" name="Picture_22_SpCnt_31"/>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95456" behindDoc="0" locked="0" layoutInCell="1" allowOverlap="1">
                  <wp:simplePos x="0" y="0"/>
                  <wp:positionH relativeFrom="column">
                    <wp:posOffset>0</wp:posOffset>
                  </wp:positionH>
                  <wp:positionV relativeFrom="paragraph">
                    <wp:posOffset>0</wp:posOffset>
                  </wp:positionV>
                  <wp:extent cx="9525" cy="20955"/>
                  <wp:effectExtent l="0" t="0" r="0" b="0"/>
                  <wp:wrapNone/>
                  <wp:docPr id="1927" name="Picture_45_SpCnt_31"/>
                  <wp:cNvGraphicFramePr/>
                  <a:graphic xmlns:a="http://schemas.openxmlformats.org/drawingml/2006/main">
                    <a:graphicData uri="http://schemas.openxmlformats.org/drawingml/2006/picture">
                      <pic:pic xmlns:pic="http://schemas.openxmlformats.org/drawingml/2006/picture">
                        <pic:nvPicPr>
                          <pic:cNvPr id="1927" name="Picture_45_SpCnt_31"/>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96480" behindDoc="0" locked="0" layoutInCell="1" allowOverlap="1">
                  <wp:simplePos x="0" y="0"/>
                  <wp:positionH relativeFrom="column">
                    <wp:posOffset>0</wp:posOffset>
                  </wp:positionH>
                  <wp:positionV relativeFrom="paragraph">
                    <wp:posOffset>0</wp:posOffset>
                  </wp:positionV>
                  <wp:extent cx="9525" cy="20955"/>
                  <wp:effectExtent l="0" t="0" r="0" b="0"/>
                  <wp:wrapNone/>
                  <wp:docPr id="1928" name="Picture_44_SpCnt_36"/>
                  <wp:cNvGraphicFramePr/>
                  <a:graphic xmlns:a="http://schemas.openxmlformats.org/drawingml/2006/main">
                    <a:graphicData uri="http://schemas.openxmlformats.org/drawingml/2006/picture">
                      <pic:pic xmlns:pic="http://schemas.openxmlformats.org/drawingml/2006/picture">
                        <pic:nvPicPr>
                          <pic:cNvPr id="1928" name="Picture_44_SpCnt_36"/>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97504" behindDoc="0" locked="0" layoutInCell="1" allowOverlap="1">
                  <wp:simplePos x="0" y="0"/>
                  <wp:positionH relativeFrom="column">
                    <wp:posOffset>0</wp:posOffset>
                  </wp:positionH>
                  <wp:positionV relativeFrom="paragraph">
                    <wp:posOffset>0</wp:posOffset>
                  </wp:positionV>
                  <wp:extent cx="9525" cy="20955"/>
                  <wp:effectExtent l="0" t="0" r="0" b="0"/>
                  <wp:wrapNone/>
                  <wp:docPr id="1929" name="Picture_23_SpCnt_31"/>
                  <wp:cNvGraphicFramePr/>
                  <a:graphic xmlns:a="http://schemas.openxmlformats.org/drawingml/2006/main">
                    <a:graphicData uri="http://schemas.openxmlformats.org/drawingml/2006/picture">
                      <pic:pic xmlns:pic="http://schemas.openxmlformats.org/drawingml/2006/picture">
                        <pic:nvPicPr>
                          <pic:cNvPr id="1929" name="Picture_23_SpCnt_31"/>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98528" behindDoc="0" locked="0" layoutInCell="1" allowOverlap="1">
                  <wp:simplePos x="0" y="0"/>
                  <wp:positionH relativeFrom="column">
                    <wp:posOffset>0</wp:posOffset>
                  </wp:positionH>
                  <wp:positionV relativeFrom="paragraph">
                    <wp:posOffset>0</wp:posOffset>
                  </wp:positionV>
                  <wp:extent cx="9525" cy="20955"/>
                  <wp:effectExtent l="0" t="0" r="0" b="0"/>
                  <wp:wrapNone/>
                  <wp:docPr id="1930" name="Picture_22_SpCnt_32"/>
                  <wp:cNvGraphicFramePr/>
                  <a:graphic xmlns:a="http://schemas.openxmlformats.org/drawingml/2006/main">
                    <a:graphicData uri="http://schemas.openxmlformats.org/drawingml/2006/picture">
                      <pic:pic xmlns:pic="http://schemas.openxmlformats.org/drawingml/2006/picture">
                        <pic:nvPicPr>
                          <pic:cNvPr id="1930" name="Picture_22_SpCnt_32"/>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799552" behindDoc="0" locked="0" layoutInCell="1" allowOverlap="1">
                  <wp:simplePos x="0" y="0"/>
                  <wp:positionH relativeFrom="column">
                    <wp:posOffset>0</wp:posOffset>
                  </wp:positionH>
                  <wp:positionV relativeFrom="paragraph">
                    <wp:posOffset>0</wp:posOffset>
                  </wp:positionV>
                  <wp:extent cx="9525" cy="20955"/>
                  <wp:effectExtent l="0" t="0" r="0" b="0"/>
                  <wp:wrapNone/>
                  <wp:docPr id="1931" name="Picture_23_SpCnt_32"/>
                  <wp:cNvGraphicFramePr/>
                  <a:graphic xmlns:a="http://schemas.openxmlformats.org/drawingml/2006/main">
                    <a:graphicData uri="http://schemas.openxmlformats.org/drawingml/2006/picture">
                      <pic:pic xmlns:pic="http://schemas.openxmlformats.org/drawingml/2006/picture">
                        <pic:nvPicPr>
                          <pic:cNvPr id="1931" name="Picture_23_SpCnt_32"/>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00576" behindDoc="0" locked="0" layoutInCell="1" allowOverlap="1">
                  <wp:simplePos x="0" y="0"/>
                  <wp:positionH relativeFrom="column">
                    <wp:posOffset>0</wp:posOffset>
                  </wp:positionH>
                  <wp:positionV relativeFrom="paragraph">
                    <wp:posOffset>0</wp:posOffset>
                  </wp:positionV>
                  <wp:extent cx="9525" cy="20955"/>
                  <wp:effectExtent l="0" t="0" r="0" b="0"/>
                  <wp:wrapNone/>
                  <wp:docPr id="1932" name="Picture_45_SpCnt_32"/>
                  <wp:cNvGraphicFramePr/>
                  <a:graphic xmlns:a="http://schemas.openxmlformats.org/drawingml/2006/main">
                    <a:graphicData uri="http://schemas.openxmlformats.org/drawingml/2006/picture">
                      <pic:pic xmlns:pic="http://schemas.openxmlformats.org/drawingml/2006/picture">
                        <pic:nvPicPr>
                          <pic:cNvPr id="1932" name="Picture_45_SpCnt_32"/>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01600" behindDoc="0" locked="0" layoutInCell="1" allowOverlap="1">
                  <wp:simplePos x="0" y="0"/>
                  <wp:positionH relativeFrom="column">
                    <wp:posOffset>0</wp:posOffset>
                  </wp:positionH>
                  <wp:positionV relativeFrom="paragraph">
                    <wp:posOffset>0</wp:posOffset>
                  </wp:positionV>
                  <wp:extent cx="9525" cy="20955"/>
                  <wp:effectExtent l="0" t="0" r="0" b="0"/>
                  <wp:wrapNone/>
                  <wp:docPr id="1933" name="Picture_22_SpCnt_33"/>
                  <wp:cNvGraphicFramePr/>
                  <a:graphic xmlns:a="http://schemas.openxmlformats.org/drawingml/2006/main">
                    <a:graphicData uri="http://schemas.openxmlformats.org/drawingml/2006/picture">
                      <pic:pic xmlns:pic="http://schemas.openxmlformats.org/drawingml/2006/picture">
                        <pic:nvPicPr>
                          <pic:cNvPr id="1933" name="Picture_22_SpCnt_33"/>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02624" behindDoc="0" locked="0" layoutInCell="1" allowOverlap="1">
                  <wp:simplePos x="0" y="0"/>
                  <wp:positionH relativeFrom="column">
                    <wp:posOffset>0</wp:posOffset>
                  </wp:positionH>
                  <wp:positionV relativeFrom="paragraph">
                    <wp:posOffset>0</wp:posOffset>
                  </wp:positionV>
                  <wp:extent cx="9525" cy="20955"/>
                  <wp:effectExtent l="0" t="0" r="0" b="0"/>
                  <wp:wrapNone/>
                  <wp:docPr id="1934" name="Picture_45_SpCnt_33"/>
                  <wp:cNvGraphicFramePr/>
                  <a:graphic xmlns:a="http://schemas.openxmlformats.org/drawingml/2006/main">
                    <a:graphicData uri="http://schemas.openxmlformats.org/drawingml/2006/picture">
                      <pic:pic xmlns:pic="http://schemas.openxmlformats.org/drawingml/2006/picture">
                        <pic:nvPicPr>
                          <pic:cNvPr id="1934" name="Picture_45_SpCnt_33"/>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9525" cy="20955"/>
                  <wp:effectExtent l="0" t="0" r="0" b="0"/>
                  <wp:wrapNone/>
                  <wp:docPr id="1935" name="Picture_44_SpCnt_37"/>
                  <wp:cNvGraphicFramePr/>
                  <a:graphic xmlns:a="http://schemas.openxmlformats.org/drawingml/2006/main">
                    <a:graphicData uri="http://schemas.openxmlformats.org/drawingml/2006/picture">
                      <pic:pic xmlns:pic="http://schemas.openxmlformats.org/drawingml/2006/picture">
                        <pic:nvPicPr>
                          <pic:cNvPr id="1935" name="Picture_44_SpCnt_37"/>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9525" cy="20955"/>
                  <wp:effectExtent l="0" t="0" r="0" b="0"/>
                  <wp:wrapNone/>
                  <wp:docPr id="1936" name="Picture_23_SpCnt_33"/>
                  <wp:cNvGraphicFramePr/>
                  <a:graphic xmlns:a="http://schemas.openxmlformats.org/drawingml/2006/main">
                    <a:graphicData uri="http://schemas.openxmlformats.org/drawingml/2006/picture">
                      <pic:pic xmlns:pic="http://schemas.openxmlformats.org/drawingml/2006/picture">
                        <pic:nvPicPr>
                          <pic:cNvPr id="1936" name="Picture_23_SpCnt_33"/>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05696" behindDoc="0" locked="0" layoutInCell="1" allowOverlap="1">
                  <wp:simplePos x="0" y="0"/>
                  <wp:positionH relativeFrom="column">
                    <wp:posOffset>0</wp:posOffset>
                  </wp:positionH>
                  <wp:positionV relativeFrom="paragraph">
                    <wp:posOffset>0</wp:posOffset>
                  </wp:positionV>
                  <wp:extent cx="9525" cy="20955"/>
                  <wp:effectExtent l="0" t="0" r="0" b="0"/>
                  <wp:wrapNone/>
                  <wp:docPr id="1937" name="Picture_22_SpCnt_34"/>
                  <wp:cNvGraphicFramePr/>
                  <a:graphic xmlns:a="http://schemas.openxmlformats.org/drawingml/2006/main">
                    <a:graphicData uri="http://schemas.openxmlformats.org/drawingml/2006/picture">
                      <pic:pic xmlns:pic="http://schemas.openxmlformats.org/drawingml/2006/picture">
                        <pic:nvPicPr>
                          <pic:cNvPr id="1937" name="Picture_22_SpCnt_34"/>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06720" behindDoc="0" locked="0" layoutInCell="1" allowOverlap="1">
                  <wp:simplePos x="0" y="0"/>
                  <wp:positionH relativeFrom="column">
                    <wp:posOffset>0</wp:posOffset>
                  </wp:positionH>
                  <wp:positionV relativeFrom="paragraph">
                    <wp:posOffset>0</wp:posOffset>
                  </wp:positionV>
                  <wp:extent cx="9525" cy="20955"/>
                  <wp:effectExtent l="0" t="0" r="0" b="0"/>
                  <wp:wrapNone/>
                  <wp:docPr id="1938" name="Picture_45_SpCnt_34"/>
                  <wp:cNvGraphicFramePr/>
                  <a:graphic xmlns:a="http://schemas.openxmlformats.org/drawingml/2006/main">
                    <a:graphicData uri="http://schemas.openxmlformats.org/drawingml/2006/picture">
                      <pic:pic xmlns:pic="http://schemas.openxmlformats.org/drawingml/2006/picture">
                        <pic:nvPicPr>
                          <pic:cNvPr id="1938" name="Picture_45_SpCnt_34"/>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07744" behindDoc="0" locked="0" layoutInCell="1" allowOverlap="1">
                  <wp:simplePos x="0" y="0"/>
                  <wp:positionH relativeFrom="column">
                    <wp:posOffset>0</wp:posOffset>
                  </wp:positionH>
                  <wp:positionV relativeFrom="paragraph">
                    <wp:posOffset>0</wp:posOffset>
                  </wp:positionV>
                  <wp:extent cx="9525" cy="20955"/>
                  <wp:effectExtent l="0" t="0" r="0" b="0"/>
                  <wp:wrapNone/>
                  <wp:docPr id="1939" name="Picture_44_SpCnt_38"/>
                  <wp:cNvGraphicFramePr/>
                  <a:graphic xmlns:a="http://schemas.openxmlformats.org/drawingml/2006/main">
                    <a:graphicData uri="http://schemas.openxmlformats.org/drawingml/2006/picture">
                      <pic:pic xmlns:pic="http://schemas.openxmlformats.org/drawingml/2006/picture">
                        <pic:nvPicPr>
                          <pic:cNvPr id="1939" name="Picture_44_SpCnt_38"/>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08768" behindDoc="0" locked="0" layoutInCell="1" allowOverlap="1">
                  <wp:simplePos x="0" y="0"/>
                  <wp:positionH relativeFrom="column">
                    <wp:posOffset>0</wp:posOffset>
                  </wp:positionH>
                  <wp:positionV relativeFrom="paragraph">
                    <wp:posOffset>0</wp:posOffset>
                  </wp:positionV>
                  <wp:extent cx="9525" cy="20955"/>
                  <wp:effectExtent l="0" t="0" r="0" b="0"/>
                  <wp:wrapNone/>
                  <wp:docPr id="1940" name="Picture_23_SpCnt_34"/>
                  <wp:cNvGraphicFramePr/>
                  <a:graphic xmlns:a="http://schemas.openxmlformats.org/drawingml/2006/main">
                    <a:graphicData uri="http://schemas.openxmlformats.org/drawingml/2006/picture">
                      <pic:pic xmlns:pic="http://schemas.openxmlformats.org/drawingml/2006/picture">
                        <pic:nvPicPr>
                          <pic:cNvPr id="1940" name="Picture_23_SpCnt_34"/>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09792" behindDoc="0" locked="0" layoutInCell="1" allowOverlap="1">
                  <wp:simplePos x="0" y="0"/>
                  <wp:positionH relativeFrom="column">
                    <wp:posOffset>0</wp:posOffset>
                  </wp:positionH>
                  <wp:positionV relativeFrom="paragraph">
                    <wp:posOffset>0</wp:posOffset>
                  </wp:positionV>
                  <wp:extent cx="9525" cy="20955"/>
                  <wp:effectExtent l="0" t="0" r="0" b="0"/>
                  <wp:wrapNone/>
                  <wp:docPr id="1941" name="Picture_22_SpCnt_35"/>
                  <wp:cNvGraphicFramePr/>
                  <a:graphic xmlns:a="http://schemas.openxmlformats.org/drawingml/2006/main">
                    <a:graphicData uri="http://schemas.openxmlformats.org/drawingml/2006/picture">
                      <pic:pic xmlns:pic="http://schemas.openxmlformats.org/drawingml/2006/picture">
                        <pic:nvPicPr>
                          <pic:cNvPr id="1941" name="Picture_22_SpCnt_35"/>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10816" behindDoc="0" locked="0" layoutInCell="1" allowOverlap="1">
                  <wp:simplePos x="0" y="0"/>
                  <wp:positionH relativeFrom="column">
                    <wp:posOffset>0</wp:posOffset>
                  </wp:positionH>
                  <wp:positionV relativeFrom="paragraph">
                    <wp:posOffset>0</wp:posOffset>
                  </wp:positionV>
                  <wp:extent cx="9525" cy="20955"/>
                  <wp:effectExtent l="0" t="0" r="0" b="0"/>
                  <wp:wrapNone/>
                  <wp:docPr id="1942" name="Picture_45_SpCnt_35"/>
                  <wp:cNvGraphicFramePr/>
                  <a:graphic xmlns:a="http://schemas.openxmlformats.org/drawingml/2006/main">
                    <a:graphicData uri="http://schemas.openxmlformats.org/drawingml/2006/picture">
                      <pic:pic xmlns:pic="http://schemas.openxmlformats.org/drawingml/2006/picture">
                        <pic:nvPicPr>
                          <pic:cNvPr id="1942" name="Picture_45_SpCnt_35"/>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11840" behindDoc="0" locked="0" layoutInCell="1" allowOverlap="1">
                  <wp:simplePos x="0" y="0"/>
                  <wp:positionH relativeFrom="column">
                    <wp:posOffset>0</wp:posOffset>
                  </wp:positionH>
                  <wp:positionV relativeFrom="paragraph">
                    <wp:posOffset>0</wp:posOffset>
                  </wp:positionV>
                  <wp:extent cx="9525" cy="20955"/>
                  <wp:effectExtent l="0" t="0" r="0" b="0"/>
                  <wp:wrapNone/>
                  <wp:docPr id="1943" name="Picture_44_SpCnt_39"/>
                  <wp:cNvGraphicFramePr/>
                  <a:graphic xmlns:a="http://schemas.openxmlformats.org/drawingml/2006/main">
                    <a:graphicData uri="http://schemas.openxmlformats.org/drawingml/2006/picture">
                      <pic:pic xmlns:pic="http://schemas.openxmlformats.org/drawingml/2006/picture">
                        <pic:nvPicPr>
                          <pic:cNvPr id="1943" name="Picture_44_SpCnt_39"/>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12864" behindDoc="0" locked="0" layoutInCell="1" allowOverlap="1">
                  <wp:simplePos x="0" y="0"/>
                  <wp:positionH relativeFrom="column">
                    <wp:posOffset>0</wp:posOffset>
                  </wp:positionH>
                  <wp:positionV relativeFrom="paragraph">
                    <wp:posOffset>0</wp:posOffset>
                  </wp:positionV>
                  <wp:extent cx="9525" cy="20955"/>
                  <wp:effectExtent l="0" t="0" r="0" b="0"/>
                  <wp:wrapNone/>
                  <wp:docPr id="1944" name="Picture_23_SpCnt_35"/>
                  <wp:cNvGraphicFramePr/>
                  <a:graphic xmlns:a="http://schemas.openxmlformats.org/drawingml/2006/main">
                    <a:graphicData uri="http://schemas.openxmlformats.org/drawingml/2006/picture">
                      <pic:pic xmlns:pic="http://schemas.openxmlformats.org/drawingml/2006/picture">
                        <pic:nvPicPr>
                          <pic:cNvPr id="1944" name="Picture_23_SpCnt_35"/>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13888" behindDoc="0" locked="0" layoutInCell="1" allowOverlap="1">
                  <wp:simplePos x="0" y="0"/>
                  <wp:positionH relativeFrom="column">
                    <wp:posOffset>0</wp:posOffset>
                  </wp:positionH>
                  <wp:positionV relativeFrom="paragraph">
                    <wp:posOffset>0</wp:posOffset>
                  </wp:positionV>
                  <wp:extent cx="9525" cy="20955"/>
                  <wp:effectExtent l="0" t="0" r="0" b="0"/>
                  <wp:wrapNone/>
                  <wp:docPr id="1945" name="Picture_22_SpCnt_36"/>
                  <wp:cNvGraphicFramePr/>
                  <a:graphic xmlns:a="http://schemas.openxmlformats.org/drawingml/2006/main">
                    <a:graphicData uri="http://schemas.openxmlformats.org/drawingml/2006/picture">
                      <pic:pic xmlns:pic="http://schemas.openxmlformats.org/drawingml/2006/picture">
                        <pic:nvPicPr>
                          <pic:cNvPr id="1945" name="Picture_22_SpCnt_36"/>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14912" behindDoc="0" locked="0" layoutInCell="1" allowOverlap="1">
                  <wp:simplePos x="0" y="0"/>
                  <wp:positionH relativeFrom="column">
                    <wp:posOffset>0</wp:posOffset>
                  </wp:positionH>
                  <wp:positionV relativeFrom="paragraph">
                    <wp:posOffset>0</wp:posOffset>
                  </wp:positionV>
                  <wp:extent cx="9525" cy="20955"/>
                  <wp:effectExtent l="0" t="0" r="0" b="0"/>
                  <wp:wrapNone/>
                  <wp:docPr id="1946" name="Picture_45_SpCnt_36"/>
                  <wp:cNvGraphicFramePr/>
                  <a:graphic xmlns:a="http://schemas.openxmlformats.org/drawingml/2006/main">
                    <a:graphicData uri="http://schemas.openxmlformats.org/drawingml/2006/picture">
                      <pic:pic xmlns:pic="http://schemas.openxmlformats.org/drawingml/2006/picture">
                        <pic:nvPicPr>
                          <pic:cNvPr id="1946" name="Picture_45_SpCnt_36"/>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15936" behindDoc="0" locked="0" layoutInCell="1" allowOverlap="1">
                  <wp:simplePos x="0" y="0"/>
                  <wp:positionH relativeFrom="column">
                    <wp:posOffset>0</wp:posOffset>
                  </wp:positionH>
                  <wp:positionV relativeFrom="paragraph">
                    <wp:posOffset>0</wp:posOffset>
                  </wp:positionV>
                  <wp:extent cx="9525" cy="20955"/>
                  <wp:effectExtent l="0" t="0" r="0" b="0"/>
                  <wp:wrapNone/>
                  <wp:docPr id="1947" name="Picture_44_SpCnt_40"/>
                  <wp:cNvGraphicFramePr/>
                  <a:graphic xmlns:a="http://schemas.openxmlformats.org/drawingml/2006/main">
                    <a:graphicData uri="http://schemas.openxmlformats.org/drawingml/2006/picture">
                      <pic:pic xmlns:pic="http://schemas.openxmlformats.org/drawingml/2006/picture">
                        <pic:nvPicPr>
                          <pic:cNvPr id="1947" name="Picture_44_SpCnt_40"/>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16960" behindDoc="0" locked="0" layoutInCell="1" allowOverlap="1">
                  <wp:simplePos x="0" y="0"/>
                  <wp:positionH relativeFrom="column">
                    <wp:posOffset>0</wp:posOffset>
                  </wp:positionH>
                  <wp:positionV relativeFrom="paragraph">
                    <wp:posOffset>0</wp:posOffset>
                  </wp:positionV>
                  <wp:extent cx="9525" cy="20955"/>
                  <wp:effectExtent l="0" t="0" r="0" b="0"/>
                  <wp:wrapNone/>
                  <wp:docPr id="1948" name="Picture_23_SpCnt_36"/>
                  <wp:cNvGraphicFramePr/>
                  <a:graphic xmlns:a="http://schemas.openxmlformats.org/drawingml/2006/main">
                    <a:graphicData uri="http://schemas.openxmlformats.org/drawingml/2006/picture">
                      <pic:pic xmlns:pic="http://schemas.openxmlformats.org/drawingml/2006/picture">
                        <pic:nvPicPr>
                          <pic:cNvPr id="1948" name="Picture_23_SpCnt_36"/>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9525" cy="20955"/>
                  <wp:effectExtent l="0" t="0" r="0" b="0"/>
                  <wp:wrapNone/>
                  <wp:docPr id="1949" name="Picture_22_SpCnt_37"/>
                  <wp:cNvGraphicFramePr/>
                  <a:graphic xmlns:a="http://schemas.openxmlformats.org/drawingml/2006/main">
                    <a:graphicData uri="http://schemas.openxmlformats.org/drawingml/2006/picture">
                      <pic:pic xmlns:pic="http://schemas.openxmlformats.org/drawingml/2006/picture">
                        <pic:nvPicPr>
                          <pic:cNvPr id="1949" name="Picture_22_SpCnt_37"/>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9525" cy="20955"/>
                  <wp:effectExtent l="0" t="0" r="0" b="0"/>
                  <wp:wrapNone/>
                  <wp:docPr id="1950" name="Picture_45_SpCnt_37"/>
                  <wp:cNvGraphicFramePr/>
                  <a:graphic xmlns:a="http://schemas.openxmlformats.org/drawingml/2006/main">
                    <a:graphicData uri="http://schemas.openxmlformats.org/drawingml/2006/picture">
                      <pic:pic xmlns:pic="http://schemas.openxmlformats.org/drawingml/2006/picture">
                        <pic:nvPicPr>
                          <pic:cNvPr id="1950" name="Picture_45_SpCnt_37"/>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20032" behindDoc="0" locked="0" layoutInCell="1" allowOverlap="1">
                  <wp:simplePos x="0" y="0"/>
                  <wp:positionH relativeFrom="column">
                    <wp:posOffset>0</wp:posOffset>
                  </wp:positionH>
                  <wp:positionV relativeFrom="paragraph">
                    <wp:posOffset>0</wp:posOffset>
                  </wp:positionV>
                  <wp:extent cx="9525" cy="20955"/>
                  <wp:effectExtent l="0" t="0" r="0" b="0"/>
                  <wp:wrapNone/>
                  <wp:docPr id="1951" name="Picture_44_SpCnt_41"/>
                  <wp:cNvGraphicFramePr/>
                  <a:graphic xmlns:a="http://schemas.openxmlformats.org/drawingml/2006/main">
                    <a:graphicData uri="http://schemas.openxmlformats.org/drawingml/2006/picture">
                      <pic:pic xmlns:pic="http://schemas.openxmlformats.org/drawingml/2006/picture">
                        <pic:nvPicPr>
                          <pic:cNvPr id="1951" name="Picture_44_SpCnt_41"/>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21056" behindDoc="0" locked="0" layoutInCell="1" allowOverlap="1">
                  <wp:simplePos x="0" y="0"/>
                  <wp:positionH relativeFrom="column">
                    <wp:posOffset>0</wp:posOffset>
                  </wp:positionH>
                  <wp:positionV relativeFrom="paragraph">
                    <wp:posOffset>0</wp:posOffset>
                  </wp:positionV>
                  <wp:extent cx="9525" cy="20955"/>
                  <wp:effectExtent l="0" t="0" r="0" b="0"/>
                  <wp:wrapNone/>
                  <wp:docPr id="1952" name="Picture_23_SpCnt_37"/>
                  <wp:cNvGraphicFramePr/>
                  <a:graphic xmlns:a="http://schemas.openxmlformats.org/drawingml/2006/main">
                    <a:graphicData uri="http://schemas.openxmlformats.org/drawingml/2006/picture">
                      <pic:pic xmlns:pic="http://schemas.openxmlformats.org/drawingml/2006/picture">
                        <pic:nvPicPr>
                          <pic:cNvPr id="1952" name="Picture_23_SpCnt_37"/>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22080" behindDoc="0" locked="0" layoutInCell="1" allowOverlap="1">
                  <wp:simplePos x="0" y="0"/>
                  <wp:positionH relativeFrom="column">
                    <wp:posOffset>0</wp:posOffset>
                  </wp:positionH>
                  <wp:positionV relativeFrom="paragraph">
                    <wp:posOffset>0</wp:posOffset>
                  </wp:positionV>
                  <wp:extent cx="9525" cy="20955"/>
                  <wp:effectExtent l="0" t="0" r="0" b="0"/>
                  <wp:wrapNone/>
                  <wp:docPr id="1953" name="Picture_22_SpCnt_38"/>
                  <wp:cNvGraphicFramePr/>
                  <a:graphic xmlns:a="http://schemas.openxmlformats.org/drawingml/2006/main">
                    <a:graphicData uri="http://schemas.openxmlformats.org/drawingml/2006/picture">
                      <pic:pic xmlns:pic="http://schemas.openxmlformats.org/drawingml/2006/picture">
                        <pic:nvPicPr>
                          <pic:cNvPr id="1953" name="Picture_22_SpCnt_38"/>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9525" cy="20955"/>
                  <wp:effectExtent l="0" t="0" r="0" b="0"/>
                  <wp:wrapNone/>
                  <wp:docPr id="1954" name="Picture_45_SpCnt_38"/>
                  <wp:cNvGraphicFramePr/>
                  <a:graphic xmlns:a="http://schemas.openxmlformats.org/drawingml/2006/main">
                    <a:graphicData uri="http://schemas.openxmlformats.org/drawingml/2006/picture">
                      <pic:pic xmlns:pic="http://schemas.openxmlformats.org/drawingml/2006/picture">
                        <pic:nvPicPr>
                          <pic:cNvPr id="1954" name="Picture_45_SpCnt_38"/>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24128" behindDoc="0" locked="0" layoutInCell="1" allowOverlap="1">
                  <wp:simplePos x="0" y="0"/>
                  <wp:positionH relativeFrom="column">
                    <wp:posOffset>0</wp:posOffset>
                  </wp:positionH>
                  <wp:positionV relativeFrom="paragraph">
                    <wp:posOffset>0</wp:posOffset>
                  </wp:positionV>
                  <wp:extent cx="9525" cy="20955"/>
                  <wp:effectExtent l="0" t="0" r="0" b="0"/>
                  <wp:wrapNone/>
                  <wp:docPr id="1955" name="Picture_44_SpCnt_42"/>
                  <wp:cNvGraphicFramePr/>
                  <a:graphic xmlns:a="http://schemas.openxmlformats.org/drawingml/2006/main">
                    <a:graphicData uri="http://schemas.openxmlformats.org/drawingml/2006/picture">
                      <pic:pic xmlns:pic="http://schemas.openxmlformats.org/drawingml/2006/picture">
                        <pic:nvPicPr>
                          <pic:cNvPr id="1955" name="Picture_44_SpCnt_42"/>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25152" behindDoc="0" locked="0" layoutInCell="1" allowOverlap="1">
                  <wp:simplePos x="0" y="0"/>
                  <wp:positionH relativeFrom="column">
                    <wp:posOffset>0</wp:posOffset>
                  </wp:positionH>
                  <wp:positionV relativeFrom="paragraph">
                    <wp:posOffset>0</wp:posOffset>
                  </wp:positionV>
                  <wp:extent cx="9525" cy="20955"/>
                  <wp:effectExtent l="0" t="0" r="0" b="0"/>
                  <wp:wrapNone/>
                  <wp:docPr id="1956" name="Picture_23_SpCnt_38"/>
                  <wp:cNvGraphicFramePr/>
                  <a:graphic xmlns:a="http://schemas.openxmlformats.org/drawingml/2006/main">
                    <a:graphicData uri="http://schemas.openxmlformats.org/drawingml/2006/picture">
                      <pic:pic xmlns:pic="http://schemas.openxmlformats.org/drawingml/2006/picture">
                        <pic:nvPicPr>
                          <pic:cNvPr id="1956" name="Picture_23_SpCnt_38"/>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9525" cy="20955"/>
                  <wp:effectExtent l="0" t="0" r="0" b="0"/>
                  <wp:wrapNone/>
                  <wp:docPr id="1957" name="Picture_22_SpCnt_39"/>
                  <wp:cNvGraphicFramePr/>
                  <a:graphic xmlns:a="http://schemas.openxmlformats.org/drawingml/2006/main">
                    <a:graphicData uri="http://schemas.openxmlformats.org/drawingml/2006/picture">
                      <pic:pic xmlns:pic="http://schemas.openxmlformats.org/drawingml/2006/picture">
                        <pic:nvPicPr>
                          <pic:cNvPr id="1957" name="Picture_22_SpCnt_39"/>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9525" cy="20955"/>
                  <wp:effectExtent l="0" t="0" r="0" b="0"/>
                  <wp:wrapNone/>
                  <wp:docPr id="1958" name="Picture_45_SpCnt_39"/>
                  <wp:cNvGraphicFramePr/>
                  <a:graphic xmlns:a="http://schemas.openxmlformats.org/drawingml/2006/main">
                    <a:graphicData uri="http://schemas.openxmlformats.org/drawingml/2006/picture">
                      <pic:pic xmlns:pic="http://schemas.openxmlformats.org/drawingml/2006/picture">
                        <pic:nvPicPr>
                          <pic:cNvPr id="1958" name="Picture_45_SpCnt_39"/>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28224" behindDoc="0" locked="0" layoutInCell="1" allowOverlap="1">
                  <wp:simplePos x="0" y="0"/>
                  <wp:positionH relativeFrom="column">
                    <wp:posOffset>0</wp:posOffset>
                  </wp:positionH>
                  <wp:positionV relativeFrom="paragraph">
                    <wp:posOffset>0</wp:posOffset>
                  </wp:positionV>
                  <wp:extent cx="9525" cy="20955"/>
                  <wp:effectExtent l="0" t="0" r="0" b="0"/>
                  <wp:wrapNone/>
                  <wp:docPr id="1959" name="Picture_44_SpCnt_43"/>
                  <wp:cNvGraphicFramePr/>
                  <a:graphic xmlns:a="http://schemas.openxmlformats.org/drawingml/2006/main">
                    <a:graphicData uri="http://schemas.openxmlformats.org/drawingml/2006/picture">
                      <pic:pic xmlns:pic="http://schemas.openxmlformats.org/drawingml/2006/picture">
                        <pic:nvPicPr>
                          <pic:cNvPr id="1959" name="Picture_44_SpCnt_43"/>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29248" behindDoc="0" locked="0" layoutInCell="1" allowOverlap="1">
                  <wp:simplePos x="0" y="0"/>
                  <wp:positionH relativeFrom="column">
                    <wp:posOffset>0</wp:posOffset>
                  </wp:positionH>
                  <wp:positionV relativeFrom="paragraph">
                    <wp:posOffset>0</wp:posOffset>
                  </wp:positionV>
                  <wp:extent cx="9525" cy="20955"/>
                  <wp:effectExtent l="0" t="0" r="0" b="0"/>
                  <wp:wrapNone/>
                  <wp:docPr id="1960" name="Picture_23_SpCnt_39"/>
                  <wp:cNvGraphicFramePr/>
                  <a:graphic xmlns:a="http://schemas.openxmlformats.org/drawingml/2006/main">
                    <a:graphicData uri="http://schemas.openxmlformats.org/drawingml/2006/picture">
                      <pic:pic xmlns:pic="http://schemas.openxmlformats.org/drawingml/2006/picture">
                        <pic:nvPicPr>
                          <pic:cNvPr id="1960" name="Picture_23_SpCnt_39"/>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30272" behindDoc="0" locked="0" layoutInCell="1" allowOverlap="1">
                  <wp:simplePos x="0" y="0"/>
                  <wp:positionH relativeFrom="column">
                    <wp:posOffset>0</wp:posOffset>
                  </wp:positionH>
                  <wp:positionV relativeFrom="paragraph">
                    <wp:posOffset>0</wp:posOffset>
                  </wp:positionV>
                  <wp:extent cx="9525" cy="20955"/>
                  <wp:effectExtent l="0" t="0" r="0" b="0"/>
                  <wp:wrapNone/>
                  <wp:docPr id="1961" name="Picture_22_SpCnt_40"/>
                  <wp:cNvGraphicFramePr/>
                  <a:graphic xmlns:a="http://schemas.openxmlformats.org/drawingml/2006/main">
                    <a:graphicData uri="http://schemas.openxmlformats.org/drawingml/2006/picture">
                      <pic:pic xmlns:pic="http://schemas.openxmlformats.org/drawingml/2006/picture">
                        <pic:nvPicPr>
                          <pic:cNvPr id="1961" name="Picture_22_SpCnt_40"/>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31296" behindDoc="0" locked="0" layoutInCell="1" allowOverlap="1">
                  <wp:simplePos x="0" y="0"/>
                  <wp:positionH relativeFrom="column">
                    <wp:posOffset>0</wp:posOffset>
                  </wp:positionH>
                  <wp:positionV relativeFrom="paragraph">
                    <wp:posOffset>0</wp:posOffset>
                  </wp:positionV>
                  <wp:extent cx="9525" cy="20955"/>
                  <wp:effectExtent l="0" t="0" r="0" b="0"/>
                  <wp:wrapNone/>
                  <wp:docPr id="1962" name="Picture_23_SpCnt_40"/>
                  <wp:cNvGraphicFramePr/>
                  <a:graphic xmlns:a="http://schemas.openxmlformats.org/drawingml/2006/main">
                    <a:graphicData uri="http://schemas.openxmlformats.org/drawingml/2006/picture">
                      <pic:pic xmlns:pic="http://schemas.openxmlformats.org/drawingml/2006/picture">
                        <pic:nvPicPr>
                          <pic:cNvPr id="1962" name="Picture_23_SpCnt_40"/>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32320" behindDoc="0" locked="0" layoutInCell="1" allowOverlap="1">
                  <wp:simplePos x="0" y="0"/>
                  <wp:positionH relativeFrom="column">
                    <wp:posOffset>0</wp:posOffset>
                  </wp:positionH>
                  <wp:positionV relativeFrom="paragraph">
                    <wp:posOffset>0</wp:posOffset>
                  </wp:positionV>
                  <wp:extent cx="9525" cy="20955"/>
                  <wp:effectExtent l="0" t="0" r="0" b="0"/>
                  <wp:wrapNone/>
                  <wp:docPr id="1963" name="Picture_45_SpCnt_40"/>
                  <wp:cNvGraphicFramePr/>
                  <a:graphic xmlns:a="http://schemas.openxmlformats.org/drawingml/2006/main">
                    <a:graphicData uri="http://schemas.openxmlformats.org/drawingml/2006/picture">
                      <pic:pic xmlns:pic="http://schemas.openxmlformats.org/drawingml/2006/picture">
                        <pic:nvPicPr>
                          <pic:cNvPr id="1963" name="Picture_45_SpCnt_40"/>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33344" behindDoc="0" locked="0" layoutInCell="1" allowOverlap="1">
                  <wp:simplePos x="0" y="0"/>
                  <wp:positionH relativeFrom="column">
                    <wp:posOffset>0</wp:posOffset>
                  </wp:positionH>
                  <wp:positionV relativeFrom="paragraph">
                    <wp:posOffset>0</wp:posOffset>
                  </wp:positionV>
                  <wp:extent cx="9525" cy="20955"/>
                  <wp:effectExtent l="0" t="0" r="0" b="0"/>
                  <wp:wrapNone/>
                  <wp:docPr id="1964" name="Picture_22_SpCnt_41"/>
                  <wp:cNvGraphicFramePr/>
                  <a:graphic xmlns:a="http://schemas.openxmlformats.org/drawingml/2006/main">
                    <a:graphicData uri="http://schemas.openxmlformats.org/drawingml/2006/picture">
                      <pic:pic xmlns:pic="http://schemas.openxmlformats.org/drawingml/2006/picture">
                        <pic:nvPicPr>
                          <pic:cNvPr id="1964" name="Picture_22_SpCnt_41"/>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34368" behindDoc="0" locked="0" layoutInCell="1" allowOverlap="1">
                  <wp:simplePos x="0" y="0"/>
                  <wp:positionH relativeFrom="column">
                    <wp:posOffset>0</wp:posOffset>
                  </wp:positionH>
                  <wp:positionV relativeFrom="paragraph">
                    <wp:posOffset>0</wp:posOffset>
                  </wp:positionV>
                  <wp:extent cx="9525" cy="20955"/>
                  <wp:effectExtent l="0" t="0" r="0" b="0"/>
                  <wp:wrapNone/>
                  <wp:docPr id="1965" name="Picture_45_SpCnt_41"/>
                  <wp:cNvGraphicFramePr/>
                  <a:graphic xmlns:a="http://schemas.openxmlformats.org/drawingml/2006/main">
                    <a:graphicData uri="http://schemas.openxmlformats.org/drawingml/2006/picture">
                      <pic:pic xmlns:pic="http://schemas.openxmlformats.org/drawingml/2006/picture">
                        <pic:nvPicPr>
                          <pic:cNvPr id="1965" name="Picture_45_SpCnt_41"/>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35392" behindDoc="0" locked="0" layoutInCell="1" allowOverlap="1">
                  <wp:simplePos x="0" y="0"/>
                  <wp:positionH relativeFrom="column">
                    <wp:posOffset>0</wp:posOffset>
                  </wp:positionH>
                  <wp:positionV relativeFrom="paragraph">
                    <wp:posOffset>0</wp:posOffset>
                  </wp:positionV>
                  <wp:extent cx="9525" cy="20955"/>
                  <wp:effectExtent l="0" t="0" r="0" b="0"/>
                  <wp:wrapNone/>
                  <wp:docPr id="1966" name="Picture_44_SpCnt_44"/>
                  <wp:cNvGraphicFramePr/>
                  <a:graphic xmlns:a="http://schemas.openxmlformats.org/drawingml/2006/main">
                    <a:graphicData uri="http://schemas.openxmlformats.org/drawingml/2006/picture">
                      <pic:pic xmlns:pic="http://schemas.openxmlformats.org/drawingml/2006/picture">
                        <pic:nvPicPr>
                          <pic:cNvPr id="1966" name="Picture_44_SpCnt_44"/>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36416" behindDoc="0" locked="0" layoutInCell="1" allowOverlap="1">
                  <wp:simplePos x="0" y="0"/>
                  <wp:positionH relativeFrom="column">
                    <wp:posOffset>0</wp:posOffset>
                  </wp:positionH>
                  <wp:positionV relativeFrom="paragraph">
                    <wp:posOffset>0</wp:posOffset>
                  </wp:positionV>
                  <wp:extent cx="9525" cy="20955"/>
                  <wp:effectExtent l="0" t="0" r="0" b="0"/>
                  <wp:wrapNone/>
                  <wp:docPr id="1967" name="Picture_23_SpCnt_41"/>
                  <wp:cNvGraphicFramePr/>
                  <a:graphic xmlns:a="http://schemas.openxmlformats.org/drawingml/2006/main">
                    <a:graphicData uri="http://schemas.openxmlformats.org/drawingml/2006/picture">
                      <pic:pic xmlns:pic="http://schemas.openxmlformats.org/drawingml/2006/picture">
                        <pic:nvPicPr>
                          <pic:cNvPr id="1967" name="Picture_23_SpCnt_41"/>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37440" behindDoc="0" locked="0" layoutInCell="1" allowOverlap="1">
                  <wp:simplePos x="0" y="0"/>
                  <wp:positionH relativeFrom="column">
                    <wp:posOffset>0</wp:posOffset>
                  </wp:positionH>
                  <wp:positionV relativeFrom="paragraph">
                    <wp:posOffset>0</wp:posOffset>
                  </wp:positionV>
                  <wp:extent cx="9525" cy="20955"/>
                  <wp:effectExtent l="0" t="0" r="0" b="0"/>
                  <wp:wrapNone/>
                  <wp:docPr id="1968" name="Picture_22_SpCnt_42"/>
                  <wp:cNvGraphicFramePr/>
                  <a:graphic xmlns:a="http://schemas.openxmlformats.org/drawingml/2006/main">
                    <a:graphicData uri="http://schemas.openxmlformats.org/drawingml/2006/picture">
                      <pic:pic xmlns:pic="http://schemas.openxmlformats.org/drawingml/2006/picture">
                        <pic:nvPicPr>
                          <pic:cNvPr id="1968" name="Picture_22_SpCnt_42"/>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38464" behindDoc="0" locked="0" layoutInCell="1" allowOverlap="1">
                  <wp:simplePos x="0" y="0"/>
                  <wp:positionH relativeFrom="column">
                    <wp:posOffset>0</wp:posOffset>
                  </wp:positionH>
                  <wp:positionV relativeFrom="paragraph">
                    <wp:posOffset>0</wp:posOffset>
                  </wp:positionV>
                  <wp:extent cx="9525" cy="20955"/>
                  <wp:effectExtent l="0" t="0" r="0" b="0"/>
                  <wp:wrapNone/>
                  <wp:docPr id="1969" name="Picture_45_SpCnt_42"/>
                  <wp:cNvGraphicFramePr/>
                  <a:graphic xmlns:a="http://schemas.openxmlformats.org/drawingml/2006/main">
                    <a:graphicData uri="http://schemas.openxmlformats.org/drawingml/2006/picture">
                      <pic:pic xmlns:pic="http://schemas.openxmlformats.org/drawingml/2006/picture">
                        <pic:nvPicPr>
                          <pic:cNvPr id="1969" name="Picture_45_SpCnt_42"/>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39488" behindDoc="0" locked="0" layoutInCell="1" allowOverlap="1">
                  <wp:simplePos x="0" y="0"/>
                  <wp:positionH relativeFrom="column">
                    <wp:posOffset>0</wp:posOffset>
                  </wp:positionH>
                  <wp:positionV relativeFrom="paragraph">
                    <wp:posOffset>0</wp:posOffset>
                  </wp:positionV>
                  <wp:extent cx="9525" cy="20955"/>
                  <wp:effectExtent l="0" t="0" r="0" b="0"/>
                  <wp:wrapNone/>
                  <wp:docPr id="1970" name="Picture_44_SpCnt_45"/>
                  <wp:cNvGraphicFramePr/>
                  <a:graphic xmlns:a="http://schemas.openxmlformats.org/drawingml/2006/main">
                    <a:graphicData uri="http://schemas.openxmlformats.org/drawingml/2006/picture">
                      <pic:pic xmlns:pic="http://schemas.openxmlformats.org/drawingml/2006/picture">
                        <pic:nvPicPr>
                          <pic:cNvPr id="1970" name="Picture_44_SpCnt_45"/>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40512" behindDoc="0" locked="0" layoutInCell="1" allowOverlap="1">
                  <wp:simplePos x="0" y="0"/>
                  <wp:positionH relativeFrom="column">
                    <wp:posOffset>0</wp:posOffset>
                  </wp:positionH>
                  <wp:positionV relativeFrom="paragraph">
                    <wp:posOffset>0</wp:posOffset>
                  </wp:positionV>
                  <wp:extent cx="9525" cy="20955"/>
                  <wp:effectExtent l="0" t="0" r="0" b="0"/>
                  <wp:wrapNone/>
                  <wp:docPr id="1971" name="Picture_23_SpCnt_42"/>
                  <wp:cNvGraphicFramePr/>
                  <a:graphic xmlns:a="http://schemas.openxmlformats.org/drawingml/2006/main">
                    <a:graphicData uri="http://schemas.openxmlformats.org/drawingml/2006/picture">
                      <pic:pic xmlns:pic="http://schemas.openxmlformats.org/drawingml/2006/picture">
                        <pic:nvPicPr>
                          <pic:cNvPr id="1971" name="Picture_23_SpCnt_42"/>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41536" behindDoc="0" locked="0" layoutInCell="1" allowOverlap="1">
                  <wp:simplePos x="0" y="0"/>
                  <wp:positionH relativeFrom="column">
                    <wp:posOffset>0</wp:posOffset>
                  </wp:positionH>
                  <wp:positionV relativeFrom="paragraph">
                    <wp:posOffset>0</wp:posOffset>
                  </wp:positionV>
                  <wp:extent cx="9525" cy="20955"/>
                  <wp:effectExtent l="0" t="0" r="0" b="0"/>
                  <wp:wrapNone/>
                  <wp:docPr id="1972" name="Picture_22_SpCnt_43"/>
                  <wp:cNvGraphicFramePr/>
                  <a:graphic xmlns:a="http://schemas.openxmlformats.org/drawingml/2006/main">
                    <a:graphicData uri="http://schemas.openxmlformats.org/drawingml/2006/picture">
                      <pic:pic xmlns:pic="http://schemas.openxmlformats.org/drawingml/2006/picture">
                        <pic:nvPicPr>
                          <pic:cNvPr id="1972" name="Picture_22_SpCnt_43"/>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42560" behindDoc="0" locked="0" layoutInCell="1" allowOverlap="1">
                  <wp:simplePos x="0" y="0"/>
                  <wp:positionH relativeFrom="column">
                    <wp:posOffset>0</wp:posOffset>
                  </wp:positionH>
                  <wp:positionV relativeFrom="paragraph">
                    <wp:posOffset>0</wp:posOffset>
                  </wp:positionV>
                  <wp:extent cx="9525" cy="20955"/>
                  <wp:effectExtent l="0" t="0" r="0" b="0"/>
                  <wp:wrapNone/>
                  <wp:docPr id="1973" name="Picture_45_SpCnt_43"/>
                  <wp:cNvGraphicFramePr/>
                  <a:graphic xmlns:a="http://schemas.openxmlformats.org/drawingml/2006/main">
                    <a:graphicData uri="http://schemas.openxmlformats.org/drawingml/2006/picture">
                      <pic:pic xmlns:pic="http://schemas.openxmlformats.org/drawingml/2006/picture">
                        <pic:nvPicPr>
                          <pic:cNvPr id="1973" name="Picture_45_SpCnt_43"/>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9525" cy="20955"/>
                  <wp:effectExtent l="0" t="0" r="0" b="0"/>
                  <wp:wrapNone/>
                  <wp:docPr id="1974" name="Picture_44_SpCnt_46"/>
                  <wp:cNvGraphicFramePr/>
                  <a:graphic xmlns:a="http://schemas.openxmlformats.org/drawingml/2006/main">
                    <a:graphicData uri="http://schemas.openxmlformats.org/drawingml/2006/picture">
                      <pic:pic xmlns:pic="http://schemas.openxmlformats.org/drawingml/2006/picture">
                        <pic:nvPicPr>
                          <pic:cNvPr id="1974" name="Picture_44_SpCnt_46"/>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44608" behindDoc="0" locked="0" layoutInCell="1" allowOverlap="1">
                  <wp:simplePos x="0" y="0"/>
                  <wp:positionH relativeFrom="column">
                    <wp:posOffset>0</wp:posOffset>
                  </wp:positionH>
                  <wp:positionV relativeFrom="paragraph">
                    <wp:posOffset>0</wp:posOffset>
                  </wp:positionV>
                  <wp:extent cx="9525" cy="20955"/>
                  <wp:effectExtent l="0" t="0" r="0" b="0"/>
                  <wp:wrapNone/>
                  <wp:docPr id="1975" name="Picture_23_SpCnt_43"/>
                  <wp:cNvGraphicFramePr/>
                  <a:graphic xmlns:a="http://schemas.openxmlformats.org/drawingml/2006/main">
                    <a:graphicData uri="http://schemas.openxmlformats.org/drawingml/2006/picture">
                      <pic:pic xmlns:pic="http://schemas.openxmlformats.org/drawingml/2006/picture">
                        <pic:nvPicPr>
                          <pic:cNvPr id="1975" name="Picture_23_SpCnt_43"/>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9525" cy="20955"/>
                  <wp:effectExtent l="0" t="0" r="0" b="0"/>
                  <wp:wrapNone/>
                  <wp:docPr id="1976" name="Picture_22_SpCnt_44"/>
                  <wp:cNvGraphicFramePr/>
                  <a:graphic xmlns:a="http://schemas.openxmlformats.org/drawingml/2006/main">
                    <a:graphicData uri="http://schemas.openxmlformats.org/drawingml/2006/picture">
                      <pic:pic xmlns:pic="http://schemas.openxmlformats.org/drawingml/2006/picture">
                        <pic:nvPicPr>
                          <pic:cNvPr id="1976" name="Picture_22_SpCnt_44"/>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46656" behindDoc="0" locked="0" layoutInCell="1" allowOverlap="1">
                  <wp:simplePos x="0" y="0"/>
                  <wp:positionH relativeFrom="column">
                    <wp:posOffset>0</wp:posOffset>
                  </wp:positionH>
                  <wp:positionV relativeFrom="paragraph">
                    <wp:posOffset>0</wp:posOffset>
                  </wp:positionV>
                  <wp:extent cx="9525" cy="20955"/>
                  <wp:effectExtent l="0" t="0" r="0" b="0"/>
                  <wp:wrapNone/>
                  <wp:docPr id="1977" name="Picture_23_SpCnt_44"/>
                  <wp:cNvGraphicFramePr/>
                  <a:graphic xmlns:a="http://schemas.openxmlformats.org/drawingml/2006/main">
                    <a:graphicData uri="http://schemas.openxmlformats.org/drawingml/2006/picture">
                      <pic:pic xmlns:pic="http://schemas.openxmlformats.org/drawingml/2006/picture">
                        <pic:nvPicPr>
                          <pic:cNvPr id="1977" name="Picture_23_SpCnt_44"/>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47680" behindDoc="0" locked="0" layoutInCell="1" allowOverlap="1">
                  <wp:simplePos x="0" y="0"/>
                  <wp:positionH relativeFrom="column">
                    <wp:posOffset>0</wp:posOffset>
                  </wp:positionH>
                  <wp:positionV relativeFrom="paragraph">
                    <wp:posOffset>0</wp:posOffset>
                  </wp:positionV>
                  <wp:extent cx="9525" cy="20955"/>
                  <wp:effectExtent l="0" t="0" r="0" b="0"/>
                  <wp:wrapNone/>
                  <wp:docPr id="1978" name="Picture_45_SpCnt_44"/>
                  <wp:cNvGraphicFramePr/>
                  <a:graphic xmlns:a="http://schemas.openxmlformats.org/drawingml/2006/main">
                    <a:graphicData uri="http://schemas.openxmlformats.org/drawingml/2006/picture">
                      <pic:pic xmlns:pic="http://schemas.openxmlformats.org/drawingml/2006/picture">
                        <pic:nvPicPr>
                          <pic:cNvPr id="1978" name="Picture_45_SpCnt_44"/>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48704" behindDoc="0" locked="0" layoutInCell="1" allowOverlap="1">
                  <wp:simplePos x="0" y="0"/>
                  <wp:positionH relativeFrom="column">
                    <wp:posOffset>0</wp:posOffset>
                  </wp:positionH>
                  <wp:positionV relativeFrom="paragraph">
                    <wp:posOffset>0</wp:posOffset>
                  </wp:positionV>
                  <wp:extent cx="9525" cy="20955"/>
                  <wp:effectExtent l="0" t="0" r="0" b="0"/>
                  <wp:wrapNone/>
                  <wp:docPr id="1979" name="Picture_22_SpCnt_45"/>
                  <wp:cNvGraphicFramePr/>
                  <a:graphic xmlns:a="http://schemas.openxmlformats.org/drawingml/2006/main">
                    <a:graphicData uri="http://schemas.openxmlformats.org/drawingml/2006/picture">
                      <pic:pic xmlns:pic="http://schemas.openxmlformats.org/drawingml/2006/picture">
                        <pic:nvPicPr>
                          <pic:cNvPr id="1979" name="Picture_22_SpCnt_45"/>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49728" behindDoc="0" locked="0" layoutInCell="1" allowOverlap="1">
                  <wp:simplePos x="0" y="0"/>
                  <wp:positionH relativeFrom="column">
                    <wp:posOffset>0</wp:posOffset>
                  </wp:positionH>
                  <wp:positionV relativeFrom="paragraph">
                    <wp:posOffset>0</wp:posOffset>
                  </wp:positionV>
                  <wp:extent cx="9525" cy="20955"/>
                  <wp:effectExtent l="0" t="0" r="0" b="0"/>
                  <wp:wrapNone/>
                  <wp:docPr id="1980" name="Picture_45_SpCnt_45"/>
                  <wp:cNvGraphicFramePr/>
                  <a:graphic xmlns:a="http://schemas.openxmlformats.org/drawingml/2006/main">
                    <a:graphicData uri="http://schemas.openxmlformats.org/drawingml/2006/picture">
                      <pic:pic xmlns:pic="http://schemas.openxmlformats.org/drawingml/2006/picture">
                        <pic:nvPicPr>
                          <pic:cNvPr id="1980" name="Picture_45_SpCnt_45"/>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50752" behindDoc="0" locked="0" layoutInCell="1" allowOverlap="1">
                  <wp:simplePos x="0" y="0"/>
                  <wp:positionH relativeFrom="column">
                    <wp:posOffset>0</wp:posOffset>
                  </wp:positionH>
                  <wp:positionV relativeFrom="paragraph">
                    <wp:posOffset>0</wp:posOffset>
                  </wp:positionV>
                  <wp:extent cx="9525" cy="20955"/>
                  <wp:effectExtent l="0" t="0" r="0" b="0"/>
                  <wp:wrapNone/>
                  <wp:docPr id="1981" name="Picture_44_SpCnt_47"/>
                  <wp:cNvGraphicFramePr/>
                  <a:graphic xmlns:a="http://schemas.openxmlformats.org/drawingml/2006/main">
                    <a:graphicData uri="http://schemas.openxmlformats.org/drawingml/2006/picture">
                      <pic:pic xmlns:pic="http://schemas.openxmlformats.org/drawingml/2006/picture">
                        <pic:nvPicPr>
                          <pic:cNvPr id="1981" name="Picture_44_SpCnt_47"/>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51776" behindDoc="0" locked="0" layoutInCell="1" allowOverlap="1">
                  <wp:simplePos x="0" y="0"/>
                  <wp:positionH relativeFrom="column">
                    <wp:posOffset>0</wp:posOffset>
                  </wp:positionH>
                  <wp:positionV relativeFrom="paragraph">
                    <wp:posOffset>0</wp:posOffset>
                  </wp:positionV>
                  <wp:extent cx="9525" cy="20955"/>
                  <wp:effectExtent l="0" t="0" r="0" b="0"/>
                  <wp:wrapNone/>
                  <wp:docPr id="1982" name="Picture_23_SpCnt_45"/>
                  <wp:cNvGraphicFramePr/>
                  <a:graphic xmlns:a="http://schemas.openxmlformats.org/drawingml/2006/main">
                    <a:graphicData uri="http://schemas.openxmlformats.org/drawingml/2006/picture">
                      <pic:pic xmlns:pic="http://schemas.openxmlformats.org/drawingml/2006/picture">
                        <pic:nvPicPr>
                          <pic:cNvPr id="1982" name="Picture_23_SpCnt_45"/>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52800" behindDoc="0" locked="0" layoutInCell="1" allowOverlap="1">
                  <wp:simplePos x="0" y="0"/>
                  <wp:positionH relativeFrom="column">
                    <wp:posOffset>0</wp:posOffset>
                  </wp:positionH>
                  <wp:positionV relativeFrom="paragraph">
                    <wp:posOffset>0</wp:posOffset>
                  </wp:positionV>
                  <wp:extent cx="9525" cy="20955"/>
                  <wp:effectExtent l="0" t="0" r="0" b="0"/>
                  <wp:wrapNone/>
                  <wp:docPr id="1983" name="Picture_22_SpCnt_46"/>
                  <wp:cNvGraphicFramePr/>
                  <a:graphic xmlns:a="http://schemas.openxmlformats.org/drawingml/2006/main">
                    <a:graphicData uri="http://schemas.openxmlformats.org/drawingml/2006/picture">
                      <pic:pic xmlns:pic="http://schemas.openxmlformats.org/drawingml/2006/picture">
                        <pic:nvPicPr>
                          <pic:cNvPr id="1983" name="Picture_22_SpCnt_46"/>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53824" behindDoc="0" locked="0" layoutInCell="1" allowOverlap="1">
                  <wp:simplePos x="0" y="0"/>
                  <wp:positionH relativeFrom="column">
                    <wp:posOffset>0</wp:posOffset>
                  </wp:positionH>
                  <wp:positionV relativeFrom="paragraph">
                    <wp:posOffset>0</wp:posOffset>
                  </wp:positionV>
                  <wp:extent cx="9525" cy="20955"/>
                  <wp:effectExtent l="0" t="0" r="0" b="0"/>
                  <wp:wrapNone/>
                  <wp:docPr id="1984" name="Picture_23_SpCnt_46"/>
                  <wp:cNvGraphicFramePr/>
                  <a:graphic xmlns:a="http://schemas.openxmlformats.org/drawingml/2006/main">
                    <a:graphicData uri="http://schemas.openxmlformats.org/drawingml/2006/picture">
                      <pic:pic xmlns:pic="http://schemas.openxmlformats.org/drawingml/2006/picture">
                        <pic:nvPicPr>
                          <pic:cNvPr id="1984" name="Picture_23_SpCnt_46"/>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54848" behindDoc="0" locked="0" layoutInCell="1" allowOverlap="1">
                  <wp:simplePos x="0" y="0"/>
                  <wp:positionH relativeFrom="column">
                    <wp:posOffset>0</wp:posOffset>
                  </wp:positionH>
                  <wp:positionV relativeFrom="paragraph">
                    <wp:posOffset>0</wp:posOffset>
                  </wp:positionV>
                  <wp:extent cx="9525" cy="20955"/>
                  <wp:effectExtent l="0" t="0" r="0" b="0"/>
                  <wp:wrapNone/>
                  <wp:docPr id="1985" name="Picture_45_SpCnt_46"/>
                  <wp:cNvGraphicFramePr/>
                  <a:graphic xmlns:a="http://schemas.openxmlformats.org/drawingml/2006/main">
                    <a:graphicData uri="http://schemas.openxmlformats.org/drawingml/2006/picture">
                      <pic:pic xmlns:pic="http://schemas.openxmlformats.org/drawingml/2006/picture">
                        <pic:nvPicPr>
                          <pic:cNvPr id="1985" name="Picture_45_SpCnt_46"/>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55872" behindDoc="0" locked="0" layoutInCell="1" allowOverlap="1">
                  <wp:simplePos x="0" y="0"/>
                  <wp:positionH relativeFrom="column">
                    <wp:posOffset>0</wp:posOffset>
                  </wp:positionH>
                  <wp:positionV relativeFrom="paragraph">
                    <wp:posOffset>0</wp:posOffset>
                  </wp:positionV>
                  <wp:extent cx="9525" cy="20955"/>
                  <wp:effectExtent l="0" t="0" r="0" b="0"/>
                  <wp:wrapNone/>
                  <wp:docPr id="1986" name="Picture_22_SpCnt_47"/>
                  <wp:cNvGraphicFramePr/>
                  <a:graphic xmlns:a="http://schemas.openxmlformats.org/drawingml/2006/main">
                    <a:graphicData uri="http://schemas.openxmlformats.org/drawingml/2006/picture">
                      <pic:pic xmlns:pic="http://schemas.openxmlformats.org/drawingml/2006/picture">
                        <pic:nvPicPr>
                          <pic:cNvPr id="1986" name="Picture_22_SpCnt_47"/>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56896" behindDoc="0" locked="0" layoutInCell="1" allowOverlap="1">
                  <wp:simplePos x="0" y="0"/>
                  <wp:positionH relativeFrom="column">
                    <wp:posOffset>0</wp:posOffset>
                  </wp:positionH>
                  <wp:positionV relativeFrom="paragraph">
                    <wp:posOffset>0</wp:posOffset>
                  </wp:positionV>
                  <wp:extent cx="9525" cy="20955"/>
                  <wp:effectExtent l="0" t="0" r="0" b="0"/>
                  <wp:wrapNone/>
                  <wp:docPr id="1987" name="Picture_23_SpCnt_47"/>
                  <wp:cNvGraphicFramePr/>
                  <a:graphic xmlns:a="http://schemas.openxmlformats.org/drawingml/2006/main">
                    <a:graphicData uri="http://schemas.openxmlformats.org/drawingml/2006/picture">
                      <pic:pic xmlns:pic="http://schemas.openxmlformats.org/drawingml/2006/picture">
                        <pic:nvPicPr>
                          <pic:cNvPr id="1987" name="Picture_23_SpCnt_47"/>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57920" behindDoc="0" locked="0" layoutInCell="1" allowOverlap="1">
                  <wp:simplePos x="0" y="0"/>
                  <wp:positionH relativeFrom="column">
                    <wp:posOffset>0</wp:posOffset>
                  </wp:positionH>
                  <wp:positionV relativeFrom="paragraph">
                    <wp:posOffset>0</wp:posOffset>
                  </wp:positionV>
                  <wp:extent cx="9525" cy="20955"/>
                  <wp:effectExtent l="0" t="0" r="0" b="0"/>
                  <wp:wrapNone/>
                  <wp:docPr id="1988" name="Picture_45_SpCnt_47"/>
                  <wp:cNvGraphicFramePr/>
                  <a:graphic xmlns:a="http://schemas.openxmlformats.org/drawingml/2006/main">
                    <a:graphicData uri="http://schemas.openxmlformats.org/drawingml/2006/picture">
                      <pic:pic xmlns:pic="http://schemas.openxmlformats.org/drawingml/2006/picture">
                        <pic:nvPicPr>
                          <pic:cNvPr id="1988" name="Picture_45_SpCnt_47"/>
                          <pic:cNvPicPr/>
                        </pic:nvPicPr>
                        <pic:blipFill>
                          <a:blip r:embed="rId7"/>
                          <a:stretch>
                            <a:fillRect/>
                          </a:stretch>
                        </pic:blipFill>
                        <pic:spPr>
                          <a:xfrm>
                            <a:off x="0" y="0"/>
                            <a:ext cx="9525" cy="20955"/>
                          </a:xfrm>
                          <a:prstGeom prst="rect">
                            <a:avLst/>
                          </a:prstGeom>
                          <a:noFill/>
                          <a:ln>
                            <a:noFill/>
                          </a:ln>
                        </pic:spPr>
                      </pic:pic>
                    </a:graphicData>
                  </a:graphic>
                </wp:anchor>
              </w:drawing>
            </w:r>
            <w:r>
              <w:rPr>
                <w:rFonts w:hint="eastAsia" w:ascii="宋体" w:hAnsi="宋体" w:cs="宋体"/>
                <w:color w:val="auto"/>
                <w:kern w:val="0"/>
                <w:szCs w:val="21"/>
                <w:lang w:bidi="ar"/>
              </w:rPr>
              <w:t>250000.00</w:t>
            </w:r>
          </w:p>
        </w:tc>
      </w:tr>
      <w:tr w14:paraId="398E3D9F">
        <w:tblPrEx>
          <w:tblCellMar>
            <w:top w:w="0" w:type="dxa"/>
            <w:left w:w="108" w:type="dxa"/>
            <w:bottom w:w="0" w:type="dxa"/>
            <w:right w:w="108" w:type="dxa"/>
          </w:tblCellMar>
        </w:tblPrEx>
        <w:trPr>
          <w:trHeight w:val="551" w:hRule="atLeast"/>
        </w:trPr>
        <w:tc>
          <w:tcPr>
            <w:tcW w:w="765" w:type="dxa"/>
            <w:tcBorders>
              <w:top w:val="single" w:color="000000" w:sz="4" w:space="0"/>
              <w:left w:val="single" w:color="000000" w:sz="4" w:space="0"/>
              <w:bottom w:val="single" w:color="000000" w:sz="4" w:space="0"/>
              <w:right w:val="single" w:color="000000" w:sz="4" w:space="0"/>
            </w:tcBorders>
            <w:vAlign w:val="center"/>
          </w:tcPr>
          <w:p w14:paraId="689B4031">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3</w:t>
            </w:r>
          </w:p>
        </w:tc>
        <w:tc>
          <w:tcPr>
            <w:tcW w:w="1151" w:type="dxa"/>
            <w:tcBorders>
              <w:top w:val="single" w:color="000000" w:sz="4" w:space="0"/>
              <w:left w:val="single" w:color="000000" w:sz="4" w:space="0"/>
              <w:bottom w:val="single" w:color="000000" w:sz="4" w:space="0"/>
              <w:right w:val="single" w:color="000000" w:sz="4" w:space="0"/>
            </w:tcBorders>
            <w:vAlign w:val="center"/>
          </w:tcPr>
          <w:p w14:paraId="26FA79BC">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智能尿湿报警器</w:t>
            </w:r>
          </w:p>
        </w:tc>
        <w:tc>
          <w:tcPr>
            <w:tcW w:w="6018" w:type="dxa"/>
            <w:tcBorders>
              <w:top w:val="single" w:color="000000" w:sz="4" w:space="0"/>
              <w:left w:val="single" w:color="000000" w:sz="4" w:space="0"/>
              <w:bottom w:val="single" w:color="000000" w:sz="4" w:space="0"/>
              <w:right w:val="single" w:color="000000" w:sz="4" w:space="0"/>
            </w:tcBorders>
            <w:vAlign w:val="center"/>
          </w:tcPr>
          <w:p w14:paraId="721CE448">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包含智能报警网光灯和智能尿湿传感器，配合智能成人纸尿裤使用，可重复多次使用。通过智能生活APP，实现报警网关灯和传感器的一对一或者一对多连接，网关灯和手机APP可以同时实现尿量报警、尿量记录、翻身提醒、睡姿检测、用片统计、环境温度等。能感应尿湿报警，配合报警器使用，一次性使用产品。采用高分子防臭材料、防漏透气底膜、海量吸收、瞬间锁水、舒适干爽。</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1.具有2条尿湿感应线，清楚尿湿指示，感应灵敏；                                                                 2.适用臀围：</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 L码：37-47‘’/95-120cm</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 xml:space="preserve">2. XL码：≥43''/≥110cm     </w:t>
            </w:r>
          </w:p>
        </w:tc>
        <w:tc>
          <w:tcPr>
            <w:tcW w:w="710" w:type="dxa"/>
            <w:tcBorders>
              <w:top w:val="single" w:color="000000" w:sz="4" w:space="0"/>
              <w:left w:val="single" w:color="000000" w:sz="4" w:space="0"/>
              <w:bottom w:val="single" w:color="000000" w:sz="4" w:space="0"/>
              <w:right w:val="single" w:color="000000" w:sz="4" w:space="0"/>
            </w:tcBorders>
            <w:vAlign w:val="center"/>
          </w:tcPr>
          <w:p w14:paraId="596E86D4">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4</w:t>
            </w:r>
          </w:p>
        </w:tc>
        <w:tc>
          <w:tcPr>
            <w:tcW w:w="660" w:type="dxa"/>
            <w:tcBorders>
              <w:top w:val="single" w:color="000000" w:sz="4" w:space="0"/>
              <w:left w:val="single" w:color="000000" w:sz="4" w:space="0"/>
              <w:bottom w:val="single" w:color="000000" w:sz="4" w:space="0"/>
              <w:right w:val="single" w:color="000000" w:sz="4" w:space="0"/>
            </w:tcBorders>
            <w:vAlign w:val="center"/>
          </w:tcPr>
          <w:p w14:paraId="003769C8">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套</w:t>
            </w:r>
          </w:p>
        </w:tc>
        <w:tc>
          <w:tcPr>
            <w:tcW w:w="1242" w:type="dxa"/>
            <w:tcBorders>
              <w:top w:val="single" w:color="000000" w:sz="4" w:space="0"/>
              <w:left w:val="single" w:color="000000" w:sz="4" w:space="0"/>
              <w:bottom w:val="single" w:color="000000" w:sz="4" w:space="0"/>
              <w:right w:val="single" w:color="000000" w:sz="4" w:space="0"/>
            </w:tcBorders>
            <w:vAlign w:val="center"/>
          </w:tcPr>
          <w:p w14:paraId="68E1CD4F">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 895.00 </w:t>
            </w:r>
          </w:p>
        </w:tc>
      </w:tr>
      <w:tr w14:paraId="346450C6">
        <w:tblPrEx>
          <w:tblCellMar>
            <w:top w:w="0" w:type="dxa"/>
            <w:left w:w="108" w:type="dxa"/>
            <w:bottom w:w="0" w:type="dxa"/>
            <w:right w:w="108" w:type="dxa"/>
          </w:tblCellMar>
        </w:tblPrEx>
        <w:trPr>
          <w:trHeight w:val="6792" w:hRule="atLeast"/>
        </w:trPr>
        <w:tc>
          <w:tcPr>
            <w:tcW w:w="765" w:type="dxa"/>
            <w:tcBorders>
              <w:top w:val="single" w:color="000000" w:sz="4" w:space="0"/>
              <w:left w:val="single" w:color="000000" w:sz="4" w:space="0"/>
              <w:bottom w:val="single" w:color="000000" w:sz="4" w:space="0"/>
              <w:right w:val="single" w:color="000000" w:sz="4" w:space="0"/>
            </w:tcBorders>
            <w:vAlign w:val="center"/>
          </w:tcPr>
          <w:p w14:paraId="20DED089">
            <w:pPr>
              <w:widowControl/>
              <w:spacing w:line="360" w:lineRule="auto"/>
              <w:jc w:val="center"/>
              <w:textAlignment w:val="center"/>
              <w:rPr>
                <w:rFonts w:hint="eastAsia" w:ascii="宋体" w:hAnsi="宋体" w:cs="宋体"/>
                <w:color w:val="auto"/>
                <w:kern w:val="0"/>
                <w:szCs w:val="21"/>
                <w:lang w:bidi="ar"/>
              </w:rPr>
            </w:pPr>
            <w:bookmarkStart w:id="24" w:name="_Hlk201796626"/>
            <w:r>
              <w:rPr>
                <w:rFonts w:hint="eastAsia" w:ascii="宋体" w:hAnsi="宋体" w:cs="宋体"/>
                <w:color w:val="auto"/>
                <w:kern w:val="0"/>
                <w:szCs w:val="21"/>
                <w:lang w:bidi="ar"/>
              </w:rPr>
              <w:t>4</w:t>
            </w:r>
          </w:p>
        </w:tc>
        <w:tc>
          <w:tcPr>
            <w:tcW w:w="1151" w:type="dxa"/>
            <w:tcBorders>
              <w:top w:val="single" w:color="000000" w:sz="4" w:space="0"/>
              <w:left w:val="single" w:color="000000" w:sz="4" w:space="0"/>
              <w:bottom w:val="single" w:color="000000" w:sz="4" w:space="0"/>
              <w:right w:val="single" w:color="000000" w:sz="4" w:space="0"/>
            </w:tcBorders>
            <w:vAlign w:val="center"/>
          </w:tcPr>
          <w:p w14:paraId="1EF2CE18">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智能健康管理一体机（检测仪器）</w:t>
            </w:r>
          </w:p>
        </w:tc>
        <w:tc>
          <w:tcPr>
            <w:tcW w:w="6018" w:type="dxa"/>
            <w:tcBorders>
              <w:top w:val="single" w:color="000000" w:sz="4" w:space="0"/>
              <w:left w:val="single" w:color="000000" w:sz="4" w:space="0"/>
              <w:bottom w:val="single" w:color="000000" w:sz="4" w:space="0"/>
              <w:right w:val="single" w:color="000000" w:sz="4" w:space="0"/>
            </w:tcBorders>
            <w:vAlign w:val="center"/>
          </w:tcPr>
          <w:p w14:paraId="63D93CA4">
            <w:pPr>
              <w:widowControl/>
              <w:spacing w:after="200"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智能健康管理一体机（检测仪器）需求：</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★一、主要功能：</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身高、体重、BMI、人体成分（人体脂肪量、脂肪率、基础代谢、体水分含量、体水分率、体肌肉量、体肌肉率、蛋白质量、蛋白质率、骨盐重量、去脂体重、细胞内液量、细胞内液率、细胞外液量、细胞外液率、内脏脂肪等级，骨量共17项）、血压，心率、血氧饱和度、体温、中医体质辨识、视力、色盲多项检测功能；</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二、四种登录方式：</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a：身份证登录；  b：微信登录；C：人脸识别登录；d:手工登录</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三、产品特点：</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3.1、智能体检一体机检测的数据可实时传输、存储、处理；身份证读卡器、触控屏须嵌入到测量平台内成为一个整体，目视看不到任何的连接线。</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3.2、良好的设备专业感和人机交互能力，自带座椅，满足居民的自助式使用，现场无需医护人员的使用指引。</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3.3、落地实施能力强，支持封闭或相对开放的场所，设备落地并接入电源就可展开健康服务工作。</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四、配置要求</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4.1智能体检一体机主控台要求采用一体化设计，具备二代身份证识别、触控屏人机交互、智能系统控制、健康信息管理等功能，且实现以上功能的所有相关设施设备均应内嵌在主控台内。</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4.2二代身份证识别模块技术要求</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采用内置式，符合居民身份证阅读器通用技术要求，兼容ISO14443（TYPE-B）标准；采用非接触式IC卡技术，与计算机或其它设备连接可用于读取居民身份证专用芯片内相关信息；阅读时间：＜0.5s；</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系统及显示：14寸真彩触摸电容显示，使用寿命：大于50000小时，Android 7.1.2以上系统，内部储存16G；支持RJ-45，USB，RS-232，WIFI互联，支持系统在线更新；</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身高体重检测：1、身高测量方式：超声波测量</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2、体重测量方式:精密平衡梁式压力传感器称重</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3、身高测量范围：0cm～210cm；身高分度值1mm；误差：±1mm</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4、称重范围：1kg～200kg；分度值：100克；误差：±100克</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5、BMI:国际通用计算方式自动计算；</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血压检测：血压计支持前后伸缩，左右旋转，方便不同人群、不同方向测量；</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测量方法：脉搏波法；测量范围：压力:（0-280） mmHg [ （0-40） kPa]，脉搏：40次/分</w:t>
            </w:r>
            <w:r>
              <w:rPr>
                <w:rStyle w:val="94"/>
                <w:rFonts w:hint="default"/>
                <w:color w:val="auto"/>
                <w:sz w:val="21"/>
                <w:szCs w:val="21"/>
                <w:lang w:bidi="ar"/>
              </w:rPr>
              <w:t>〜</w:t>
            </w:r>
            <w:r>
              <w:rPr>
                <w:rStyle w:val="177"/>
                <w:rFonts w:hint="default"/>
                <w:color w:val="auto"/>
                <w:sz w:val="21"/>
                <w:szCs w:val="21"/>
                <w:lang w:bidi="ar"/>
              </w:rPr>
              <w:t>180次/分，测量准确度：压力：±3mmHg（土0.267kPa）以内；</w:t>
            </w:r>
            <w:r>
              <w:rPr>
                <w:rStyle w:val="177"/>
                <w:rFonts w:hint="default"/>
                <w:color w:val="auto"/>
                <w:sz w:val="21"/>
                <w:szCs w:val="21"/>
                <w:lang w:bidi="ar"/>
              </w:rPr>
              <w:br w:type="textWrapping"/>
            </w:r>
            <w:r>
              <w:rPr>
                <w:rStyle w:val="177"/>
                <w:rFonts w:hint="default"/>
                <w:color w:val="auto"/>
                <w:sz w:val="21"/>
                <w:szCs w:val="21"/>
                <w:lang w:bidi="ar"/>
              </w:rPr>
              <w:t>脉搏：40-180次±2%以内；测量位置：左右臂均可测量 ；压力监测：高精密半导体压力传感器；加压：压力泵自动加压方式；减压：线性电磁控制阀自动减压系统；超压保护：压力超过300mniHg时，急速排；肘部位置传感器：有准确定位肱动脉；</w:t>
            </w:r>
            <w:r>
              <w:rPr>
                <w:rStyle w:val="177"/>
                <w:rFonts w:hint="default"/>
                <w:color w:val="auto"/>
                <w:sz w:val="21"/>
                <w:szCs w:val="21"/>
                <w:lang w:bidi="ar"/>
              </w:rPr>
              <w:br w:type="textWrapping"/>
            </w:r>
            <w:r>
              <w:rPr>
                <w:rStyle w:val="177"/>
                <w:rFonts w:hint="default"/>
                <w:color w:val="auto"/>
                <w:sz w:val="21"/>
                <w:szCs w:val="21"/>
                <w:lang w:bidi="ar"/>
              </w:rPr>
              <w:t>人体成分检测：1、性能：人体电阻法精准测量人体脂肪量、脂肪率、基础代谢、体水分含量、体水分率、体肌肉量、体肌肉率、蛋白质量、蛋白质率、骨盐重量、去脂体重、细胞内液量、细胞内液率、细胞外液量、细胞外液率、内脏脂肪等级，骨量共17项指标；</w:t>
            </w:r>
            <w:r>
              <w:rPr>
                <w:rStyle w:val="177"/>
                <w:rFonts w:hint="default"/>
                <w:color w:val="auto"/>
                <w:sz w:val="21"/>
                <w:szCs w:val="21"/>
                <w:lang w:bidi="ar"/>
              </w:rPr>
              <w:br w:type="textWrapping"/>
            </w:r>
            <w:r>
              <w:rPr>
                <w:rStyle w:val="177"/>
                <w:rFonts w:hint="default"/>
                <w:color w:val="auto"/>
                <w:sz w:val="21"/>
                <w:szCs w:val="21"/>
                <w:lang w:bidi="ar"/>
              </w:rPr>
              <w:t>2、固定式脂肪测量仪，伸手即测，操作简单，使用方便</w:t>
            </w:r>
            <w:r>
              <w:rPr>
                <w:rStyle w:val="177"/>
                <w:rFonts w:hint="default"/>
                <w:color w:val="auto"/>
                <w:sz w:val="21"/>
                <w:szCs w:val="21"/>
                <w:lang w:bidi="ar"/>
              </w:rPr>
              <w:br w:type="textWrapping"/>
            </w:r>
            <w:r>
              <w:rPr>
                <w:rStyle w:val="177"/>
                <w:rFonts w:hint="default"/>
                <w:color w:val="auto"/>
                <w:sz w:val="21"/>
                <w:szCs w:val="21"/>
                <w:lang w:bidi="ar"/>
              </w:rPr>
              <w:t>3、身体脂肪率：5.0%-50%    分度值：0.5%</w:t>
            </w:r>
            <w:r>
              <w:rPr>
                <w:rStyle w:val="177"/>
                <w:rFonts w:hint="default"/>
                <w:color w:val="auto"/>
                <w:sz w:val="21"/>
                <w:szCs w:val="21"/>
                <w:lang w:bidi="ar"/>
              </w:rPr>
              <w:br w:type="textWrapping"/>
            </w:r>
            <w:r>
              <w:rPr>
                <w:rStyle w:val="177"/>
                <w:rFonts w:hint="default"/>
                <w:color w:val="auto"/>
                <w:sz w:val="21"/>
                <w:szCs w:val="21"/>
                <w:lang w:bidi="ar"/>
              </w:rPr>
              <w:t>4、男正常体脂率约在10～20%之间，女约在17～30%之间</w:t>
            </w:r>
            <w:r>
              <w:rPr>
                <w:rStyle w:val="177"/>
                <w:rFonts w:hint="default"/>
                <w:color w:val="auto"/>
                <w:sz w:val="21"/>
                <w:szCs w:val="21"/>
                <w:lang w:bidi="ar"/>
              </w:rPr>
              <w:br w:type="textWrapping"/>
            </w:r>
            <w:r>
              <w:rPr>
                <w:rStyle w:val="177"/>
                <w:rFonts w:hint="default"/>
                <w:color w:val="auto"/>
                <w:sz w:val="21"/>
                <w:szCs w:val="21"/>
                <w:lang w:bidi="ar"/>
              </w:rPr>
              <w:t>血氧检测：1、测量方式：指夹式</w:t>
            </w:r>
            <w:r>
              <w:rPr>
                <w:rStyle w:val="177"/>
                <w:rFonts w:hint="default"/>
                <w:color w:val="auto"/>
                <w:sz w:val="21"/>
                <w:szCs w:val="21"/>
                <w:lang w:bidi="ar"/>
              </w:rPr>
              <w:br w:type="textWrapping"/>
            </w:r>
            <w:r>
              <w:rPr>
                <w:rStyle w:val="177"/>
                <w:rFonts w:hint="default"/>
                <w:color w:val="auto"/>
                <w:sz w:val="21"/>
                <w:szCs w:val="21"/>
                <w:lang w:bidi="ar"/>
              </w:rPr>
              <w:t>2、血氧测量范围：35%～100%</w:t>
            </w:r>
            <w:r>
              <w:rPr>
                <w:rStyle w:val="177"/>
                <w:rFonts w:hint="default"/>
                <w:color w:val="auto"/>
                <w:sz w:val="21"/>
                <w:szCs w:val="21"/>
                <w:lang w:bidi="ar"/>
              </w:rPr>
              <w:br w:type="textWrapping"/>
            </w:r>
            <w:r>
              <w:rPr>
                <w:rStyle w:val="177"/>
                <w:rFonts w:hint="default"/>
                <w:color w:val="auto"/>
                <w:sz w:val="21"/>
                <w:szCs w:val="21"/>
                <w:lang w:bidi="ar"/>
              </w:rPr>
              <w:t>3、血氧测量误差：在 75%～100%范围内，测量误差为±2%</w:t>
            </w:r>
            <w:r>
              <w:rPr>
                <w:rStyle w:val="177"/>
                <w:rFonts w:hint="default"/>
                <w:color w:val="auto"/>
                <w:sz w:val="21"/>
                <w:szCs w:val="21"/>
                <w:lang w:bidi="ar"/>
              </w:rPr>
              <w:br w:type="textWrapping"/>
            </w:r>
            <w:r>
              <w:rPr>
                <w:rStyle w:val="177"/>
                <w:rFonts w:hint="default"/>
                <w:color w:val="auto"/>
                <w:sz w:val="21"/>
                <w:szCs w:val="21"/>
                <w:lang w:bidi="ar"/>
              </w:rPr>
              <w:t>4、脉率监测误差：30～240bpm范围内，监测误差为±2bpm或±2%，两者取最大</w:t>
            </w:r>
            <w:r>
              <w:rPr>
                <w:rStyle w:val="177"/>
                <w:rFonts w:hint="default"/>
                <w:color w:val="auto"/>
                <w:sz w:val="21"/>
                <w:szCs w:val="21"/>
                <w:lang w:bidi="ar"/>
              </w:rPr>
              <w:br w:type="textWrapping"/>
            </w:r>
            <w:r>
              <w:rPr>
                <w:rStyle w:val="177"/>
                <w:rFonts w:hint="default"/>
                <w:color w:val="auto"/>
                <w:sz w:val="21"/>
                <w:szCs w:val="21"/>
                <w:lang w:bidi="ar"/>
              </w:rPr>
              <w:t>5、分辨率：1%</w:t>
            </w:r>
            <w:r>
              <w:rPr>
                <w:rStyle w:val="177"/>
                <w:rFonts w:hint="default"/>
                <w:color w:val="auto"/>
                <w:sz w:val="21"/>
                <w:szCs w:val="21"/>
                <w:lang w:bidi="ar"/>
              </w:rPr>
              <w:br w:type="textWrapping"/>
            </w:r>
            <w:r>
              <w:rPr>
                <w:rStyle w:val="177"/>
                <w:rFonts w:hint="default"/>
                <w:color w:val="auto"/>
                <w:sz w:val="21"/>
                <w:szCs w:val="21"/>
                <w:lang w:bidi="ar"/>
              </w:rPr>
              <w:t>体温检测：1、方式：精密红外体温模块</w:t>
            </w:r>
            <w:r>
              <w:rPr>
                <w:rStyle w:val="177"/>
                <w:rFonts w:hint="default"/>
                <w:color w:val="auto"/>
                <w:sz w:val="21"/>
                <w:szCs w:val="21"/>
                <w:lang w:bidi="ar"/>
              </w:rPr>
              <w:br w:type="textWrapping"/>
            </w:r>
            <w:r>
              <w:rPr>
                <w:rStyle w:val="177"/>
                <w:rFonts w:hint="default"/>
                <w:color w:val="auto"/>
                <w:sz w:val="21"/>
                <w:szCs w:val="21"/>
                <w:lang w:bidi="ar"/>
              </w:rPr>
              <w:t>2、性能：采用高精度医用红外测温传感器，无需接触人体表面，自动触发测量，实时监测环境温度，进行温度补偿。</w:t>
            </w:r>
            <w:r>
              <w:rPr>
                <w:rStyle w:val="177"/>
                <w:rFonts w:hint="default"/>
                <w:color w:val="auto"/>
                <w:sz w:val="21"/>
                <w:szCs w:val="21"/>
                <w:lang w:bidi="ar"/>
              </w:rPr>
              <w:br w:type="textWrapping"/>
            </w:r>
            <w:r>
              <w:rPr>
                <w:rStyle w:val="177"/>
                <w:rFonts w:hint="default"/>
                <w:color w:val="auto"/>
                <w:sz w:val="21"/>
                <w:szCs w:val="21"/>
                <w:lang w:bidi="ar"/>
              </w:rPr>
              <w:t xml:space="preserve">3、体温范围：32℃-42℃  测量误差为±0.3℃ 分辨率：0.1℃   </w:t>
            </w:r>
            <w:r>
              <w:rPr>
                <w:rStyle w:val="177"/>
                <w:rFonts w:hint="default"/>
                <w:color w:val="auto"/>
                <w:sz w:val="21"/>
                <w:szCs w:val="21"/>
                <w:lang w:bidi="ar"/>
              </w:rPr>
              <w:br w:type="textWrapping"/>
            </w:r>
            <w:r>
              <w:rPr>
                <w:rStyle w:val="177"/>
                <w:rFonts w:hint="default"/>
                <w:color w:val="auto"/>
                <w:sz w:val="21"/>
                <w:szCs w:val="21"/>
                <w:lang w:bidi="ar"/>
              </w:rPr>
              <w:t>4、测量距离1-5CM</w:t>
            </w:r>
            <w:r>
              <w:rPr>
                <w:rStyle w:val="177"/>
                <w:rFonts w:hint="default"/>
                <w:color w:val="auto"/>
                <w:sz w:val="21"/>
                <w:szCs w:val="21"/>
                <w:lang w:bidi="ar"/>
              </w:rPr>
              <w:br w:type="textWrapping"/>
            </w:r>
            <w:r>
              <w:rPr>
                <w:rStyle w:val="177"/>
                <w:rFonts w:hint="default"/>
                <w:color w:val="auto"/>
                <w:sz w:val="21"/>
                <w:szCs w:val="21"/>
                <w:lang w:bidi="ar"/>
              </w:rPr>
              <w:t>5、测量部位：额头、手腕</w:t>
            </w:r>
            <w:r>
              <w:rPr>
                <w:rStyle w:val="177"/>
                <w:rFonts w:hint="default"/>
                <w:color w:val="auto"/>
                <w:sz w:val="21"/>
                <w:szCs w:val="21"/>
                <w:lang w:bidi="ar"/>
              </w:rPr>
              <w:br w:type="textWrapping"/>
            </w:r>
            <w:r>
              <w:rPr>
                <w:rStyle w:val="177"/>
                <w:rFonts w:hint="default"/>
                <w:color w:val="auto"/>
                <w:sz w:val="21"/>
                <w:szCs w:val="21"/>
                <w:lang w:bidi="ar"/>
              </w:rPr>
              <w:t>中医体质检测：功能要求-型中医体质，系统化数据统计，为基层医疗机构进行居民健康管理提供有效支持。根据需要可以选择66道问答题（中华医学会标准）或者33道问答题（国家基本公共卫生服务项目体质判定标准）</w:t>
            </w:r>
            <w:r>
              <w:rPr>
                <w:rStyle w:val="177"/>
                <w:rFonts w:hint="default"/>
                <w:color w:val="auto"/>
                <w:sz w:val="21"/>
                <w:szCs w:val="21"/>
                <w:lang w:bidi="ar"/>
              </w:rPr>
              <w:br w:type="textWrapping"/>
            </w:r>
            <w:r>
              <w:rPr>
                <w:rStyle w:val="177"/>
                <w:rFonts w:hint="default"/>
                <w:color w:val="auto"/>
                <w:sz w:val="21"/>
                <w:szCs w:val="21"/>
                <w:lang w:bidi="ar"/>
              </w:rPr>
              <w:t>视力检测：触屏测量，屏幕上显示测量量表，可小数法或五分法两种计分法切换</w:t>
            </w:r>
            <w:r>
              <w:rPr>
                <w:rStyle w:val="177"/>
                <w:rFonts w:hint="default"/>
                <w:color w:val="auto"/>
                <w:sz w:val="21"/>
                <w:szCs w:val="21"/>
                <w:lang w:bidi="ar"/>
              </w:rPr>
              <w:br w:type="textWrapping"/>
            </w:r>
            <w:r>
              <w:rPr>
                <w:rStyle w:val="177"/>
                <w:rFonts w:hint="default"/>
                <w:color w:val="auto"/>
                <w:sz w:val="21"/>
                <w:szCs w:val="21"/>
                <w:lang w:bidi="ar"/>
              </w:rPr>
              <w:t>色盲检测：触屏测量色盲，可检测色盲、疑似色盲</w:t>
            </w:r>
            <w:r>
              <w:rPr>
                <w:rStyle w:val="177"/>
                <w:rFonts w:hint="default"/>
                <w:color w:val="auto"/>
                <w:sz w:val="21"/>
                <w:szCs w:val="21"/>
                <w:lang w:bidi="ar"/>
              </w:rPr>
              <w:br w:type="textWrapping"/>
            </w:r>
            <w:r>
              <w:rPr>
                <w:rStyle w:val="177"/>
                <w:rFonts w:hint="default"/>
                <w:color w:val="auto"/>
                <w:sz w:val="21"/>
                <w:szCs w:val="21"/>
                <w:lang w:bidi="ar"/>
              </w:rPr>
              <w:t>打印系统：敏打印机，自动打印测量结果，可自行更改打印小票抬头</w:t>
            </w:r>
            <w:r>
              <w:rPr>
                <w:rStyle w:val="177"/>
                <w:rFonts w:hint="default"/>
                <w:color w:val="auto"/>
                <w:sz w:val="21"/>
                <w:szCs w:val="21"/>
                <w:lang w:bidi="ar"/>
              </w:rPr>
              <w:br w:type="textWrapping"/>
            </w:r>
            <w:r>
              <w:rPr>
                <w:rStyle w:val="177"/>
                <w:rFonts w:hint="default"/>
                <w:color w:val="auto"/>
                <w:sz w:val="21"/>
                <w:szCs w:val="21"/>
                <w:lang w:bidi="ar"/>
              </w:rPr>
              <w:t>软件要求：</w:t>
            </w:r>
            <w:r>
              <w:rPr>
                <w:rStyle w:val="177"/>
                <w:rFonts w:hint="default"/>
                <w:color w:val="auto"/>
                <w:sz w:val="21"/>
                <w:szCs w:val="21"/>
                <w:lang w:bidi="ar"/>
              </w:rPr>
              <w:br w:type="textWrapping"/>
            </w:r>
            <w:r>
              <w:rPr>
                <w:rStyle w:val="177"/>
                <w:rFonts w:hint="default"/>
                <w:color w:val="auto"/>
                <w:sz w:val="21"/>
                <w:szCs w:val="21"/>
                <w:lang w:bidi="ar"/>
              </w:rPr>
              <w:t>1、智能体检一体机系统软件技术要求</w:t>
            </w:r>
            <w:r>
              <w:rPr>
                <w:rStyle w:val="177"/>
                <w:rFonts w:hint="default"/>
                <w:color w:val="auto"/>
                <w:sz w:val="21"/>
                <w:szCs w:val="21"/>
                <w:lang w:bidi="ar"/>
              </w:rPr>
              <w:br w:type="textWrapping"/>
            </w:r>
            <w:r>
              <w:rPr>
                <w:rStyle w:val="177"/>
                <w:rFonts w:hint="default"/>
                <w:color w:val="auto"/>
                <w:sz w:val="21"/>
                <w:szCs w:val="21"/>
                <w:lang w:bidi="ar"/>
              </w:rPr>
              <w:t>1.1、自助建立电子健康档案</w:t>
            </w:r>
            <w:r>
              <w:rPr>
                <w:rStyle w:val="177"/>
                <w:rFonts w:hint="default"/>
                <w:color w:val="auto"/>
                <w:sz w:val="21"/>
                <w:szCs w:val="21"/>
                <w:lang w:bidi="ar"/>
              </w:rPr>
              <w:br w:type="textWrapping"/>
            </w:r>
            <w:r>
              <w:rPr>
                <w:rStyle w:val="177"/>
                <w:rFonts w:hint="default"/>
                <w:color w:val="auto"/>
                <w:sz w:val="21"/>
                <w:szCs w:val="21"/>
                <w:lang w:bidi="ar"/>
              </w:rPr>
              <w:t>初次使用的居民，支持刷二代身份证登录，系统自动识别人员信息采集本并自动形成个人健康档案。</w:t>
            </w:r>
            <w:r>
              <w:rPr>
                <w:rStyle w:val="177"/>
                <w:rFonts w:hint="default"/>
                <w:color w:val="auto"/>
                <w:sz w:val="21"/>
                <w:szCs w:val="21"/>
                <w:lang w:bidi="ar"/>
              </w:rPr>
              <w:br w:type="textWrapping"/>
            </w:r>
            <w:r>
              <w:rPr>
                <w:rStyle w:val="177"/>
                <w:rFonts w:hint="default"/>
                <w:color w:val="auto"/>
                <w:sz w:val="21"/>
                <w:szCs w:val="21"/>
                <w:lang w:bidi="ar"/>
              </w:rPr>
              <w:t>1.2、自助体检</w:t>
            </w:r>
            <w:r>
              <w:rPr>
                <w:rStyle w:val="177"/>
                <w:rFonts w:hint="default"/>
                <w:color w:val="auto"/>
                <w:sz w:val="21"/>
                <w:szCs w:val="21"/>
                <w:lang w:bidi="ar"/>
              </w:rPr>
              <w:br w:type="textWrapping"/>
            </w:r>
            <w:r>
              <w:rPr>
                <w:rStyle w:val="177"/>
                <w:rFonts w:hint="default"/>
                <w:color w:val="auto"/>
                <w:sz w:val="21"/>
                <w:szCs w:val="21"/>
                <w:lang w:bidi="ar"/>
              </w:rPr>
              <w:t>所有体检均通过触控屏人机交互提示，自助使用。</w:t>
            </w:r>
            <w:r>
              <w:rPr>
                <w:rStyle w:val="177"/>
                <w:rFonts w:hint="default"/>
                <w:color w:val="auto"/>
                <w:sz w:val="21"/>
                <w:szCs w:val="21"/>
                <w:lang w:bidi="ar"/>
              </w:rPr>
              <w:br w:type="textWrapping"/>
            </w:r>
            <w:r>
              <w:rPr>
                <w:rStyle w:val="177"/>
                <w:rFonts w:hint="default"/>
                <w:color w:val="auto"/>
                <w:sz w:val="21"/>
                <w:szCs w:val="21"/>
                <w:lang w:bidi="ar"/>
              </w:rPr>
              <w:t xml:space="preserve">1.3五种报告获取方式 a：屏幕显示检测报告，b：打印纸质检查报告，c：手机扫码获取体检报告，d：本机查询体检报告，d：健康管理云平台查询报告  </w:t>
            </w:r>
            <w:r>
              <w:rPr>
                <w:rStyle w:val="177"/>
                <w:rFonts w:hint="default"/>
                <w:color w:val="auto"/>
                <w:sz w:val="21"/>
                <w:szCs w:val="21"/>
                <w:lang w:bidi="ar"/>
              </w:rPr>
              <w:br w:type="textWrapping"/>
            </w:r>
            <w:r>
              <w:rPr>
                <w:rStyle w:val="177"/>
                <w:rFonts w:hint="default"/>
                <w:color w:val="auto"/>
                <w:sz w:val="21"/>
                <w:szCs w:val="21"/>
                <w:lang w:bidi="ar"/>
              </w:rPr>
              <w:t>1.4、数据管理</w:t>
            </w:r>
            <w:r>
              <w:rPr>
                <w:rStyle w:val="177"/>
                <w:rFonts w:hint="default"/>
                <w:color w:val="auto"/>
                <w:sz w:val="21"/>
                <w:szCs w:val="21"/>
                <w:lang w:bidi="ar"/>
              </w:rPr>
              <w:br w:type="textWrapping"/>
            </w:r>
            <w:r>
              <w:rPr>
                <w:rStyle w:val="177"/>
                <w:rFonts w:hint="default"/>
                <w:color w:val="auto"/>
                <w:sz w:val="21"/>
                <w:szCs w:val="21"/>
                <w:lang w:bidi="ar"/>
              </w:rPr>
              <w:t>测量数据自动保存本机，支持本机查询，支持网络云平台查询；</w:t>
            </w:r>
            <w:r>
              <w:rPr>
                <w:rStyle w:val="177"/>
                <w:rFonts w:hint="default"/>
                <w:color w:val="auto"/>
                <w:sz w:val="21"/>
                <w:szCs w:val="21"/>
                <w:lang w:bidi="ar"/>
              </w:rPr>
              <w:br w:type="textWrapping"/>
            </w:r>
            <w:r>
              <w:rPr>
                <w:rStyle w:val="177"/>
                <w:rFonts w:hint="default"/>
                <w:color w:val="auto"/>
                <w:sz w:val="21"/>
                <w:szCs w:val="21"/>
                <w:lang w:bidi="ar"/>
              </w:rPr>
              <w:t>1.5、智能体检一体机系统功能要求</w:t>
            </w:r>
            <w:r>
              <w:rPr>
                <w:rStyle w:val="177"/>
                <w:rFonts w:hint="default"/>
                <w:color w:val="auto"/>
                <w:sz w:val="21"/>
                <w:szCs w:val="21"/>
                <w:lang w:bidi="ar"/>
              </w:rPr>
              <w:br w:type="textWrapping"/>
            </w:r>
            <w:r>
              <w:rPr>
                <w:rStyle w:val="177"/>
                <w:rFonts w:hint="default"/>
                <w:color w:val="auto"/>
                <w:sz w:val="21"/>
                <w:szCs w:val="21"/>
                <w:lang w:bidi="ar"/>
              </w:rPr>
              <w:t>1.5.1、持卡授权管理：为用户通过二代身份证授权建立健康体检档案。持卡（二代身份证）可在各仪器进行体检，在智能体检一体机查询区查阅相应的体检报告。</w:t>
            </w:r>
            <w:r>
              <w:rPr>
                <w:rStyle w:val="177"/>
                <w:rFonts w:hint="default"/>
                <w:color w:val="auto"/>
                <w:sz w:val="21"/>
                <w:szCs w:val="21"/>
                <w:lang w:bidi="ar"/>
              </w:rPr>
              <w:br w:type="textWrapping"/>
            </w:r>
            <w:r>
              <w:rPr>
                <w:rStyle w:val="177"/>
                <w:rFonts w:hint="default"/>
                <w:color w:val="auto"/>
                <w:sz w:val="21"/>
                <w:szCs w:val="21"/>
                <w:lang w:bidi="ar"/>
              </w:rPr>
              <w:t>1.5.2、支持健康体检报告在智能体检一体机的打印。</w:t>
            </w:r>
            <w:r>
              <w:rPr>
                <w:rStyle w:val="177"/>
                <w:rFonts w:hint="default"/>
                <w:color w:val="auto"/>
                <w:sz w:val="21"/>
                <w:szCs w:val="21"/>
                <w:lang w:bidi="ar"/>
              </w:rPr>
              <w:br w:type="textWrapping"/>
            </w:r>
            <w:r>
              <w:rPr>
                <w:rStyle w:val="177"/>
                <w:rFonts w:hint="default"/>
                <w:color w:val="auto"/>
                <w:sz w:val="21"/>
                <w:szCs w:val="21"/>
                <w:lang w:bidi="ar"/>
              </w:rPr>
              <w:t>1.6、支持报告处理与分析</w:t>
            </w:r>
            <w:r>
              <w:rPr>
                <w:rStyle w:val="177"/>
                <w:rFonts w:hint="default"/>
                <w:color w:val="auto"/>
                <w:sz w:val="21"/>
                <w:szCs w:val="21"/>
                <w:lang w:bidi="ar"/>
              </w:rPr>
              <w:br w:type="textWrapping"/>
            </w:r>
            <w:r>
              <w:rPr>
                <w:rStyle w:val="177"/>
                <w:rFonts w:hint="default"/>
                <w:color w:val="auto"/>
                <w:sz w:val="21"/>
                <w:szCs w:val="21"/>
                <w:lang w:bidi="ar"/>
              </w:rPr>
              <w:t>1.6.1、支持个人体检结果自动生成体检报告；如有超标数据自动提示。</w:t>
            </w:r>
            <w:r>
              <w:rPr>
                <w:rStyle w:val="177"/>
                <w:rFonts w:hint="default"/>
                <w:color w:val="auto"/>
                <w:sz w:val="21"/>
                <w:szCs w:val="21"/>
                <w:lang w:bidi="ar"/>
              </w:rPr>
              <w:br w:type="textWrapping"/>
            </w:r>
            <w:r>
              <w:rPr>
                <w:rStyle w:val="177"/>
                <w:rFonts w:hint="default"/>
                <w:color w:val="auto"/>
                <w:sz w:val="21"/>
                <w:szCs w:val="21"/>
                <w:lang w:bidi="ar"/>
              </w:rPr>
              <w:t>1.6.2、可支持自定义报告格式，并可以生成PDF，JPG格式的文件。</w:t>
            </w:r>
            <w:r>
              <w:rPr>
                <w:rStyle w:val="177"/>
                <w:rFonts w:hint="default"/>
                <w:color w:val="auto"/>
                <w:sz w:val="21"/>
                <w:szCs w:val="21"/>
                <w:lang w:bidi="ar"/>
              </w:rPr>
              <w:br w:type="textWrapping"/>
            </w:r>
            <w:r>
              <w:rPr>
                <w:rStyle w:val="177"/>
                <w:rFonts w:hint="default"/>
                <w:color w:val="auto"/>
                <w:sz w:val="21"/>
                <w:szCs w:val="21"/>
                <w:lang w:bidi="ar"/>
              </w:rPr>
              <w:t>1.7、系统管理</w:t>
            </w:r>
            <w:r>
              <w:rPr>
                <w:rStyle w:val="177"/>
                <w:rFonts w:hint="default"/>
                <w:color w:val="auto"/>
                <w:sz w:val="21"/>
                <w:szCs w:val="21"/>
                <w:lang w:bidi="ar"/>
              </w:rPr>
              <w:br w:type="textWrapping"/>
            </w:r>
            <w:r>
              <w:rPr>
                <w:rStyle w:val="177"/>
                <w:rFonts w:hint="default"/>
                <w:color w:val="auto"/>
                <w:sz w:val="21"/>
                <w:szCs w:val="21"/>
                <w:lang w:bidi="ar"/>
              </w:rPr>
              <w:t>1.7.1、操作人员设置、权限设置。</w:t>
            </w:r>
            <w:r>
              <w:rPr>
                <w:rStyle w:val="177"/>
                <w:rFonts w:hint="default"/>
                <w:color w:val="auto"/>
                <w:sz w:val="21"/>
                <w:szCs w:val="21"/>
                <w:lang w:bidi="ar"/>
              </w:rPr>
              <w:br w:type="textWrapping"/>
            </w:r>
            <w:r>
              <w:rPr>
                <w:rStyle w:val="177"/>
                <w:rFonts w:hint="default"/>
                <w:color w:val="auto"/>
                <w:sz w:val="21"/>
                <w:szCs w:val="21"/>
                <w:lang w:bidi="ar"/>
              </w:rPr>
              <w:br w:type="textWrapping"/>
            </w:r>
            <w:r>
              <w:rPr>
                <w:rStyle w:val="177"/>
                <w:rFonts w:hint="default"/>
                <w:color w:val="auto"/>
                <w:sz w:val="21"/>
                <w:szCs w:val="21"/>
                <w:lang w:bidi="ar"/>
              </w:rPr>
              <w:t>▲</w:t>
            </w:r>
            <w:r>
              <w:rPr>
                <w:rStyle w:val="177"/>
                <w:color w:val="auto"/>
                <w:sz w:val="21"/>
                <w:szCs w:val="21"/>
                <w:lang w:bidi="ar"/>
              </w:rPr>
              <w:t>投标时提供</w:t>
            </w:r>
            <w:r>
              <w:rPr>
                <w:rStyle w:val="177"/>
                <w:rFonts w:hint="default"/>
                <w:color w:val="auto"/>
                <w:sz w:val="21"/>
                <w:szCs w:val="21"/>
                <w:lang w:bidi="ar"/>
              </w:rPr>
              <w:t>以下证明</w:t>
            </w:r>
            <w:r>
              <w:rPr>
                <w:rStyle w:val="177"/>
                <w:color w:val="auto"/>
                <w:sz w:val="21"/>
                <w:szCs w:val="21"/>
                <w:lang w:bidi="ar"/>
              </w:rPr>
              <w:t>材料</w:t>
            </w:r>
            <w:r>
              <w:rPr>
                <w:rStyle w:val="177"/>
                <w:rFonts w:hint="default"/>
                <w:color w:val="auto"/>
                <w:sz w:val="21"/>
                <w:szCs w:val="21"/>
                <w:lang w:bidi="ar"/>
              </w:rPr>
              <w:t>：</w:t>
            </w:r>
            <w:r>
              <w:rPr>
                <w:rStyle w:val="177"/>
                <w:rFonts w:hint="default"/>
                <w:color w:val="auto"/>
                <w:sz w:val="21"/>
                <w:szCs w:val="21"/>
                <w:lang w:bidi="ar"/>
              </w:rPr>
              <w:br w:type="textWrapping"/>
            </w:r>
            <w:r>
              <w:rPr>
                <w:rStyle w:val="177"/>
                <w:color w:val="auto"/>
                <w:sz w:val="21"/>
                <w:szCs w:val="21"/>
                <w:lang w:bidi="ar"/>
              </w:rPr>
              <w:t>1</w:t>
            </w:r>
            <w:r>
              <w:rPr>
                <w:rStyle w:val="177"/>
                <w:rFonts w:hint="default"/>
                <w:color w:val="auto"/>
                <w:sz w:val="21"/>
                <w:szCs w:val="21"/>
                <w:lang w:bidi="ar"/>
              </w:rPr>
              <w:t xml:space="preserve">、智能体检一体机软件计算机软件著作权登记证书； </w:t>
            </w:r>
            <w:r>
              <w:rPr>
                <w:rStyle w:val="177"/>
                <w:rFonts w:hint="default"/>
                <w:color w:val="auto"/>
                <w:sz w:val="21"/>
                <w:szCs w:val="21"/>
                <w:lang w:bidi="ar"/>
              </w:rPr>
              <w:br w:type="textWrapping"/>
            </w:r>
            <w:r>
              <w:rPr>
                <w:rStyle w:val="177"/>
                <w:color w:val="auto"/>
                <w:sz w:val="21"/>
                <w:szCs w:val="21"/>
                <w:lang w:bidi="ar"/>
              </w:rPr>
              <w:t>2</w:t>
            </w:r>
            <w:r>
              <w:rPr>
                <w:rStyle w:val="177"/>
                <w:rFonts w:hint="default"/>
                <w:color w:val="auto"/>
                <w:sz w:val="21"/>
                <w:szCs w:val="21"/>
                <w:lang w:bidi="ar"/>
              </w:rPr>
              <w:t>、智能体检一体机管理系统计算机软件著作权登记证书；</w:t>
            </w:r>
            <w:r>
              <w:rPr>
                <w:rStyle w:val="177"/>
                <w:rFonts w:hint="default"/>
                <w:color w:val="auto"/>
                <w:sz w:val="21"/>
                <w:szCs w:val="21"/>
                <w:lang w:bidi="ar"/>
              </w:rPr>
              <w:br w:type="textWrapping"/>
            </w:r>
            <w:r>
              <w:rPr>
                <w:rStyle w:val="177"/>
                <w:color w:val="auto"/>
                <w:sz w:val="21"/>
                <w:szCs w:val="21"/>
                <w:lang w:bidi="ar"/>
              </w:rPr>
              <w:t>3</w:t>
            </w:r>
            <w:r>
              <w:rPr>
                <w:rStyle w:val="177"/>
                <w:rFonts w:hint="default"/>
                <w:color w:val="auto"/>
                <w:sz w:val="21"/>
                <w:szCs w:val="21"/>
                <w:lang w:bidi="ar"/>
              </w:rPr>
              <w:t>、智能人体成份测试仪软件计算机软件著作权登记证书</w:t>
            </w:r>
            <w:r>
              <w:rPr>
                <w:rStyle w:val="177"/>
                <w:color w:val="auto"/>
                <w:sz w:val="21"/>
                <w:szCs w:val="21"/>
                <w:lang w:bidi="ar"/>
              </w:rPr>
              <w:t>；</w:t>
            </w:r>
            <w:r>
              <w:rPr>
                <w:rStyle w:val="177"/>
                <w:rFonts w:hint="default"/>
                <w:color w:val="auto"/>
                <w:sz w:val="21"/>
                <w:szCs w:val="21"/>
                <w:lang w:bidi="ar"/>
              </w:rPr>
              <w:br w:type="textWrapping"/>
            </w:r>
            <w:r>
              <w:rPr>
                <w:rStyle w:val="177"/>
                <w:color w:val="auto"/>
                <w:sz w:val="21"/>
                <w:szCs w:val="21"/>
                <w:lang w:bidi="ar"/>
              </w:rPr>
              <w:t>4</w:t>
            </w:r>
            <w:r>
              <w:rPr>
                <w:rStyle w:val="177"/>
                <w:rFonts w:hint="default"/>
                <w:color w:val="auto"/>
                <w:sz w:val="21"/>
                <w:szCs w:val="21"/>
                <w:lang w:bidi="ar"/>
              </w:rPr>
              <w:t>、健康档案管理系统计算机软件著作权登记证书</w:t>
            </w:r>
            <w:r>
              <w:rPr>
                <w:rStyle w:val="177"/>
                <w:color w:val="auto"/>
                <w:sz w:val="21"/>
                <w:szCs w:val="21"/>
                <w:lang w:bidi="ar"/>
              </w:rPr>
              <w:t>；</w:t>
            </w:r>
          </w:p>
        </w:tc>
        <w:tc>
          <w:tcPr>
            <w:tcW w:w="710" w:type="dxa"/>
            <w:tcBorders>
              <w:top w:val="single" w:color="000000" w:sz="4" w:space="0"/>
              <w:left w:val="single" w:color="000000" w:sz="4" w:space="0"/>
              <w:bottom w:val="single" w:color="000000" w:sz="4" w:space="0"/>
              <w:right w:val="single" w:color="000000" w:sz="4" w:space="0"/>
            </w:tcBorders>
            <w:vAlign w:val="center"/>
          </w:tcPr>
          <w:p w14:paraId="1FF85C30">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w:t>
            </w:r>
          </w:p>
        </w:tc>
        <w:tc>
          <w:tcPr>
            <w:tcW w:w="660" w:type="dxa"/>
            <w:tcBorders>
              <w:top w:val="single" w:color="000000" w:sz="4" w:space="0"/>
              <w:left w:val="single" w:color="000000" w:sz="4" w:space="0"/>
              <w:bottom w:val="single" w:color="000000" w:sz="4" w:space="0"/>
              <w:right w:val="single" w:color="000000" w:sz="4" w:space="0"/>
            </w:tcBorders>
            <w:vAlign w:val="center"/>
          </w:tcPr>
          <w:p w14:paraId="15F5538A">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套</w:t>
            </w:r>
          </w:p>
        </w:tc>
        <w:tc>
          <w:tcPr>
            <w:tcW w:w="1242" w:type="dxa"/>
            <w:tcBorders>
              <w:top w:val="single" w:color="000000" w:sz="4" w:space="0"/>
              <w:left w:val="single" w:color="000000" w:sz="4" w:space="0"/>
              <w:bottom w:val="single" w:color="000000" w:sz="4" w:space="0"/>
              <w:right w:val="single" w:color="000000" w:sz="4" w:space="0"/>
            </w:tcBorders>
            <w:vAlign w:val="center"/>
          </w:tcPr>
          <w:p w14:paraId="7F928E26">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85700.00 </w:t>
            </w:r>
          </w:p>
        </w:tc>
      </w:tr>
      <w:bookmarkEnd w:id="24"/>
      <w:tr w14:paraId="398F9B72">
        <w:tblPrEx>
          <w:tblCellMar>
            <w:top w:w="0" w:type="dxa"/>
            <w:left w:w="108" w:type="dxa"/>
            <w:bottom w:w="0" w:type="dxa"/>
            <w:right w:w="108" w:type="dxa"/>
          </w:tblCellMar>
        </w:tblPrEx>
        <w:trPr>
          <w:trHeight w:val="1020" w:hRule="atLeast"/>
        </w:trPr>
        <w:tc>
          <w:tcPr>
            <w:tcW w:w="765" w:type="dxa"/>
            <w:tcBorders>
              <w:top w:val="single" w:color="000000" w:sz="4" w:space="0"/>
              <w:left w:val="single" w:color="000000" w:sz="4" w:space="0"/>
              <w:bottom w:val="single" w:color="000000" w:sz="4" w:space="0"/>
              <w:right w:val="single" w:color="000000" w:sz="4" w:space="0"/>
            </w:tcBorders>
            <w:vAlign w:val="center"/>
          </w:tcPr>
          <w:p w14:paraId="077B9745">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5</w:t>
            </w:r>
          </w:p>
        </w:tc>
        <w:tc>
          <w:tcPr>
            <w:tcW w:w="1151" w:type="dxa"/>
            <w:tcBorders>
              <w:top w:val="single" w:color="000000" w:sz="4" w:space="0"/>
              <w:left w:val="single" w:color="000000" w:sz="4" w:space="0"/>
              <w:bottom w:val="single" w:color="000000" w:sz="4" w:space="0"/>
              <w:right w:val="single" w:color="000000" w:sz="4" w:space="0"/>
            </w:tcBorders>
            <w:vAlign w:val="center"/>
          </w:tcPr>
          <w:p w14:paraId="2B66F5A7">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智能尿检睡眠仪</w:t>
            </w:r>
          </w:p>
        </w:tc>
        <w:tc>
          <w:tcPr>
            <w:tcW w:w="6018" w:type="dxa"/>
            <w:tcBorders>
              <w:top w:val="single" w:color="000000" w:sz="4" w:space="0"/>
              <w:left w:val="single" w:color="000000" w:sz="4" w:space="0"/>
              <w:bottom w:val="single" w:color="000000" w:sz="4" w:space="0"/>
              <w:right w:val="single" w:color="000000" w:sz="4" w:space="0"/>
            </w:tcBorders>
            <w:vAlign w:val="center"/>
          </w:tcPr>
          <w:p w14:paraId="27EADB5D">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1、检测人体心率、呼吸、体动、打鼾、睡眠深/浅/清醒状态数据，通过WiFi进行数据实时上传；长宽：90x55cm</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2、支持2.4G WiFi；</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3、设备24小时在线，支持实时监测功能；</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4、支持短信及语音预警提醒功能；</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5、支持尿湿监测功能，尿检垫放置在人体躺下臀部位置，检测到尿湿，指示灯常亮；</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6、5V适配器供电；</w:t>
            </w:r>
          </w:p>
        </w:tc>
        <w:tc>
          <w:tcPr>
            <w:tcW w:w="710" w:type="dxa"/>
            <w:tcBorders>
              <w:top w:val="single" w:color="000000" w:sz="4" w:space="0"/>
              <w:left w:val="single" w:color="000000" w:sz="4" w:space="0"/>
              <w:bottom w:val="single" w:color="000000" w:sz="4" w:space="0"/>
              <w:right w:val="single" w:color="000000" w:sz="4" w:space="0"/>
            </w:tcBorders>
            <w:vAlign w:val="center"/>
          </w:tcPr>
          <w:p w14:paraId="77EE5480">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w:t>
            </w:r>
          </w:p>
        </w:tc>
        <w:tc>
          <w:tcPr>
            <w:tcW w:w="660" w:type="dxa"/>
            <w:tcBorders>
              <w:top w:val="single" w:color="000000" w:sz="4" w:space="0"/>
              <w:left w:val="single" w:color="000000" w:sz="4" w:space="0"/>
              <w:bottom w:val="single" w:color="000000" w:sz="4" w:space="0"/>
              <w:right w:val="single" w:color="000000" w:sz="4" w:space="0"/>
            </w:tcBorders>
            <w:vAlign w:val="center"/>
          </w:tcPr>
          <w:p w14:paraId="0D2CAAEA">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套</w:t>
            </w:r>
          </w:p>
        </w:tc>
        <w:tc>
          <w:tcPr>
            <w:tcW w:w="1242" w:type="dxa"/>
            <w:tcBorders>
              <w:top w:val="single" w:color="000000" w:sz="4" w:space="0"/>
              <w:left w:val="single" w:color="000000" w:sz="4" w:space="0"/>
              <w:bottom w:val="single" w:color="000000" w:sz="4" w:space="0"/>
              <w:right w:val="single" w:color="000000" w:sz="4" w:space="0"/>
            </w:tcBorders>
            <w:vAlign w:val="center"/>
          </w:tcPr>
          <w:p w14:paraId="05A58297">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 1330.00 </w:t>
            </w:r>
          </w:p>
        </w:tc>
      </w:tr>
      <w:tr w14:paraId="53611387">
        <w:tblPrEx>
          <w:tblCellMar>
            <w:top w:w="0" w:type="dxa"/>
            <w:left w:w="108" w:type="dxa"/>
            <w:bottom w:w="0" w:type="dxa"/>
            <w:right w:w="108" w:type="dxa"/>
          </w:tblCellMar>
        </w:tblPrEx>
        <w:trPr>
          <w:trHeight w:val="1020" w:hRule="atLeast"/>
        </w:trPr>
        <w:tc>
          <w:tcPr>
            <w:tcW w:w="765" w:type="dxa"/>
            <w:tcBorders>
              <w:top w:val="single" w:color="000000" w:sz="4" w:space="0"/>
              <w:left w:val="single" w:color="000000" w:sz="4" w:space="0"/>
              <w:bottom w:val="single" w:color="000000" w:sz="4" w:space="0"/>
              <w:right w:val="single" w:color="000000" w:sz="4" w:space="0"/>
            </w:tcBorders>
            <w:vAlign w:val="center"/>
          </w:tcPr>
          <w:p w14:paraId="554B2DEB">
            <w:pPr>
              <w:widowControl/>
              <w:spacing w:line="360" w:lineRule="auto"/>
              <w:jc w:val="center"/>
              <w:textAlignment w:val="center"/>
              <w:rPr>
                <w:rFonts w:hint="eastAsia" w:ascii="宋体" w:hAnsi="宋体" w:cs="宋体"/>
                <w:color w:val="auto"/>
                <w:kern w:val="0"/>
                <w:szCs w:val="21"/>
                <w:lang w:bidi="ar"/>
              </w:rPr>
            </w:pPr>
            <w:bookmarkStart w:id="25" w:name="_Hlk201796800"/>
            <w:r>
              <w:rPr>
                <w:rFonts w:hint="eastAsia" w:ascii="宋体" w:hAnsi="宋体" w:cs="宋体"/>
                <w:color w:val="auto"/>
                <w:kern w:val="0"/>
                <w:szCs w:val="21"/>
                <w:lang w:bidi="ar"/>
              </w:rPr>
              <w:t>6</w:t>
            </w:r>
          </w:p>
        </w:tc>
        <w:tc>
          <w:tcPr>
            <w:tcW w:w="1151" w:type="dxa"/>
            <w:tcBorders>
              <w:top w:val="single" w:color="000000" w:sz="4" w:space="0"/>
              <w:left w:val="single" w:color="000000" w:sz="4" w:space="0"/>
              <w:bottom w:val="single" w:color="000000" w:sz="4" w:space="0"/>
              <w:right w:val="single" w:color="000000" w:sz="4" w:space="0"/>
            </w:tcBorders>
            <w:vAlign w:val="center"/>
          </w:tcPr>
          <w:p w14:paraId="402D717A">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老年人能力综合评估实训系统</w:t>
            </w:r>
          </w:p>
        </w:tc>
        <w:tc>
          <w:tcPr>
            <w:tcW w:w="6018" w:type="dxa"/>
            <w:tcBorders>
              <w:top w:val="single" w:color="000000" w:sz="4" w:space="0"/>
              <w:left w:val="single" w:color="000000" w:sz="4" w:space="0"/>
              <w:bottom w:val="single" w:color="000000" w:sz="4" w:space="0"/>
              <w:right w:val="single" w:color="000000" w:sz="4" w:space="0"/>
            </w:tcBorders>
            <w:vAlign w:val="center"/>
          </w:tcPr>
          <w:p w14:paraId="2A673EBF">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老年人能力综合评估实训系统技术参数：</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老年人能力综合评估实训系统依据最新国家标准开发，能够从多维度关注老年人群的健康状态，提供评估服务，形成全面、系统、专业的老年人能力评估报告，为老年人能力等级进行分级，作为老年人照护和长护险的依据。</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一、技术参数</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1.支持社区老年驿站、支持养老机构、支持养老、健康管理的实训教学使用，满足不同应用场景需求。</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2.系统包括学生端、教师端和管理端，采用B/S前后端分离架构开发，便于功能维护和扩展。学生端基于VUE框架，后端使用net core api +mysql+redis技术栈。</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3.系统支持电脑评估、平板评估使用。</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4.系统基于最新的《老年人能力评估规范》(GB/T 42195-2022）研发。</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★5.老年人能力评估包括：一级指标共4个 ,包括自理能力、基础运动能力、精神状态、感知觉与社会参与；二级指标共26个，包括自理能力8个二级指标，基础运动能力4个二级指标，精神状态9个二级指标，感知觉与社会参与5个二级指标。</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6.本系统包括评估信息表、评估对象基本信息表、信息提供者及联系人信息表、疾病诊断和用药情况、健康相关问题、老年人能力评估表、基础运动能力评估表、精神状态评估表、感知觉与社会参与评估表、老年人能力等级划分、老年人能力评估报告。</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7.系统同时包含以下评估：Barthel指数评定、日常生活活动功能评估、Hoffer步行能力分级、功能性步行量表、Berg¹平衡量表、老年人视力评估方法量表、视功能评估方法量表、老年人听力快速筛查方法、汉化版HHIE-S量表、交流沟通能力简易评估量表、焦虑自评量表（SAS）、状态—特质焦虑问卷、老年抑郁量表、抑郁自评量表、社会参与能力评估量表、社会支持评定量表、领悟社会支持量表、数字疼痛强度量表、微型营养评定表、匹兹堡睡眠质量指数量表、国际尿失禁咨询委员会尿失禁问卷表简表（ICI-Q-SF）、国际前列腺症状评分表（IPSS）、ICU意识模糊评估法、Richmond躁动-镇静量表、重症监护谵妄筛查量表、改良Webster评分量表、简明精神状态检查量表、记忆障碍自评表、蒙特利尔认知评估量表（MoCA）、Morse跌倒评估量表、老年人跌倒风险评估表、Braden压力性损伤风险评估量表、Waterlow压力性损伤风险评估量表、洼田饮水试验评估表、标准吞咽功能评估表、简明精神状态检查量表、蒙特利尔认知评估量表、照顾者虐待老年人评估量表。</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8.本系统主要应用于真实场景下给老年人或SP进行评估。作为一款实时信息录入系统，评估人员进入系统后录入评估对象基本信息，生成老人个人档案，完成对老年人能力的评估，使评估过程更加便捷、简单、高效、规范化。</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9.评估人员可基于同一老人进行接受服务前初评、接受服务后的常规评估、状况发生变化后的即时评估、因评估结果有疑问进行的复评。</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10.通过不同时间段以及不同评估原因可以得到老人不同时期的评估结果，记录老年人能力的变化情况。</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11.评估过程评估者只需要把评估结果录入系统，操作简单、便捷，系统自动计算分值。评估者依据老年人能力等级划分标准对老年人能力初步等级和老年人能力最终等级进行选择，生成评估报告。评估报告可查询和导出。</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12.评估内容包括：</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1）压力性损伤、关节活动度的评估、伤口情况评估、特殊护理情况评估、疼痛感评估、牙齿缺失情况评估、义齿佩戴情况评估、吞咽困难的情形和症状评估、营养不良的评估、清理呼吸道评估、昏迷评估。</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2）进食评估、洗澡评估、修饰评估、穿/脱上衣评估、穿/脱裤子和鞋袜评估、大便控制评估、小便控制评估、如厕评估。</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3）床上体位转移评估、床椅转移评估、平地行走评估、上下楼梯评估。</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4）时间/空间定向评估、人物定向评估、记忆评估、理解能力评估、表达能力评估、攻击行为评估、抑郁症状评估、意识水平评估。</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5）视力评估、听力评估、执行日常事务评估、使用交通工具外出评估、社会交往能力评估。</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13.学生端功能包括老年人档案的创建和增删改查，对老年人评估内容的信息录入，评估过程步骤可跳转，根据评分结果和特殊事项，确定老年人能力最终水平。</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14.完成对老人的能力评估后，评估结果可生成评估报告，信息清晰明确，随时随地通过报告即可精准全面的了解老人的身体状态及服务需求。</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15.后台管理员端功能包括组织架构管理、班级管理、用户管理、评估报告管理和统计分析功能。</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1）组织架构管理包含学院管理、专业管理和班级管理，可以对学院、专业和班级进行增删改查。</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2）班级管理可以对班级进行增删改查。</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3）用户管理包含教师管理和学生管理，可以对教师和学生账号进行增删改查，支持对学生进行批量导入。</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4）评估报告管理可查询学生建立档案的数量，并可进行评估报告的预览下载。</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5）统计分析包括用户访问记录、档案记录、评估记录的统计查询和导出功能。</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16.教师端功能包含班级管理、用户管理、评估报告管理和统计分析功能。</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1）用户管理包含学生账号进行增删改查，支持对学生进行批量导入。</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2）评估报告管理可查询学生建立档案的数量，并可进行评估报告的预览下载。</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3）统计分析包括用户访问记录、档案记录、评估记录的统计查询和导出功能。</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17.构建网络、技术、教学为一体的智能信息体系，建设具有全面、智能、高效的教学环境。此次项目建设的产品需统一平台登录，消除信息孤岛，减少教学的重复工作量。</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★18.提供老年人能力综合评估实训系统同时提供219个照护技能操作视频，包含照护技术、护理操作、康复游戏、康复锻炼四大类，总时长达4小时35分钟。</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18.1.康复游戏 ：猜物、火锅猜拳、捡纸环、脚部拔河、抛手绢 、瓶盖入洞、扔纸球 、手指体操 、套环、投掷、竹蜻蜓、拽橘子、拽拉报纸、桌面冰球 。</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18.2基础护理、急救、感染控制：O-157 是什么、感染原因和处理、防亚脱臼、上肢骨折静养、包扎膝盖、包扎脚部、软膏涂抹方法、药贴粘贴方法、滴眼药水方法、戴口罩、摘口罩、药水服用方法、糯米纸吃药方法① 、糯米纸吃药方法② 、体温测量方法、呼吸测量方法、疥疮介绍、感染原因、预防方法、环形包扎 、8 字形包扎、蛇形包扎、螺旋形包扎、麦穗形包扎、帽状包扎、肌内效贴布、感染途径和症状、次氯酸钠消毒 。</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18.3 功能预防游戏和其他：缓解背部酸痛 、缓解颈肩部酸痛、缓解感冒及心悸、股关节和腰部 、骨盆 、胸部和肩部、矫正驼背、扩胸、伸展身体 、进餐注意事项 、运动量、转体操、抬腿操、腹式呼吸、拱背腹式呼吸、引起便意方法、足底按摩-改善脚部浮肿、消除生活障碍、愉快看电视 。</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18.4 功能预防游戏和体操：13个广播体操视频、缓解肩痛、缓解腰痛、立塑料瓶、夹塑料瓶、抓塑料瓶、抛接塑料瓶、腿部弯曲伸展、握碗操① 、②、③、护理预防运动、抬脚迈过毛巾 、单手毛巾打结。</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18.5生活照护-进食、清洁、穿衣、排泄：指甲的修剪方法 、指甲的修剪方法-指甲钳、耳部清洁方法、刷牙照护、黏膜清理照护、舌头清理照护、口腔操、手腕僵硬者握勺子方法、手指功能障碍者握勺子方法、就餐前的辅助、右偏瘫长者就餐前辅助、右偏瘫长者就餐全面照护、尿频者尿液流动方式、包紧成人尿不湿的重要性、胯间不留缝隙的尿不湿包法、右偏瘫者穿前开口衣服方法、右偏瘫者穿前开口衣服照护、右偏瘫者穿套头衣服方法、右偏瘫者穿套头衣服照护、卧床偏瘫者穿前开口衣服照护、右偏瘫者穿裤子方法、右偏瘫者穿裤子照护 。</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18.6生活照护-各种移位（1）：独立起身、独立动作、偏瘫者独立起身、借助椅子、轻度照护、后方轻度照护、中度照护、后方中度照护、独立坐姿起身、侧方轻度照护、侧方中度照护、侧身轻度照护、侧身中度照护、下方轻度照护、上方轻度照护、上方中度照护、使用拐杖、偏瘫者坐姿起身-独立、偏瘫者坐姿起身-照护① 、偏瘫者坐姿起身-照护② 、偏瘫者坐姿起身-沙发、腹肌力量弱者独立起身、平躺起身轻度照护、平躺起身中度照护、大块头起身全照护、偏瘫者独立起身、腹肌弱偏瘫者独立起身、偏瘫者平躺起身轻度照护、偏瘫者平躺起身中度照护、轻度照护、偏瘫者利用床护栏翻身、偏瘫者独立翻身、偏瘫者轻度照护、偏瘫者中度照护、下半身偏瘫者独立翻身、下半身偏瘫者翻身轻度照护、下半身偏瘫者翻身中度照护。</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18.7生活照护-各种移位（2）：平躺上移动作、平躺上移轻度照护、平躺上移中度照护、偏瘫者平躺上移动作、偏瘫者平躺上移中度照护、平躺上移完全照护、平躺上移使用滑移垫轻度照护、平躺上移使用滑移垫中度照护、平躺下移动作、平躺下移轻度照护、平躺下移中度照护、偏瘫者平躺下移动作、偏瘫者平躺下移中度照护、平躺下移完全照护、体位种类、侧卧位转仰卧位、仰卧位转侧卧位、平躺侧移动作、平躺侧移轻度照护、平躺侧移中度照护、平躺侧移完全照护、前坐动作、前坐轻度照护、前坐中度照护、后坐方法 、前方轻度照护、前方中度照护、后方轻度照护、种类及挑选、安装方法。</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18.8生活照护-各种移位（3）：床到轮椅、低位床到高位担架车、高位担架车到低位床、轮椅到床的准备、轮椅到床、轮椅到椅子、偏瘫者床到轮椅、偏瘫者轮椅到床、站立困难者床到轮椅 、站立困难者轮椅到床、位置转移研讨会① 、②、公主抱站姿抱起、公主抱坐姿抱起 、公主抱2 人协力 、消防员式肩扛法站位扛起、坐姿扛起、桌子上扛起 、仰卧位后方扛起、仰卧位前方扛起 、背人法站姿背起、坐姿背起完全照护、仰卧背起。</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18.9辅具应用-轮椅、护理床、拐杖、坐便器：护理床的组装方法5个指导视频、拐杖握柄种类、拐杖粗细差异、分节式折叠、拐杖长度调节、铝制拐杖的切割 、木制拐杖的切割、拐杖握法、拐杖橡胶垫的拆卸、使用拐杖步法①、使用拐杖步法② 、轮椅构造和功能 、轮椅折叠方法、轮椅打开方法、轮椅上台阶、轮椅下台阶、暖脚宝的使用方法。</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二、在提供老年人能力综合评估实训系统基础版的同时提供老年人常见病照护实训系统的授权免费使用期壹年期限，需≥50人同时在线使用，要求具有如下功能：</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一）、软件功能</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1、系统利用Maya三维建模软件构建三维虚拟环境所需的三维模型，后期使用Unity引擎进行烘焙、渲染处理，实现照护情境要素的3D效果呈现及操作互动，保证系统及数据的正常运转。</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2、系统支持电脑Web端平台使用，数据统一管理，数据互通。</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3、采用面向对象设计，操作者通过对话框、菜单等简便的操作，能够对软件进行应用。画面运行流畅，无停滞感，系统响应及时；界面设计合理、美观，人机交互性好，便于操作。</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4、3D场景的音效：在3D场景中有对话内容的语音讲解。</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5、提供至少3个三维人物，至少7种人物情绪表情供选择，至少包含惊奇、恐惧、厌恶、愤怒、高兴、悲伤、正常表情；三维效果呈现脸部情绪；脸部情绪特点包括：额头、眉毛、眼睛、脸的下半部，支持语音讲述。</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6、采用次时代游戏的制作技术和养老技能相结合，将游戏娱乐和愉悦学习相结合，增强学习的乐趣，提高学习的效率。</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7、 模块包含操作前的理论学习、虚拟仿真教学安排、教学过程的智能指导、照护技能操作结果的智能记录、操作成绩统计查询等功能。</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8、构造能够满足PBL教学建设需求，在原有知识体系基础上进行整合优化，多层次建立核心知识体系，建立技能和学术研究体系</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▲9、利用信息化手段虚拟仿真照护步骤过程，使照护情节与现实贴近。项目基于真实老年案例以问题为导向的教学方法，系统包含医院、机构 、居家三个场景六个老年常见疾病照护的技能场景案例：认知障碍、循环系统疾病、内分泌系统疾病、呼吸系统疾病、安宁疗护、互联网+。依据沟通评估、照护计划、实施操作、评价反思展开训练。（提供相关证明材料（包括但不限于彩页、官网和功能截图等）</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10、系统辅助教学知识素材部分，此部分内容教师可在后台自主进行资源的添加和修改。</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11、沟通评估：问询评估、量表评估等，根据不同的评估案例评估方式可随案例变化；</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12、照护计划：根据案例情况进行相关照护任务计划。</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13、实训操作：通过案例详情、评估情况及照护计划，系统随机派发三个实施照护操作。</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14、评价反思：依据任务实施情况、老人的反馈、过程性反思进行撰写。</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二）、后台功能</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1、系统采用B/S架构，支持网页端操作；</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2、使用的技术包含：后端使用c#编程语言，net core api+mysql+redis技术栈；前端使用vue+vuex+router+axios+js技术栈；</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3、统一身份认证：针对校内在籍学生，学号和密码（管理员在后台导入学号，学生在前台登录使用）；</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4、系统使用不同身份进行登陆，包含学生端与管理端；</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5、学生端功能包含我的课程、帮助中心、个人中心；</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6、帮助中心包含工具下载、帮助文档和联系我们；</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7、个人中心包含账号安全风险检测、学校信息查询、绑定手机号、修改密码、更换头像、登录记录查询、账号注销、学情分析、考试记录查询和数据分析等功能。</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8.学情分析：对用户学习情况进行数据统计，统计内容包含训练次数、训练时长、资源学习次数、试题练习次数、考核测评次数、仿真训练历史记录，通过数据统计用户可以自己评估学习情况。</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9、我的课程支持查询教师发布的所有课程，点击课程开始学习，课程包含教学资源、仿真实验、随堂练习、单元测试、模拟考试、题库内容。进入课程后可以查看课程发布教师、学习人数和课程简介情况；（提供相关证明材料（包括但不限于彩页、官网和功能截图等）</w:t>
            </w:r>
          </w:p>
          <w:p w14:paraId="55DEEEAA">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1）课程-教学资源：学生按照章节进行资源学习，可实时查看学习进度、学习次数、耗时；</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2）课程-随堂练习和单元测试为教师在后台根据章节内容设置的随堂练习和单元测试，开放后学生可进行答题。</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3）课程-模拟考试：教师自主在后台进行组卷及发布。学生可查看教师发布的试卷，开放后学生进行模拟考试，考试限制时长，学生需在规定时间内完成作答，时间耗尽自动提交试卷。系统可自动记录学生答题用时、答题得分，支持学生查看试题解析；</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4）题库，学生可以题库模块下任意按照章节知识点进行理论试题的练习。</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10、管理端包含校级管理、院系管理和教师管理；</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11、校级管理包含组织架构管理、用户管理、题库管理、课程管理、统计分析；</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1）组织架构管理包含学院管理、专业管理和班级管理，可以对学院、专业和班级进行增删改查；</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2）用户管理包含院级管理员、教师管理和学生管理，可以对院级管理员、教师和学生账号进行增删改查，支持对教师和学生进行批量导入，批量导入支持录入学院、专业、班级、学生类型、学号、账号、密码、手机号属性；</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3）题库管理包含题库和试题管理，可以对题库和试题进行增删改查，可以查看平台支持的题型列表，可设置一个或多个题库负责教师，支持批量导入试题；</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4）课程管理支持查看教师创建的课程列表，可以对课程进行审核，可以查看课程中仿真实验、试卷的操作记录，可以设置课程显示顺序，可以设置课程多个管理教师，支持导出记录到Excel文档；</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5）统计分析可以查看登录总人数和总次数，可以查看用户访问记录，包含用户姓名、登录账号、角色、组织架构、登录次数、最后一次登录时间；</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12、院级管理包含组织架构管理、用户管理、题库管理、课程管理、统计分析；</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1）组织架构管理包含专业管理和班级管理，可以对本院专业和班级进行增删改查；</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2）用户管理包含教师管理和学生管理，可以对本院教师和学生账号进行增删改查，支持对学生进行批量导入，批量导入支持录入学院、专业、班级、学生类型、学号、账号、密码、手机号属性；</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3）题库管理包含题库和试题管理，可以对本院题库和试题进行增删改查，可以查看平台支持的题型列表，可以设置一个或多个题库负责教师，支持批量导入试题；</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4）课程管理支持查看本院教师创建的课程列表，可以对课程进行审核，可以查看课程中仿真实验、试卷的操作记录，支持导出记录到Excel文档；</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5）统计分析可查看本院内登录总人数和总次数，可以查看用户访问记录，包含用户姓名、登录账号、角色、组织架构、登录次数、最后一次登录时间；</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▲13、教师管理包含题库管理、个人资源库、课程管理、统计分析。（提供相关证明材料（包括但不限于彩页、官网和功能截图等）</w:t>
            </w:r>
          </w:p>
          <w:p w14:paraId="6476E252">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1）教师可以查看负责的题库列表，可以对题库信息进行编辑。教师可以对题库中的试题进行增删改查。</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2）教师可以上传资源到个人资源库中，在课程资源中引用。</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3）课程管理中教师可以组建课程，课程包含教学资源、仿真实验和考核试卷。</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（1）在教学资源中教师可以根据课程体系，创建课程章节，引用产品中的资源和个人资源库中的资源到对应的章节中；</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（2）在仿真实验中教师可以引用子软件中的实验模块，可以设置实验名称、缩略图和实验描述。可以查看学生的练习记录，包含学生姓名、登录账号、用时、练习进度、练习时间，支持导出记录到Excel文件；</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（3）课程可以绑定本学院内的题库；</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4）在考核试卷中可以选择理论试题和仿真实验进行组建试卷，可以设置考试时长、开始结束时间、是否立即开放、是否允许查看试题解析，可以对已选择试题进行设置单题分值和根据题型批量设置分值。可以查看每个试卷学生答题记录，记录包含总人数、已参加人数、满分、平均分、最低分、最高分、满分人数、及格率（60%）、优秀率（80%），可以查看已参加的学生答题记录，包含排名、姓名、登录账号、得分、用时、提交时间，支持导出记录到Excel文件；</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（5）教师可以安排课程成员，可以选择所在学院内的所有学生作为课程成员，已选择学生，可通过学生端进行学习；</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4）统计分析包含班级数据统计（对比）、学生数据统计、学生实验练习进度、学生资源学习进度和仿真实验数据分析；</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班级数据统计中根据课程安排成员所在的班级，勾选一个或多个班级进行数据统计，以达到不同班级间的学习情况对比；可以统计教学资源学习情况，包含班级内总学习次数和学习时长，数据以柱状图和表格呈现；可以统计仿真实验练习情况，包含班级内总练习次数、练习时长、实验平均完成进度，数据以柱状图和表格呈现；</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2）学生数据统计中可以选择课程、班级和检索学生姓名，查看学生的学习情况。包含姓名、学院、专业、班级、实验练习次数、实验练习进度、实验练习时长、资源学习次数、资源学习进度、资源学习时长，统计数据支持导出Excel文件；</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3）学生实验练习进度中可以选择课程和班级，对实验练习情况和学生练习情况进行数据统计。实验练习进度中包含每个实验的平均练习进度，数据以饼图和表格呈现；学生练习情况包含姓名、登录账号和每个模块的练习进度、练习次数，统计数据支持导出Excel文件；</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4）学生资源学习进度中可以选择课程和班级，对课程资源中章节学习率和学生学习次数排名进行数据统计，可以对班内参加学习的人数和累计学习次数进行统计。课程资源学习率包含每个章节对应的平均学习率，数据以饼图和表格呈现；学生学习次数排名可以统计前10名学生数据，数据以柱状图呈现。</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5）仿真实验数据分析:查询技能实训下用户训练记录，根据操作时间统计完成人数；根据得分分值段统计人数；统计各班平均得分排行；错误操作步骤排名；根据不同维度统计完成情况。支持将训练记录导出Excel文档。</w:t>
            </w:r>
          </w:p>
        </w:tc>
        <w:tc>
          <w:tcPr>
            <w:tcW w:w="710" w:type="dxa"/>
            <w:tcBorders>
              <w:top w:val="single" w:color="000000" w:sz="4" w:space="0"/>
              <w:left w:val="single" w:color="000000" w:sz="4" w:space="0"/>
              <w:bottom w:val="single" w:color="000000" w:sz="4" w:space="0"/>
              <w:right w:val="single" w:color="000000" w:sz="4" w:space="0"/>
            </w:tcBorders>
            <w:vAlign w:val="center"/>
          </w:tcPr>
          <w:p w14:paraId="3FD55994">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w:t>
            </w:r>
          </w:p>
        </w:tc>
        <w:tc>
          <w:tcPr>
            <w:tcW w:w="660" w:type="dxa"/>
            <w:tcBorders>
              <w:top w:val="single" w:color="000000" w:sz="4" w:space="0"/>
              <w:left w:val="single" w:color="000000" w:sz="4" w:space="0"/>
              <w:bottom w:val="single" w:color="000000" w:sz="4" w:space="0"/>
              <w:right w:val="single" w:color="000000" w:sz="4" w:space="0"/>
            </w:tcBorders>
            <w:vAlign w:val="center"/>
          </w:tcPr>
          <w:p w14:paraId="76DA4AEB">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项</w:t>
            </w:r>
          </w:p>
        </w:tc>
        <w:tc>
          <w:tcPr>
            <w:tcW w:w="1242" w:type="dxa"/>
            <w:tcBorders>
              <w:top w:val="single" w:color="000000" w:sz="4" w:space="0"/>
              <w:left w:val="single" w:color="000000" w:sz="4" w:space="0"/>
              <w:bottom w:val="single" w:color="000000" w:sz="4" w:space="0"/>
              <w:right w:val="single" w:color="000000" w:sz="4" w:space="0"/>
            </w:tcBorders>
            <w:vAlign w:val="center"/>
          </w:tcPr>
          <w:p w14:paraId="2F791681">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 159100.00 </w:t>
            </w:r>
          </w:p>
        </w:tc>
      </w:tr>
      <w:bookmarkEnd w:id="25"/>
      <w:tr w14:paraId="57216E15">
        <w:tblPrEx>
          <w:tblCellMar>
            <w:top w:w="0" w:type="dxa"/>
            <w:left w:w="108" w:type="dxa"/>
            <w:bottom w:w="0" w:type="dxa"/>
            <w:right w:w="108" w:type="dxa"/>
          </w:tblCellMar>
        </w:tblPrEx>
        <w:trPr>
          <w:trHeight w:val="676" w:hRule="atLeast"/>
        </w:trPr>
        <w:tc>
          <w:tcPr>
            <w:tcW w:w="765" w:type="dxa"/>
            <w:tcBorders>
              <w:top w:val="single" w:color="000000" w:sz="4" w:space="0"/>
              <w:left w:val="single" w:color="000000" w:sz="4" w:space="0"/>
              <w:bottom w:val="single" w:color="000000" w:sz="4" w:space="0"/>
              <w:right w:val="single" w:color="000000" w:sz="4" w:space="0"/>
            </w:tcBorders>
            <w:vAlign w:val="center"/>
          </w:tcPr>
          <w:p w14:paraId="4E36F284">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7</w:t>
            </w:r>
          </w:p>
        </w:tc>
        <w:tc>
          <w:tcPr>
            <w:tcW w:w="1151" w:type="dxa"/>
            <w:tcBorders>
              <w:top w:val="single" w:color="000000" w:sz="4" w:space="0"/>
              <w:left w:val="single" w:color="000000" w:sz="4" w:space="0"/>
              <w:bottom w:val="single" w:color="000000" w:sz="4" w:space="0"/>
              <w:right w:val="single" w:color="000000" w:sz="4" w:space="0"/>
            </w:tcBorders>
            <w:vAlign w:val="center"/>
          </w:tcPr>
          <w:p w14:paraId="2D028EF1">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急救箱</w:t>
            </w:r>
          </w:p>
        </w:tc>
        <w:tc>
          <w:tcPr>
            <w:tcW w:w="6018" w:type="dxa"/>
            <w:tcBorders>
              <w:top w:val="single" w:color="000000" w:sz="4" w:space="0"/>
              <w:left w:val="single" w:color="000000" w:sz="4" w:space="0"/>
              <w:bottom w:val="single" w:color="000000" w:sz="4" w:space="0"/>
              <w:right w:val="single" w:color="000000" w:sz="4" w:space="0"/>
            </w:tcBorders>
            <w:vAlign w:val="center"/>
          </w:tcPr>
          <w:p w14:paraId="563276FC">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多层铝合金急救箱</w:t>
            </w:r>
          </w:p>
        </w:tc>
        <w:tc>
          <w:tcPr>
            <w:tcW w:w="710" w:type="dxa"/>
            <w:tcBorders>
              <w:top w:val="single" w:color="000000" w:sz="4" w:space="0"/>
              <w:left w:val="single" w:color="000000" w:sz="4" w:space="0"/>
              <w:bottom w:val="single" w:color="000000" w:sz="4" w:space="0"/>
              <w:right w:val="single" w:color="000000" w:sz="4" w:space="0"/>
            </w:tcBorders>
            <w:vAlign w:val="center"/>
          </w:tcPr>
          <w:p w14:paraId="690B8DAB">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w:t>
            </w:r>
          </w:p>
        </w:tc>
        <w:tc>
          <w:tcPr>
            <w:tcW w:w="660" w:type="dxa"/>
            <w:tcBorders>
              <w:top w:val="single" w:color="000000" w:sz="4" w:space="0"/>
              <w:left w:val="single" w:color="000000" w:sz="4" w:space="0"/>
              <w:bottom w:val="single" w:color="000000" w:sz="4" w:space="0"/>
              <w:right w:val="single" w:color="000000" w:sz="4" w:space="0"/>
            </w:tcBorders>
            <w:vAlign w:val="center"/>
          </w:tcPr>
          <w:p w14:paraId="7B46B714">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个</w:t>
            </w:r>
          </w:p>
        </w:tc>
        <w:tc>
          <w:tcPr>
            <w:tcW w:w="1242" w:type="dxa"/>
            <w:tcBorders>
              <w:top w:val="single" w:color="000000" w:sz="4" w:space="0"/>
              <w:left w:val="single" w:color="000000" w:sz="4" w:space="0"/>
              <w:bottom w:val="single" w:color="000000" w:sz="4" w:space="0"/>
              <w:right w:val="single" w:color="000000" w:sz="4" w:space="0"/>
            </w:tcBorders>
            <w:vAlign w:val="center"/>
          </w:tcPr>
          <w:p w14:paraId="62EA71ED">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 190.00 </w:t>
            </w:r>
          </w:p>
        </w:tc>
      </w:tr>
      <w:tr w14:paraId="7CAC4DE6">
        <w:tblPrEx>
          <w:tblCellMar>
            <w:top w:w="0" w:type="dxa"/>
            <w:left w:w="108" w:type="dxa"/>
            <w:bottom w:w="0" w:type="dxa"/>
            <w:right w:w="108" w:type="dxa"/>
          </w:tblCellMar>
        </w:tblPrEx>
        <w:trPr>
          <w:trHeight w:val="600" w:hRule="atLeast"/>
        </w:trPr>
        <w:tc>
          <w:tcPr>
            <w:tcW w:w="765" w:type="dxa"/>
            <w:tcBorders>
              <w:top w:val="single" w:color="000000" w:sz="4" w:space="0"/>
              <w:left w:val="single" w:color="000000" w:sz="4" w:space="0"/>
              <w:bottom w:val="single" w:color="000000" w:sz="4" w:space="0"/>
              <w:right w:val="single" w:color="000000" w:sz="4" w:space="0"/>
            </w:tcBorders>
            <w:vAlign w:val="center"/>
          </w:tcPr>
          <w:p w14:paraId="3889056E">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8</w:t>
            </w:r>
          </w:p>
        </w:tc>
        <w:tc>
          <w:tcPr>
            <w:tcW w:w="1151" w:type="dxa"/>
            <w:tcBorders>
              <w:top w:val="single" w:color="000000" w:sz="4" w:space="0"/>
              <w:left w:val="single" w:color="000000" w:sz="4" w:space="0"/>
              <w:bottom w:val="single" w:color="000000" w:sz="4" w:space="0"/>
              <w:right w:val="single" w:color="000000" w:sz="4" w:space="0"/>
            </w:tcBorders>
            <w:vAlign w:val="center"/>
          </w:tcPr>
          <w:p w14:paraId="7BA212B7">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复苏模型人</w:t>
            </w:r>
          </w:p>
        </w:tc>
        <w:tc>
          <w:tcPr>
            <w:tcW w:w="6018" w:type="dxa"/>
            <w:tcBorders>
              <w:top w:val="single" w:color="000000" w:sz="4" w:space="0"/>
              <w:left w:val="single" w:color="000000" w:sz="4" w:space="0"/>
              <w:bottom w:val="single" w:color="000000" w:sz="4" w:space="0"/>
              <w:right w:val="single" w:color="000000" w:sz="4" w:space="0"/>
            </w:tcBorders>
            <w:vAlign w:val="center"/>
          </w:tcPr>
          <w:p w14:paraId="13B4FACF">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复苏模型人：功能进行全面升级，突出CPR训练操作的铺助功能，以及可自行设定各项数值，更加符合临床和教学练习CPR操作要求，模拟人面皮肤、颈皮肤、胸皮肤、头发采用热塑弹性体混合胶材料由不锈钢模具经注塑机高温注压而成，具有解剖标志准确、手感真实、肤色统一、形态逼真、消毒清洗不变形、拆装更换方便等特点。</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一、功能特点：</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模拟人解剖特征明显，手感真实，肤色统一，形态逼真，外形美观。</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模拟生命体征：</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·初始状态时，模拟人瞳孔散大，颈动脉无搏动。</w:t>
            </w:r>
          </w:p>
          <w:p w14:paraId="21068249">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·按压过程中，模拟人颈动脉被动搏动，搏动频率与按压频率一致。</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·抢救成功后，模拟人瞳孔恢复正常，颈动脉自主搏动。</w:t>
            </w:r>
          </w:p>
          <w:p w14:paraId="11C0EF02">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·瞳孔缩放和颈动脉搏动由开关可开启和关闭。</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可进行人工呼吸和心外按压，可模拟标准气道开放，气道指示灯变亮。</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 xml:space="preserve"> 三种操作方式：可进行CPR训练、考核和实战考核。</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·方式一：CPR训练，可进行按压和吹气训练。</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·方式二：模式考核，在设定的时间内，根据2018国际心肺复苏标准，正确按压和吹气数30：2的比例，完成5个循环操作。</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·方式三：实战考核，老师可自行设定操作时间范围、操作标准、循环次数、操作频率、按压和吹气的比例。</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二、控制器显示屏功能：</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电子监测：电子指示灯显示监测气道开放和按压部位，人工呼吸和胸外按压的正确次数计数和错误次数计数。</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语音提示：训练和考核中全程中文语音提示，可开启和关闭语音、调节音量。</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条形码显示吹气量：正确的吹气量为500~600ml-1000ml：</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 吹气量过少时，条形码为黄色。</w:t>
            </w:r>
          </w:p>
          <w:p w14:paraId="319DD3F4">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吹气量合适时，条形码为绿色。</w:t>
            </w:r>
          </w:p>
          <w:p w14:paraId="0ED90246">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吹气量过大时，条形码为红色。</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 吹入的潮气量过快或超大，造成气体进入胃部指示灯显示、数码计数显示、错误语言提示。</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条形码显示按压深度，正确的按压深度5-6cm：</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 按压深度过少时，条形码为黄色。</w:t>
            </w:r>
          </w:p>
          <w:p w14:paraId="3638E79C">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按压深度合适时，条形码为绿色。</w:t>
            </w:r>
          </w:p>
          <w:p w14:paraId="401A1DA5">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按压深度过大时，条形码为红色。</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可自行设定操作时间，以秒为单位计时。操作频率：2018标准为100-120次/分钟。电源状态：采用220V电源，经过稳压器稳压后输出电源12V。</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三、打印功能：</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操作结束后打印操作过程。</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成绩单内容涵盖操作方式、意识判断、急救呼吸、脉搏检查、检查呼吸、清除异物、操作频率、按压与吹气比例、循环次数、每个循环操作中按压和吹气的次数、按压正确/错误次数、按压错误的原因和次数、吹气正确/错误的原因和次数、吹气错误的原因、设定时间、操作时间和考核评定。</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四、标准配置：</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高级心肺复苏人体模型：1台；电脑数码显示器：1台；豪华手拉推式人体硬塑箱：1只；复苏操作垫：1条；呼吸面膜(50张/盒)：1盒；可换肺囊装置：4套；可换面皮：1只；热敏打印纸：2卷；操作指南光盘：1张；现场急救常用技术使用手册：1本；数据线：1条；电源线：1条；说明书：1册；保修卡合格证：1张；</w:t>
            </w:r>
          </w:p>
        </w:tc>
        <w:tc>
          <w:tcPr>
            <w:tcW w:w="710" w:type="dxa"/>
            <w:tcBorders>
              <w:top w:val="single" w:color="000000" w:sz="4" w:space="0"/>
              <w:left w:val="single" w:color="000000" w:sz="4" w:space="0"/>
              <w:bottom w:val="single" w:color="000000" w:sz="4" w:space="0"/>
              <w:right w:val="single" w:color="000000" w:sz="4" w:space="0"/>
            </w:tcBorders>
            <w:vAlign w:val="center"/>
          </w:tcPr>
          <w:p w14:paraId="44F011D7">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w:t>
            </w:r>
          </w:p>
        </w:tc>
        <w:tc>
          <w:tcPr>
            <w:tcW w:w="660" w:type="dxa"/>
            <w:tcBorders>
              <w:top w:val="single" w:color="000000" w:sz="4" w:space="0"/>
              <w:left w:val="single" w:color="000000" w:sz="4" w:space="0"/>
              <w:bottom w:val="single" w:color="000000" w:sz="4" w:space="0"/>
              <w:right w:val="single" w:color="000000" w:sz="4" w:space="0"/>
            </w:tcBorders>
            <w:vAlign w:val="center"/>
          </w:tcPr>
          <w:p w14:paraId="48E94936">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个</w:t>
            </w:r>
          </w:p>
        </w:tc>
        <w:tc>
          <w:tcPr>
            <w:tcW w:w="1242" w:type="dxa"/>
            <w:tcBorders>
              <w:top w:val="single" w:color="000000" w:sz="4" w:space="0"/>
              <w:left w:val="single" w:color="000000" w:sz="4" w:space="0"/>
              <w:bottom w:val="single" w:color="000000" w:sz="4" w:space="0"/>
              <w:right w:val="single" w:color="000000" w:sz="4" w:space="0"/>
            </w:tcBorders>
            <w:vAlign w:val="center"/>
          </w:tcPr>
          <w:p w14:paraId="38AA69DE">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 6300.00 </w:t>
            </w:r>
          </w:p>
        </w:tc>
      </w:tr>
      <w:tr w14:paraId="10EF4840">
        <w:tblPrEx>
          <w:tblCellMar>
            <w:top w:w="0" w:type="dxa"/>
            <w:left w:w="108" w:type="dxa"/>
            <w:bottom w:w="0" w:type="dxa"/>
            <w:right w:w="108" w:type="dxa"/>
          </w:tblCellMar>
        </w:tblPrEx>
        <w:trPr>
          <w:trHeight w:val="600" w:hRule="atLeast"/>
        </w:trPr>
        <w:tc>
          <w:tcPr>
            <w:tcW w:w="765" w:type="dxa"/>
            <w:tcBorders>
              <w:top w:val="single" w:color="000000" w:sz="4" w:space="0"/>
              <w:left w:val="single" w:color="000000" w:sz="4" w:space="0"/>
              <w:bottom w:val="single" w:color="000000" w:sz="4" w:space="0"/>
              <w:right w:val="single" w:color="000000" w:sz="4" w:space="0"/>
            </w:tcBorders>
            <w:vAlign w:val="center"/>
          </w:tcPr>
          <w:p w14:paraId="7935721A">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9</w:t>
            </w:r>
          </w:p>
        </w:tc>
        <w:tc>
          <w:tcPr>
            <w:tcW w:w="1151" w:type="dxa"/>
            <w:tcBorders>
              <w:top w:val="single" w:color="000000" w:sz="4" w:space="0"/>
              <w:left w:val="single" w:color="000000" w:sz="4" w:space="0"/>
              <w:bottom w:val="single" w:color="000000" w:sz="4" w:space="0"/>
              <w:right w:val="single" w:color="000000" w:sz="4" w:space="0"/>
            </w:tcBorders>
            <w:vAlign w:val="center"/>
          </w:tcPr>
          <w:p w14:paraId="126751E6">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康养吞咽与呼吸机制演示模型</w:t>
            </w:r>
          </w:p>
        </w:tc>
        <w:tc>
          <w:tcPr>
            <w:tcW w:w="6018" w:type="dxa"/>
            <w:tcBorders>
              <w:top w:val="single" w:color="000000" w:sz="4" w:space="0"/>
              <w:left w:val="single" w:color="000000" w:sz="4" w:space="0"/>
              <w:bottom w:val="single" w:color="000000" w:sz="4" w:space="0"/>
              <w:right w:val="single" w:color="000000" w:sz="4" w:space="0"/>
            </w:tcBorders>
            <w:vAlign w:val="center"/>
          </w:tcPr>
          <w:p w14:paraId="20BDA12D">
            <w:pPr>
              <w:widowControl/>
              <w:spacing w:line="360" w:lineRule="auto"/>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一、功能特点：高级吞咽机制模型为半侧成人头颈部，采用高分子材料制成，仿真度高。 演示吞咽机制原理。</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演示误咽产生的原因。 颈部角度与误咽的相互关系。 误咽发生时的紧急救治处理方法。</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正确进食姿势及其体位和病床角度的相互关系。口腔护理时的吞咽练习。观察鼻饲管在不同角度时的状态。</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学习如何经鼻插胃管和间断性经胃管管饲。学习口腔内部吸收原理。</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配有可调节的模拟病床，病床以及头颈部均有角度指示针，可观察头颈角度的变化与病床的角度关系。</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二、标准配置：</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吞咽与呼吸机制演示模型：1台；模拟病床：1张； 说明书：1册；保修卡合格证：1张</w:t>
            </w:r>
          </w:p>
        </w:tc>
        <w:tc>
          <w:tcPr>
            <w:tcW w:w="710" w:type="dxa"/>
            <w:tcBorders>
              <w:top w:val="single" w:color="000000" w:sz="4" w:space="0"/>
              <w:left w:val="single" w:color="000000" w:sz="4" w:space="0"/>
              <w:bottom w:val="single" w:color="000000" w:sz="4" w:space="0"/>
              <w:right w:val="single" w:color="000000" w:sz="4" w:space="0"/>
            </w:tcBorders>
            <w:vAlign w:val="center"/>
          </w:tcPr>
          <w:p w14:paraId="25DCECCD">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w:t>
            </w:r>
          </w:p>
        </w:tc>
        <w:tc>
          <w:tcPr>
            <w:tcW w:w="660" w:type="dxa"/>
            <w:tcBorders>
              <w:top w:val="single" w:color="000000" w:sz="4" w:space="0"/>
              <w:left w:val="single" w:color="000000" w:sz="4" w:space="0"/>
              <w:bottom w:val="single" w:color="000000" w:sz="4" w:space="0"/>
              <w:right w:val="single" w:color="000000" w:sz="4" w:space="0"/>
            </w:tcBorders>
            <w:vAlign w:val="center"/>
          </w:tcPr>
          <w:p w14:paraId="277549D1">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个</w:t>
            </w:r>
          </w:p>
        </w:tc>
        <w:tc>
          <w:tcPr>
            <w:tcW w:w="1242" w:type="dxa"/>
            <w:tcBorders>
              <w:top w:val="single" w:color="000000" w:sz="4" w:space="0"/>
              <w:left w:val="single" w:color="000000" w:sz="4" w:space="0"/>
              <w:bottom w:val="single" w:color="000000" w:sz="4" w:space="0"/>
              <w:right w:val="single" w:color="000000" w:sz="4" w:space="0"/>
            </w:tcBorders>
            <w:vAlign w:val="center"/>
          </w:tcPr>
          <w:p w14:paraId="599DAC7E">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 11600.00 </w:t>
            </w:r>
          </w:p>
        </w:tc>
      </w:tr>
      <w:tr w14:paraId="216F855D">
        <w:tblPrEx>
          <w:tblCellMar>
            <w:top w:w="0" w:type="dxa"/>
            <w:left w:w="108" w:type="dxa"/>
            <w:bottom w:w="0" w:type="dxa"/>
            <w:right w:w="108" w:type="dxa"/>
          </w:tblCellMar>
        </w:tblPrEx>
        <w:trPr>
          <w:trHeight w:val="801" w:hRule="atLeast"/>
        </w:trPr>
        <w:tc>
          <w:tcPr>
            <w:tcW w:w="765" w:type="dxa"/>
            <w:tcBorders>
              <w:top w:val="single" w:color="000000" w:sz="4" w:space="0"/>
              <w:left w:val="single" w:color="000000" w:sz="4" w:space="0"/>
              <w:bottom w:val="single" w:color="000000" w:sz="4" w:space="0"/>
              <w:right w:val="single" w:color="000000" w:sz="4" w:space="0"/>
            </w:tcBorders>
            <w:vAlign w:val="center"/>
          </w:tcPr>
          <w:p w14:paraId="46B376FF">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10</w:t>
            </w:r>
          </w:p>
        </w:tc>
        <w:tc>
          <w:tcPr>
            <w:tcW w:w="1151" w:type="dxa"/>
            <w:tcBorders>
              <w:top w:val="single" w:color="000000" w:sz="4" w:space="0"/>
              <w:left w:val="single" w:color="000000" w:sz="4" w:space="0"/>
              <w:bottom w:val="single" w:color="000000" w:sz="4" w:space="0"/>
              <w:right w:val="single" w:color="000000" w:sz="4" w:space="0"/>
            </w:tcBorders>
            <w:vAlign w:val="center"/>
          </w:tcPr>
          <w:p w14:paraId="6DE8F3DE">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带坐手杖</w:t>
            </w:r>
          </w:p>
        </w:tc>
        <w:tc>
          <w:tcPr>
            <w:tcW w:w="6018" w:type="dxa"/>
            <w:tcBorders>
              <w:top w:val="single" w:color="000000" w:sz="4" w:space="0"/>
              <w:left w:val="single" w:color="000000" w:sz="4" w:space="0"/>
              <w:bottom w:val="single" w:color="000000" w:sz="4" w:space="0"/>
              <w:right w:val="single" w:color="000000" w:sz="4" w:space="0"/>
            </w:tcBorders>
            <w:vAlign w:val="center"/>
          </w:tcPr>
          <w:p w14:paraId="1CE086AF">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重量：0.9千克</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尺寸：展开时手柄距地面高度75cm,凳面与地面距离为50cm，折叠后拐杖整体高度为85cm，凳面直径21cm</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产品特点：高强度铝合金管表面氧化,负载75公斤。多功能手杖，折叠作手杖，放平三脚支撑作平凳，使用方便。</w:t>
            </w:r>
          </w:p>
        </w:tc>
        <w:tc>
          <w:tcPr>
            <w:tcW w:w="710" w:type="dxa"/>
            <w:tcBorders>
              <w:top w:val="single" w:color="000000" w:sz="4" w:space="0"/>
              <w:left w:val="single" w:color="000000" w:sz="4" w:space="0"/>
              <w:bottom w:val="single" w:color="000000" w:sz="4" w:space="0"/>
              <w:right w:val="single" w:color="000000" w:sz="4" w:space="0"/>
            </w:tcBorders>
            <w:vAlign w:val="center"/>
          </w:tcPr>
          <w:p w14:paraId="6C9BA4F0">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w:t>
            </w:r>
          </w:p>
        </w:tc>
        <w:tc>
          <w:tcPr>
            <w:tcW w:w="660" w:type="dxa"/>
            <w:tcBorders>
              <w:top w:val="single" w:color="000000" w:sz="4" w:space="0"/>
              <w:left w:val="single" w:color="000000" w:sz="4" w:space="0"/>
              <w:bottom w:val="single" w:color="000000" w:sz="4" w:space="0"/>
              <w:right w:val="single" w:color="000000" w:sz="4" w:space="0"/>
            </w:tcBorders>
            <w:vAlign w:val="center"/>
          </w:tcPr>
          <w:p w14:paraId="2A138253">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个</w:t>
            </w:r>
          </w:p>
        </w:tc>
        <w:tc>
          <w:tcPr>
            <w:tcW w:w="1242" w:type="dxa"/>
            <w:tcBorders>
              <w:top w:val="single" w:color="000000" w:sz="4" w:space="0"/>
              <w:left w:val="single" w:color="000000" w:sz="4" w:space="0"/>
              <w:bottom w:val="single" w:color="000000" w:sz="4" w:space="0"/>
              <w:right w:val="single" w:color="000000" w:sz="4" w:space="0"/>
            </w:tcBorders>
            <w:vAlign w:val="center"/>
          </w:tcPr>
          <w:p w14:paraId="497B7CCC">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 287.00 </w:t>
            </w:r>
          </w:p>
        </w:tc>
      </w:tr>
      <w:tr w14:paraId="5E8EEA93">
        <w:tblPrEx>
          <w:tblCellMar>
            <w:top w:w="0" w:type="dxa"/>
            <w:left w:w="108" w:type="dxa"/>
            <w:bottom w:w="0" w:type="dxa"/>
            <w:right w:w="108" w:type="dxa"/>
          </w:tblCellMar>
        </w:tblPrEx>
        <w:trPr>
          <w:trHeight w:val="921" w:hRule="atLeast"/>
        </w:trPr>
        <w:tc>
          <w:tcPr>
            <w:tcW w:w="765" w:type="dxa"/>
            <w:tcBorders>
              <w:top w:val="single" w:color="000000" w:sz="4" w:space="0"/>
              <w:left w:val="single" w:color="000000" w:sz="4" w:space="0"/>
              <w:bottom w:val="single" w:color="000000" w:sz="4" w:space="0"/>
              <w:right w:val="single" w:color="000000" w:sz="4" w:space="0"/>
            </w:tcBorders>
            <w:vAlign w:val="center"/>
          </w:tcPr>
          <w:p w14:paraId="4E5BFFCD">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11</w:t>
            </w:r>
          </w:p>
        </w:tc>
        <w:tc>
          <w:tcPr>
            <w:tcW w:w="1151" w:type="dxa"/>
            <w:tcBorders>
              <w:top w:val="single" w:color="000000" w:sz="4" w:space="0"/>
              <w:left w:val="single" w:color="000000" w:sz="4" w:space="0"/>
              <w:bottom w:val="single" w:color="000000" w:sz="4" w:space="0"/>
              <w:right w:val="single" w:color="000000" w:sz="4" w:space="0"/>
            </w:tcBorders>
            <w:vAlign w:val="center"/>
          </w:tcPr>
          <w:p w14:paraId="3A712C19">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四脚手杖</w:t>
            </w:r>
          </w:p>
        </w:tc>
        <w:tc>
          <w:tcPr>
            <w:tcW w:w="6018" w:type="dxa"/>
            <w:tcBorders>
              <w:top w:val="single" w:color="000000" w:sz="4" w:space="0"/>
              <w:left w:val="single" w:color="000000" w:sz="4" w:space="0"/>
              <w:bottom w:val="single" w:color="000000" w:sz="4" w:space="0"/>
              <w:right w:val="single" w:color="000000" w:sz="4" w:space="0"/>
            </w:tcBorders>
            <w:vAlign w:val="center"/>
          </w:tcPr>
          <w:p w14:paraId="22B57FA5">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1.总长度：最长92cm；最短68cm；2.主要材料：铝合金；3.手柄直径：230mm</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4.样式：调节式手杖；5.净重量：0.35kg；6.垂直承重：90kg</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7.适用人群：适用于年老体弱、盲人、下肢残疾或无力等人群。</w:t>
            </w:r>
          </w:p>
        </w:tc>
        <w:tc>
          <w:tcPr>
            <w:tcW w:w="710" w:type="dxa"/>
            <w:tcBorders>
              <w:top w:val="single" w:color="000000" w:sz="4" w:space="0"/>
              <w:left w:val="single" w:color="000000" w:sz="4" w:space="0"/>
              <w:bottom w:val="single" w:color="000000" w:sz="4" w:space="0"/>
              <w:right w:val="single" w:color="000000" w:sz="4" w:space="0"/>
            </w:tcBorders>
            <w:vAlign w:val="center"/>
          </w:tcPr>
          <w:p w14:paraId="27EE9823">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w:t>
            </w:r>
          </w:p>
        </w:tc>
        <w:tc>
          <w:tcPr>
            <w:tcW w:w="660" w:type="dxa"/>
            <w:tcBorders>
              <w:top w:val="single" w:color="000000" w:sz="4" w:space="0"/>
              <w:left w:val="single" w:color="000000" w:sz="4" w:space="0"/>
              <w:bottom w:val="single" w:color="000000" w:sz="4" w:space="0"/>
              <w:right w:val="single" w:color="000000" w:sz="4" w:space="0"/>
            </w:tcBorders>
            <w:vAlign w:val="center"/>
          </w:tcPr>
          <w:p w14:paraId="074F3D3A">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个</w:t>
            </w:r>
          </w:p>
        </w:tc>
        <w:tc>
          <w:tcPr>
            <w:tcW w:w="1242" w:type="dxa"/>
            <w:tcBorders>
              <w:top w:val="single" w:color="000000" w:sz="4" w:space="0"/>
              <w:left w:val="single" w:color="000000" w:sz="4" w:space="0"/>
              <w:bottom w:val="single" w:color="000000" w:sz="4" w:space="0"/>
              <w:right w:val="single" w:color="000000" w:sz="4" w:space="0"/>
            </w:tcBorders>
            <w:vAlign w:val="center"/>
          </w:tcPr>
          <w:p w14:paraId="05EC8AA1">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 195.00 </w:t>
            </w:r>
          </w:p>
        </w:tc>
      </w:tr>
      <w:tr w14:paraId="32C2E75B">
        <w:tblPrEx>
          <w:tblCellMar>
            <w:top w:w="0" w:type="dxa"/>
            <w:left w:w="108" w:type="dxa"/>
            <w:bottom w:w="0" w:type="dxa"/>
            <w:right w:w="108" w:type="dxa"/>
          </w:tblCellMar>
        </w:tblPrEx>
        <w:trPr>
          <w:trHeight w:val="1200" w:hRule="atLeast"/>
        </w:trPr>
        <w:tc>
          <w:tcPr>
            <w:tcW w:w="765" w:type="dxa"/>
            <w:tcBorders>
              <w:top w:val="single" w:color="000000" w:sz="4" w:space="0"/>
              <w:left w:val="single" w:color="000000" w:sz="4" w:space="0"/>
              <w:bottom w:val="single" w:color="000000" w:sz="4" w:space="0"/>
              <w:right w:val="single" w:color="000000" w:sz="4" w:space="0"/>
            </w:tcBorders>
            <w:vAlign w:val="center"/>
          </w:tcPr>
          <w:p w14:paraId="2BC9EA10">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12</w:t>
            </w:r>
          </w:p>
        </w:tc>
        <w:tc>
          <w:tcPr>
            <w:tcW w:w="1151" w:type="dxa"/>
            <w:tcBorders>
              <w:top w:val="single" w:color="000000" w:sz="4" w:space="0"/>
              <w:left w:val="single" w:color="000000" w:sz="4" w:space="0"/>
              <w:bottom w:val="single" w:color="000000" w:sz="4" w:space="0"/>
              <w:right w:val="single" w:color="000000" w:sz="4" w:space="0"/>
            </w:tcBorders>
            <w:vAlign w:val="center"/>
          </w:tcPr>
          <w:p w14:paraId="7C25276C">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腋下拐杖</w:t>
            </w:r>
          </w:p>
        </w:tc>
        <w:tc>
          <w:tcPr>
            <w:tcW w:w="6018" w:type="dxa"/>
            <w:tcBorders>
              <w:top w:val="single" w:color="000000" w:sz="4" w:space="0"/>
              <w:left w:val="single" w:color="000000" w:sz="4" w:space="0"/>
              <w:bottom w:val="single" w:color="000000" w:sz="4" w:space="0"/>
              <w:right w:val="single" w:color="000000" w:sz="4" w:space="0"/>
            </w:tcBorders>
            <w:vAlign w:val="center"/>
          </w:tcPr>
          <w:p w14:paraId="3866629B">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铝合金医用腋拐(两支)；撑杆可调节:119~135cm；主要材料：铝合金；手柄总宽:120mm；式样：扁型管腋下拐杖；</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单支净重:0.83kg；毛重:0.56kg；扶肩:200*40*50mm（±10mm)；握把:106*#23*孔径10；静载承重:100kg；</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脚垫：孔径20.3*直径43*高56；包装尺寸:1120*205*78mm</w:t>
            </w:r>
          </w:p>
        </w:tc>
        <w:tc>
          <w:tcPr>
            <w:tcW w:w="710" w:type="dxa"/>
            <w:tcBorders>
              <w:top w:val="single" w:color="000000" w:sz="4" w:space="0"/>
              <w:left w:val="single" w:color="000000" w:sz="4" w:space="0"/>
              <w:bottom w:val="single" w:color="000000" w:sz="4" w:space="0"/>
              <w:right w:val="single" w:color="000000" w:sz="4" w:space="0"/>
            </w:tcBorders>
            <w:vAlign w:val="center"/>
          </w:tcPr>
          <w:p w14:paraId="4AE19E43">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w:t>
            </w:r>
          </w:p>
        </w:tc>
        <w:tc>
          <w:tcPr>
            <w:tcW w:w="660" w:type="dxa"/>
            <w:tcBorders>
              <w:top w:val="single" w:color="000000" w:sz="4" w:space="0"/>
              <w:left w:val="single" w:color="000000" w:sz="4" w:space="0"/>
              <w:bottom w:val="single" w:color="000000" w:sz="4" w:space="0"/>
              <w:right w:val="single" w:color="000000" w:sz="4" w:space="0"/>
            </w:tcBorders>
            <w:vAlign w:val="center"/>
          </w:tcPr>
          <w:p w14:paraId="4C8154E5">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对</w:t>
            </w:r>
          </w:p>
        </w:tc>
        <w:tc>
          <w:tcPr>
            <w:tcW w:w="1242" w:type="dxa"/>
            <w:tcBorders>
              <w:top w:val="nil"/>
              <w:left w:val="single" w:color="000000" w:sz="4" w:space="0"/>
              <w:bottom w:val="single" w:color="000000" w:sz="4" w:space="0"/>
              <w:right w:val="single" w:color="000000" w:sz="4" w:space="0"/>
            </w:tcBorders>
            <w:vAlign w:val="center"/>
          </w:tcPr>
          <w:p w14:paraId="18A2A5E4">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 236.00 </w:t>
            </w:r>
          </w:p>
        </w:tc>
      </w:tr>
      <w:tr w14:paraId="761A140F">
        <w:tblPrEx>
          <w:tblCellMar>
            <w:top w:w="0" w:type="dxa"/>
            <w:left w:w="108" w:type="dxa"/>
            <w:bottom w:w="0" w:type="dxa"/>
            <w:right w:w="108" w:type="dxa"/>
          </w:tblCellMar>
        </w:tblPrEx>
        <w:trPr>
          <w:trHeight w:val="801" w:hRule="atLeast"/>
        </w:trPr>
        <w:tc>
          <w:tcPr>
            <w:tcW w:w="765" w:type="dxa"/>
            <w:tcBorders>
              <w:top w:val="single" w:color="000000" w:sz="4" w:space="0"/>
              <w:left w:val="single" w:color="000000" w:sz="4" w:space="0"/>
              <w:bottom w:val="single" w:color="000000" w:sz="4" w:space="0"/>
              <w:right w:val="single" w:color="000000" w:sz="4" w:space="0"/>
            </w:tcBorders>
            <w:vAlign w:val="center"/>
          </w:tcPr>
          <w:p w14:paraId="7A326B7E">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13</w:t>
            </w:r>
          </w:p>
        </w:tc>
        <w:tc>
          <w:tcPr>
            <w:tcW w:w="1151" w:type="dxa"/>
            <w:tcBorders>
              <w:top w:val="single" w:color="000000" w:sz="4" w:space="0"/>
              <w:left w:val="single" w:color="000000" w:sz="4" w:space="0"/>
              <w:bottom w:val="single" w:color="000000" w:sz="4" w:space="0"/>
              <w:right w:val="single" w:color="000000" w:sz="4" w:space="0"/>
            </w:tcBorders>
            <w:vAlign w:val="center"/>
          </w:tcPr>
          <w:p w14:paraId="7B52AE04">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康复助行器</w:t>
            </w:r>
          </w:p>
        </w:tc>
        <w:tc>
          <w:tcPr>
            <w:tcW w:w="6018" w:type="dxa"/>
            <w:tcBorders>
              <w:top w:val="single" w:color="000000" w:sz="4" w:space="0"/>
              <w:left w:val="single" w:color="000000" w:sz="4" w:space="0"/>
              <w:bottom w:val="single" w:color="000000" w:sz="4" w:space="0"/>
              <w:right w:val="single" w:color="000000" w:sz="4" w:space="0"/>
            </w:tcBorders>
          </w:tcPr>
          <w:p w14:paraId="2DEAC95D">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康复助行器带轮:</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 xml:space="preserve">用途：辅助代步工具。                                                  </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备注：高度可调、可折叠</w:t>
            </w:r>
          </w:p>
        </w:tc>
        <w:tc>
          <w:tcPr>
            <w:tcW w:w="710" w:type="dxa"/>
            <w:tcBorders>
              <w:top w:val="single" w:color="000000" w:sz="4" w:space="0"/>
              <w:left w:val="single" w:color="000000" w:sz="4" w:space="0"/>
              <w:bottom w:val="single" w:color="000000" w:sz="4" w:space="0"/>
              <w:right w:val="single" w:color="000000" w:sz="4" w:space="0"/>
            </w:tcBorders>
            <w:vAlign w:val="center"/>
          </w:tcPr>
          <w:p w14:paraId="233BBCA5">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w:t>
            </w:r>
          </w:p>
        </w:tc>
        <w:tc>
          <w:tcPr>
            <w:tcW w:w="660" w:type="dxa"/>
            <w:tcBorders>
              <w:top w:val="single" w:color="000000" w:sz="4" w:space="0"/>
              <w:left w:val="single" w:color="000000" w:sz="4" w:space="0"/>
              <w:bottom w:val="single" w:color="000000" w:sz="4" w:space="0"/>
              <w:right w:val="single" w:color="000000" w:sz="4" w:space="0"/>
            </w:tcBorders>
            <w:vAlign w:val="center"/>
          </w:tcPr>
          <w:p w14:paraId="45C0C0D6">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个</w:t>
            </w:r>
          </w:p>
        </w:tc>
        <w:tc>
          <w:tcPr>
            <w:tcW w:w="1242" w:type="dxa"/>
            <w:tcBorders>
              <w:top w:val="nil"/>
              <w:left w:val="single" w:color="000000" w:sz="4" w:space="0"/>
              <w:bottom w:val="single" w:color="000000" w:sz="4" w:space="0"/>
              <w:right w:val="single" w:color="000000" w:sz="4" w:space="0"/>
            </w:tcBorders>
            <w:vAlign w:val="center"/>
          </w:tcPr>
          <w:p w14:paraId="0EB2A2BE">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 435.00 </w:t>
            </w:r>
          </w:p>
        </w:tc>
      </w:tr>
      <w:tr w14:paraId="2C8FBBF8">
        <w:tblPrEx>
          <w:tblCellMar>
            <w:top w:w="0" w:type="dxa"/>
            <w:left w:w="108" w:type="dxa"/>
            <w:bottom w:w="0" w:type="dxa"/>
            <w:right w:w="108" w:type="dxa"/>
          </w:tblCellMar>
        </w:tblPrEx>
        <w:tc>
          <w:tcPr>
            <w:tcW w:w="765" w:type="dxa"/>
            <w:tcBorders>
              <w:top w:val="single" w:color="000000" w:sz="4" w:space="0"/>
              <w:left w:val="single" w:color="000000" w:sz="4" w:space="0"/>
              <w:bottom w:val="single" w:color="000000" w:sz="4" w:space="0"/>
              <w:right w:val="single" w:color="000000" w:sz="4" w:space="0"/>
            </w:tcBorders>
            <w:vAlign w:val="center"/>
          </w:tcPr>
          <w:p w14:paraId="618076C3">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14</w:t>
            </w:r>
          </w:p>
        </w:tc>
        <w:tc>
          <w:tcPr>
            <w:tcW w:w="1151" w:type="dxa"/>
            <w:tcBorders>
              <w:top w:val="single" w:color="000000" w:sz="4" w:space="0"/>
              <w:left w:val="single" w:color="000000" w:sz="4" w:space="0"/>
              <w:bottom w:val="single" w:color="000000" w:sz="4" w:space="0"/>
              <w:right w:val="single" w:color="000000" w:sz="4" w:space="0"/>
            </w:tcBorders>
            <w:vAlign w:val="center"/>
          </w:tcPr>
          <w:p w14:paraId="185905A9">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额温枪</w:t>
            </w:r>
          </w:p>
        </w:tc>
        <w:tc>
          <w:tcPr>
            <w:tcW w:w="6018" w:type="dxa"/>
            <w:tcBorders>
              <w:top w:val="single" w:color="000000" w:sz="4" w:space="0"/>
              <w:left w:val="single" w:color="000000" w:sz="4" w:space="0"/>
              <w:bottom w:val="single" w:color="000000" w:sz="4" w:space="0"/>
              <w:right w:val="single" w:color="000000" w:sz="4" w:space="0"/>
            </w:tcBorders>
            <w:vAlign w:val="center"/>
          </w:tcPr>
          <w:p w14:paraId="2A3AF0AC">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一键操作，快速方便测量体温；测量10万次，经济又实惠。电源电压： DC3V（2节5号碱性电池）</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主机尺寸： 187*120*57mm（长*宽*高）；主机重量： 105g（不含电池）</w:t>
            </w:r>
          </w:p>
        </w:tc>
        <w:tc>
          <w:tcPr>
            <w:tcW w:w="710" w:type="dxa"/>
            <w:tcBorders>
              <w:top w:val="single" w:color="000000" w:sz="4" w:space="0"/>
              <w:left w:val="single" w:color="000000" w:sz="4" w:space="0"/>
              <w:bottom w:val="single" w:color="000000" w:sz="4" w:space="0"/>
              <w:right w:val="single" w:color="000000" w:sz="4" w:space="0"/>
            </w:tcBorders>
            <w:vAlign w:val="center"/>
          </w:tcPr>
          <w:p w14:paraId="322FCCE1">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w:t>
            </w:r>
          </w:p>
        </w:tc>
        <w:tc>
          <w:tcPr>
            <w:tcW w:w="660" w:type="dxa"/>
            <w:tcBorders>
              <w:top w:val="single" w:color="000000" w:sz="4" w:space="0"/>
              <w:left w:val="single" w:color="000000" w:sz="4" w:space="0"/>
              <w:bottom w:val="single" w:color="000000" w:sz="4" w:space="0"/>
              <w:right w:val="single" w:color="000000" w:sz="4" w:space="0"/>
            </w:tcBorders>
            <w:vAlign w:val="center"/>
          </w:tcPr>
          <w:p w14:paraId="6ED397C5">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把</w:t>
            </w:r>
          </w:p>
        </w:tc>
        <w:tc>
          <w:tcPr>
            <w:tcW w:w="1242" w:type="dxa"/>
            <w:tcBorders>
              <w:top w:val="single" w:color="000000" w:sz="4" w:space="0"/>
              <w:left w:val="single" w:color="000000" w:sz="4" w:space="0"/>
              <w:bottom w:val="single" w:color="000000" w:sz="4" w:space="0"/>
              <w:right w:val="single" w:color="000000" w:sz="4" w:space="0"/>
            </w:tcBorders>
            <w:vAlign w:val="center"/>
          </w:tcPr>
          <w:p w14:paraId="46725E12">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 175.00 </w:t>
            </w:r>
          </w:p>
        </w:tc>
      </w:tr>
      <w:tr w14:paraId="1B1C3486">
        <w:tblPrEx>
          <w:tblCellMar>
            <w:top w:w="0" w:type="dxa"/>
            <w:left w:w="108" w:type="dxa"/>
            <w:bottom w:w="0" w:type="dxa"/>
            <w:right w:w="108" w:type="dxa"/>
          </w:tblCellMar>
        </w:tblPrEx>
        <w:trPr>
          <w:trHeight w:val="90" w:hRule="atLeast"/>
        </w:trPr>
        <w:tc>
          <w:tcPr>
            <w:tcW w:w="765" w:type="dxa"/>
            <w:tcBorders>
              <w:top w:val="single" w:color="000000" w:sz="4" w:space="0"/>
              <w:left w:val="single" w:color="000000" w:sz="4" w:space="0"/>
              <w:bottom w:val="single" w:color="000000" w:sz="4" w:space="0"/>
              <w:right w:val="single" w:color="000000" w:sz="4" w:space="0"/>
            </w:tcBorders>
            <w:vAlign w:val="center"/>
          </w:tcPr>
          <w:p w14:paraId="212AF45C">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15</w:t>
            </w:r>
          </w:p>
        </w:tc>
        <w:tc>
          <w:tcPr>
            <w:tcW w:w="1151" w:type="dxa"/>
            <w:tcBorders>
              <w:top w:val="single" w:color="000000" w:sz="4" w:space="0"/>
              <w:left w:val="single" w:color="000000" w:sz="4" w:space="0"/>
              <w:bottom w:val="single" w:color="000000" w:sz="4" w:space="0"/>
              <w:right w:val="single" w:color="000000" w:sz="4" w:space="0"/>
            </w:tcBorders>
            <w:vAlign w:val="center"/>
          </w:tcPr>
          <w:p w14:paraId="07ED2A0B">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康养站立架</w:t>
            </w:r>
          </w:p>
        </w:tc>
        <w:tc>
          <w:tcPr>
            <w:tcW w:w="6018" w:type="dxa"/>
            <w:tcBorders>
              <w:top w:val="single" w:color="000000" w:sz="4" w:space="0"/>
              <w:left w:val="single" w:color="000000" w:sz="4" w:space="0"/>
              <w:bottom w:val="single" w:color="auto" w:sz="4" w:space="0"/>
              <w:right w:val="single" w:color="000000" w:sz="4" w:space="0"/>
            </w:tcBorders>
          </w:tcPr>
          <w:p w14:paraId="30729973">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 xml:space="preserve">规格：140*90*105cm                                                       </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 xml:space="preserve">用途：用于行动障碍患者的辅助行走或站立，进行康复训练。                      </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备注：可两人同时使用；</w:t>
            </w:r>
          </w:p>
        </w:tc>
        <w:tc>
          <w:tcPr>
            <w:tcW w:w="710" w:type="dxa"/>
            <w:tcBorders>
              <w:top w:val="single" w:color="000000" w:sz="4" w:space="0"/>
              <w:left w:val="single" w:color="000000" w:sz="4" w:space="0"/>
              <w:bottom w:val="single" w:color="auto" w:sz="4" w:space="0"/>
              <w:right w:val="single" w:color="000000" w:sz="4" w:space="0"/>
            </w:tcBorders>
            <w:noWrap/>
            <w:vAlign w:val="center"/>
          </w:tcPr>
          <w:p w14:paraId="3775A61F">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w:t>
            </w:r>
          </w:p>
        </w:tc>
        <w:tc>
          <w:tcPr>
            <w:tcW w:w="660" w:type="dxa"/>
            <w:tcBorders>
              <w:top w:val="single" w:color="000000" w:sz="4" w:space="0"/>
              <w:left w:val="single" w:color="000000" w:sz="4" w:space="0"/>
              <w:bottom w:val="single" w:color="auto" w:sz="4" w:space="0"/>
              <w:right w:val="single" w:color="000000" w:sz="4" w:space="0"/>
            </w:tcBorders>
            <w:noWrap/>
            <w:vAlign w:val="center"/>
          </w:tcPr>
          <w:p w14:paraId="3772C8D5">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件</w:t>
            </w:r>
          </w:p>
        </w:tc>
        <w:tc>
          <w:tcPr>
            <w:tcW w:w="1242" w:type="dxa"/>
            <w:tcBorders>
              <w:top w:val="single" w:color="000000" w:sz="4" w:space="0"/>
              <w:left w:val="single" w:color="000000" w:sz="4" w:space="0"/>
              <w:bottom w:val="single" w:color="auto" w:sz="4" w:space="0"/>
              <w:right w:val="single" w:color="000000" w:sz="4" w:space="0"/>
            </w:tcBorders>
            <w:noWrap/>
            <w:vAlign w:val="center"/>
          </w:tcPr>
          <w:p w14:paraId="498F577D">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 3310.00 </w:t>
            </w:r>
          </w:p>
        </w:tc>
      </w:tr>
      <w:tr w14:paraId="5CA16345">
        <w:tblPrEx>
          <w:tblCellMar>
            <w:top w:w="0" w:type="dxa"/>
            <w:left w:w="108" w:type="dxa"/>
            <w:bottom w:w="0" w:type="dxa"/>
            <w:right w:w="108" w:type="dxa"/>
          </w:tblCellMar>
        </w:tblPrEx>
        <w:trPr>
          <w:trHeight w:val="801" w:hRule="atLeast"/>
        </w:trPr>
        <w:tc>
          <w:tcPr>
            <w:tcW w:w="765" w:type="dxa"/>
            <w:tcBorders>
              <w:top w:val="single" w:color="000000" w:sz="4" w:space="0"/>
              <w:left w:val="single" w:color="000000" w:sz="4" w:space="0"/>
              <w:bottom w:val="single" w:color="000000" w:sz="4" w:space="0"/>
              <w:right w:val="single" w:color="000000" w:sz="4" w:space="0"/>
            </w:tcBorders>
            <w:vAlign w:val="center"/>
          </w:tcPr>
          <w:p w14:paraId="2417B18D">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16</w:t>
            </w:r>
          </w:p>
        </w:tc>
        <w:tc>
          <w:tcPr>
            <w:tcW w:w="1151" w:type="dxa"/>
            <w:tcBorders>
              <w:top w:val="single" w:color="000000" w:sz="4" w:space="0"/>
              <w:left w:val="single" w:color="000000" w:sz="4" w:space="0"/>
              <w:bottom w:val="single" w:color="000000" w:sz="4" w:space="0"/>
              <w:right w:val="single" w:color="auto" w:sz="4" w:space="0"/>
            </w:tcBorders>
            <w:vAlign w:val="center"/>
          </w:tcPr>
          <w:p w14:paraId="3C0342E4">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康复训练阶梯（双向）</w:t>
            </w:r>
          </w:p>
        </w:tc>
        <w:tc>
          <w:tcPr>
            <w:tcW w:w="6018" w:type="dxa"/>
            <w:tcBorders>
              <w:top w:val="single" w:color="auto" w:sz="4" w:space="0"/>
              <w:left w:val="single" w:color="auto" w:sz="4" w:space="0"/>
              <w:bottom w:val="single" w:color="auto" w:sz="4" w:space="0"/>
              <w:right w:val="single" w:color="auto" w:sz="4" w:space="0"/>
            </w:tcBorders>
          </w:tcPr>
          <w:p w14:paraId="642A0868">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产品尺寸：332cm*80cm</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扶手杠可调距离31cm</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阶梯踏板额定承重2000N</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采用钢材制作，底座稳固，不锈钢扶手，防滑皮革。</w:t>
            </w:r>
          </w:p>
        </w:tc>
        <w:tc>
          <w:tcPr>
            <w:tcW w:w="710" w:type="dxa"/>
            <w:tcBorders>
              <w:top w:val="single" w:color="auto" w:sz="4" w:space="0"/>
              <w:left w:val="single" w:color="auto" w:sz="4" w:space="0"/>
              <w:bottom w:val="single" w:color="auto" w:sz="4" w:space="0"/>
              <w:right w:val="single" w:color="auto" w:sz="4" w:space="0"/>
            </w:tcBorders>
            <w:vAlign w:val="center"/>
          </w:tcPr>
          <w:p w14:paraId="3B9166FB">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w:t>
            </w:r>
          </w:p>
        </w:tc>
        <w:tc>
          <w:tcPr>
            <w:tcW w:w="660" w:type="dxa"/>
            <w:tcBorders>
              <w:top w:val="single" w:color="auto" w:sz="4" w:space="0"/>
              <w:left w:val="single" w:color="auto" w:sz="4" w:space="0"/>
              <w:bottom w:val="single" w:color="auto" w:sz="4" w:space="0"/>
              <w:right w:val="single" w:color="auto" w:sz="4" w:space="0"/>
            </w:tcBorders>
            <w:vAlign w:val="center"/>
          </w:tcPr>
          <w:p w14:paraId="542885EC">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件</w:t>
            </w:r>
          </w:p>
        </w:tc>
        <w:tc>
          <w:tcPr>
            <w:tcW w:w="1242" w:type="dxa"/>
            <w:tcBorders>
              <w:top w:val="single" w:color="auto" w:sz="4" w:space="0"/>
              <w:left w:val="single" w:color="auto" w:sz="4" w:space="0"/>
              <w:bottom w:val="single" w:color="auto" w:sz="4" w:space="0"/>
              <w:right w:val="single" w:color="auto" w:sz="4" w:space="0"/>
            </w:tcBorders>
            <w:vAlign w:val="center"/>
          </w:tcPr>
          <w:p w14:paraId="31A6874D">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 3780.00 </w:t>
            </w:r>
          </w:p>
        </w:tc>
      </w:tr>
      <w:tr w14:paraId="2E2BE4E1">
        <w:tblPrEx>
          <w:tblCellMar>
            <w:top w:w="0" w:type="dxa"/>
            <w:left w:w="108" w:type="dxa"/>
            <w:bottom w:w="0" w:type="dxa"/>
            <w:right w:w="108" w:type="dxa"/>
          </w:tblCellMar>
        </w:tblPrEx>
        <w:trPr>
          <w:trHeight w:val="1011" w:hRule="atLeast"/>
        </w:trPr>
        <w:tc>
          <w:tcPr>
            <w:tcW w:w="765" w:type="dxa"/>
            <w:tcBorders>
              <w:top w:val="single" w:color="000000" w:sz="4" w:space="0"/>
              <w:left w:val="single" w:color="000000" w:sz="4" w:space="0"/>
              <w:bottom w:val="single" w:color="000000" w:sz="4" w:space="0"/>
              <w:right w:val="single" w:color="000000" w:sz="4" w:space="0"/>
            </w:tcBorders>
            <w:vAlign w:val="center"/>
          </w:tcPr>
          <w:p w14:paraId="366A4727">
            <w:pPr>
              <w:widowControl/>
              <w:spacing w:line="360" w:lineRule="auto"/>
              <w:jc w:val="center"/>
              <w:textAlignment w:val="center"/>
              <w:rPr>
                <w:rFonts w:hint="eastAsia" w:ascii="宋体" w:hAnsi="宋体" w:cs="宋体"/>
                <w:color w:val="auto"/>
                <w:kern w:val="0"/>
                <w:szCs w:val="21"/>
                <w:lang w:bidi="ar"/>
              </w:rPr>
            </w:pPr>
            <w:bookmarkStart w:id="26" w:name="_Hlk201796997"/>
            <w:r>
              <w:rPr>
                <w:rFonts w:hint="eastAsia" w:ascii="宋体" w:hAnsi="宋体" w:cs="宋体"/>
                <w:color w:val="auto"/>
                <w:kern w:val="0"/>
                <w:szCs w:val="21"/>
                <w:lang w:bidi="ar"/>
              </w:rPr>
              <w:t>17</w:t>
            </w:r>
          </w:p>
        </w:tc>
        <w:tc>
          <w:tcPr>
            <w:tcW w:w="1151" w:type="dxa"/>
            <w:tcBorders>
              <w:top w:val="single" w:color="000000" w:sz="4" w:space="0"/>
              <w:left w:val="single" w:color="000000" w:sz="4" w:space="0"/>
              <w:bottom w:val="single" w:color="000000" w:sz="4" w:space="0"/>
              <w:right w:val="single" w:color="auto" w:sz="4" w:space="0"/>
            </w:tcBorders>
            <w:vAlign w:val="center"/>
          </w:tcPr>
          <w:p w14:paraId="26386B07">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VR虚拟现实交互教学平台设备</w:t>
            </w:r>
          </w:p>
        </w:tc>
        <w:tc>
          <w:tcPr>
            <w:tcW w:w="6018" w:type="dxa"/>
            <w:tcBorders>
              <w:top w:val="single" w:color="auto" w:sz="4" w:space="0"/>
              <w:left w:val="single" w:color="auto" w:sz="4" w:space="0"/>
              <w:bottom w:val="single" w:color="auto" w:sz="4" w:space="0"/>
              <w:right w:val="single" w:color="auto" w:sz="4" w:space="0"/>
            </w:tcBorders>
          </w:tcPr>
          <w:p w14:paraId="5D6EA66F">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VR虚拟现实交互教学平台设备技术参数：</w:t>
            </w:r>
          </w:p>
          <w:p w14:paraId="78F3E7AF">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VR虚拟现实交互教学平台在配套教学仪器设备下运用了VR虚拟现实交互教学技术，采用情境化实践学习结构和启发式、体验式教学改革，达到辅助教学、实训、模拟仿真相结合的沉浸式综合教学方式。学生沉浸在真实照护场景中，了解真实的岗位内容，感受真实的照护情境，感知照护的要点，增强照护的思想与经验，进行情境模拟照护，全面提升照护者的技能和素养。</w:t>
            </w:r>
          </w:p>
          <w:p w14:paraId="400C0BFA">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一、运用VR虚拟现实交互教学技术以及实训教学平台仪器设备，完全模拟案例操作场景，操作者在三维场景中可以任意漫游，不限制操作者位置，可在任意位置操作实训教学。采用教学设备进行交互的操作方式，包含照护员仿真动画和老人仿真动画。</w:t>
            </w:r>
          </w:p>
          <w:p w14:paraId="293442C6">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二、开发虚拟仿真实训技术</w:t>
            </w:r>
          </w:p>
          <w:p w14:paraId="54F26E4F">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 xml:space="preserve">1）模型制作：采用MAYA模型建模。 </w:t>
            </w:r>
          </w:p>
          <w:p w14:paraId="737EB85E">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 xml:space="preserve">2）动画制作：采用Unity3D动画系统。 </w:t>
            </w:r>
          </w:p>
          <w:p w14:paraId="5F73EF06">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3）场景构建：采用至少是Unity3d 2021开发引擎。</w:t>
            </w:r>
          </w:p>
          <w:p w14:paraId="7DA5A333">
            <w:pPr>
              <w:widowControl/>
              <w:spacing w:line="360" w:lineRule="auto"/>
              <w:jc w:val="left"/>
              <w:textAlignment w:val="top"/>
              <w:rPr>
                <w:rFonts w:ascii="宋体" w:hAnsi="宋体" w:cs="宋体"/>
                <w:color w:val="auto"/>
                <w:kern w:val="0"/>
                <w:szCs w:val="21"/>
                <w:lang w:bidi="ar"/>
              </w:rPr>
            </w:pPr>
            <w:r>
              <w:rPr>
                <w:rFonts w:hint="eastAsia" w:ascii="宋体" w:hAnsi="宋体" w:cs="宋体"/>
                <w:color w:val="auto"/>
                <w:kern w:val="0"/>
                <w:szCs w:val="21"/>
                <w:lang w:bidi="ar"/>
              </w:rPr>
              <w:t>★三、教学平台利用信息化手段虚拟仿真全照护过程，使照护情节与现实贴近。此次项目建设4个养老照护技能模块，且在如下12个VR养老照护技能模块中任选，同时其余8个养老照护技能模块免费提供给学校壹年的使用期限，功能模块如下：1）心脏骤停应对、2）异物卡喉应对、3）跌倒应对、4）烫伤应对、5）协助卧床老年人使用热水袋、6）助行器使用帮助与指导、7）湿热敷、8）协助老年人更换尿垫、9）使用开塞露辅助老年人排便、10）口腔护理、11）老年人居住环境的清洁与消毒、12）使用温水拭浴物理降温。且教学平台设备模块采用交互的操作方式，需包含照护员仿真动画和老人仿真动画，同时需包含pico neo3企业版（2套）配套VR教学仪器设备；</w:t>
            </w:r>
          </w:p>
          <w:p w14:paraId="18D20725">
            <w:pPr>
              <w:widowControl/>
              <w:spacing w:line="360" w:lineRule="auto"/>
              <w:jc w:val="left"/>
              <w:textAlignment w:val="top"/>
              <w:rPr>
                <w:rFonts w:hint="eastAsia" w:ascii="宋体" w:hAnsi="宋体" w:cs="宋体"/>
                <w:color w:val="auto"/>
                <w:kern w:val="0"/>
                <w:sz w:val="11"/>
                <w:szCs w:val="11"/>
                <w:lang w:bidi="ar"/>
              </w:rPr>
            </w:pPr>
          </w:p>
          <w:p w14:paraId="5672DC8E">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（一）心脏骤停应对</w:t>
            </w:r>
          </w:p>
          <w:p w14:paraId="0F840556">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使用3Dmax、Maya等三维建模软件构建三维虚拟环境所需的三维模型，后期使用Unity引擎进行烘焙、渲染处理，运用VR虚拟现实技术实现沉浸式照护情境操作互动，保证系统及数据的正常运转。采用次时代技术建模，三维人物模型和动画逼真生动。</w:t>
            </w:r>
          </w:p>
          <w:p w14:paraId="56CD6E3C">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▲2、不受场地和电脑限制，可在任意空间进行学习和操作。（提供相关证明材料（包括但不限于彩页、官网和功能截图等）</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3、采用面向对象设计，操作者通过对话框、菜单等简便的操作，能够对软件进行应用。</w:t>
            </w:r>
          </w:p>
          <w:p w14:paraId="220AE444">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4、画面运行流畅，无停滞感，系统响应及时；界面设计合理、美观，人机交互性好，便于操作。</w:t>
            </w:r>
          </w:p>
          <w:p w14:paraId="16E3D0D5">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5、3D场景的音效：在3D场景中有对话内容和相关知识的语音讲解。</w:t>
            </w:r>
          </w:p>
          <w:p w14:paraId="3CCF43D6">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6、依照“1+X老年照护职业技能等级证书”内容开发，匹配学校的教学照护设备、教学结构、教学素材进行授课、实训，便于教师进行课程管理和培训。（提供相关证明材料（包括但不限于彩页、官网和功能截图等）</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7、具有登录功能，每个学生使用不同的账号登录，教师可以对学习结果进行统计分析。</w:t>
            </w:r>
          </w:p>
          <w:p w14:paraId="766A3504">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8、运用虚拟仿真技术构建照护间、准备间、卫生间等照护场景，方便师生进行交互式的实训体验，大幅度提高教学质量和效果，具有安全、无医疗风险、反复应用等优点。通过此实训系统帮助学生学习照护技能基本操作并熟练掌握操作技能的高自由度软件。</w:t>
            </w:r>
          </w:p>
          <w:p w14:paraId="6380D735">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9、运用VR虚拟现实技术，完全模拟案例操作场景，操作者在三维场景中可以任意漫游，不限制操作者位置，可在任意位置操作。采用交互的操作方式，包含照护员仿真动画和老人仿真动画。</w:t>
            </w:r>
          </w:p>
          <w:p w14:paraId="60CCF6BA">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10、心脏骤停应对参数</w:t>
            </w:r>
          </w:p>
          <w:p w14:paraId="32221BAE">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10.1评估呼救：照护员查看老人情况；评估环境安全，远离灾害现场等危险环境；照护人员判断老人意识，轻拍重喊；紧急救助：照护人员呼叫其他人员帮助呼叫本单位医护人员并协助拨打120；照护人员记录抢救时间。</w:t>
            </w:r>
          </w:p>
          <w:p w14:paraId="618CC171">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10.2安置体位：照护员用双手触碰老人颈部、后背、双腿，检查老人有无损伤；照护员就地将老人体位由俯卧位变更为仰卧位。</w:t>
            </w:r>
          </w:p>
          <w:p w14:paraId="6FE60715">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10.3心肺评估：照护员双腿分开与肩同宽，跪于右侧施救；解开老人的衣服、腰带；评估呼吸与颈动脉搏动。</w:t>
            </w:r>
          </w:p>
          <w:p w14:paraId="66AA9435">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10.4胸外心脏按压：确定胸外心脏按压部位；胸外心脏按压30次。</w:t>
            </w:r>
          </w:p>
          <w:p w14:paraId="39049E87">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10.5开放气道：清理气道：检查口鼻腔有无异物，取出活动性假牙及异物；开放气道，照护员左手手掌压低前额，右手食指和中指轻抬下颌角，抬起下颌使鼻孔朝天。</w:t>
            </w:r>
          </w:p>
          <w:p w14:paraId="014282C1">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10.6人工呼吸：捏住鼻孔，包裹嘴部向其吹气，同时观察胸廓的起伏情况；人工呼吸进行2次。</w:t>
            </w:r>
          </w:p>
          <w:p w14:paraId="6F9ED431">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10.7循环进行胸外心脏按压和人工呼吸，直至老人恢复意识。</w:t>
            </w:r>
          </w:p>
          <w:p w14:paraId="3B3F50D7">
            <w:pPr>
              <w:widowControl/>
              <w:spacing w:line="360" w:lineRule="auto"/>
              <w:jc w:val="left"/>
              <w:textAlignment w:val="top"/>
              <w:rPr>
                <w:rFonts w:ascii="宋体" w:hAnsi="宋体" w:cs="宋体"/>
                <w:color w:val="auto"/>
                <w:kern w:val="0"/>
                <w:szCs w:val="21"/>
                <w:lang w:bidi="ar"/>
              </w:rPr>
            </w:pPr>
            <w:r>
              <w:rPr>
                <w:rFonts w:hint="eastAsia" w:ascii="宋体" w:hAnsi="宋体" w:cs="宋体"/>
                <w:color w:val="auto"/>
                <w:kern w:val="0"/>
                <w:szCs w:val="21"/>
                <w:lang w:bidi="ar"/>
              </w:rPr>
              <w:t>10.8评估关怀：心肺复苏5个循环后，老人呼吸心跳恢复，计时。照护员帮老年人整理衣物，安抚张爷爷，并在他人的帮助下，送老人至医院进行下一步的救治。</w:t>
            </w:r>
          </w:p>
          <w:p w14:paraId="1A279272">
            <w:pPr>
              <w:widowControl/>
              <w:spacing w:line="360" w:lineRule="auto"/>
              <w:jc w:val="left"/>
              <w:textAlignment w:val="top"/>
              <w:rPr>
                <w:rFonts w:hint="eastAsia" w:ascii="宋体" w:hAnsi="宋体" w:cs="宋体"/>
                <w:color w:val="auto"/>
                <w:kern w:val="0"/>
                <w:sz w:val="11"/>
                <w:szCs w:val="11"/>
                <w:lang w:bidi="ar"/>
              </w:rPr>
            </w:pPr>
          </w:p>
          <w:p w14:paraId="070D22D9">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（二）异物卡喉应对</w:t>
            </w:r>
          </w:p>
          <w:p w14:paraId="1DFE9109">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使用3Dmax、Maya等三维建模软件构建三维虚拟环境所需的三维模型，后期使用Unity引擎进行烘焙、渲染处理，运用VR虚拟现实技术实现沉浸式照护情境操作互动，保证系统及数据的正常运转。采用次时代技术建模，三维人物模型和动画逼真生动。</w:t>
            </w:r>
          </w:p>
          <w:p w14:paraId="4A0ED492">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▲2、不受场地和电脑限制，可在任意空间进行学习和操作。（提供相关证明材料（包括但不限于彩页、官网和功能截图等）</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3、采用面向对象设计，操作者通过对话框、菜单等简便的操作，能够对软件进行应用。</w:t>
            </w:r>
          </w:p>
          <w:p w14:paraId="35FDB7C3">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4、画面运行流畅，无停滞感，系统响应及时；界面设计合理、美观，人机交互性好，便于操作。</w:t>
            </w:r>
          </w:p>
          <w:p w14:paraId="617F7BB2">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5、3D场景的音效：在3D场景中有对话内容和相关知识的语音讲解。</w:t>
            </w:r>
          </w:p>
          <w:p w14:paraId="72B93CEB">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6、依照“1+X老年照护职业技能等级证书”内容开发，匹配学校的教学照护设备、教学结构、教学素材进行授课、实训，便于教师进行课程管理和培训。（提供相关证明材料（包括但不限于彩页、官网和功能截图等）</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7、具有登录功能，每个学生使用不同的账号登录，教师可以对学习结果进行统计分析。</w:t>
            </w:r>
          </w:p>
          <w:p w14:paraId="4762FABB">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8、运用虚拟仿真技术构建照护间、准备间、卫生间等照护场景，方便师生进行交互式的实训体验，大幅度提高教学质量和效果，具有安全、无医疗风险、反复应用等优点。通过此实训系统帮助学生学习照护技能基本操作并熟练掌握操作技能的高自由度软件。</w:t>
            </w:r>
          </w:p>
          <w:p w14:paraId="3B39BF69">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9、运用VR虚拟现实技术，完全模拟案例操作场景，操作者在三维场景中可以任意漫游，不限制操作者位置，可在任意位置操作。采用交互的操作方式，包含照护员仿真动画和老人仿真动画。</w:t>
            </w:r>
          </w:p>
          <w:p w14:paraId="3170F311">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10、异物卡喉应对参数</w:t>
            </w:r>
          </w:p>
          <w:p w14:paraId="5529976F">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10.1环境评估：光线充足，室内宽敞。</w:t>
            </w:r>
          </w:p>
          <w:p w14:paraId="37A3695F">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10.2评估与沟通：评估老人身体情况，有无意识不清，是否能够站立或坐起；安抚老人，请老人务必配合照护人员的抢救措施。</w:t>
            </w:r>
          </w:p>
          <w:p w14:paraId="130E3882">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10.3急救评估：嘱老人张口，照护员尝试用手深入老人口中取出喉部异物，确认无法取出。</w:t>
            </w:r>
          </w:p>
          <w:p w14:paraId="239A8249">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10.4使用海姆立克急救法帮助老人使异物排出。</w:t>
            </w:r>
          </w:p>
          <w:p w14:paraId="7984E0B1">
            <w:pPr>
              <w:widowControl/>
              <w:spacing w:line="360" w:lineRule="auto"/>
              <w:jc w:val="left"/>
              <w:textAlignment w:val="top"/>
              <w:rPr>
                <w:rFonts w:ascii="宋体" w:hAnsi="宋体" w:cs="宋体"/>
                <w:color w:val="auto"/>
                <w:kern w:val="0"/>
                <w:szCs w:val="21"/>
                <w:lang w:bidi="ar"/>
              </w:rPr>
            </w:pPr>
            <w:r>
              <w:rPr>
                <w:rFonts w:hint="eastAsia" w:ascii="宋体" w:hAnsi="宋体" w:cs="宋体"/>
                <w:color w:val="auto"/>
                <w:kern w:val="0"/>
                <w:szCs w:val="21"/>
                <w:lang w:bidi="ar"/>
              </w:rPr>
              <w:t>10.5询问老人有无不适，检查有无并发症发生。</w:t>
            </w:r>
          </w:p>
          <w:p w14:paraId="19A9CEBB">
            <w:pPr>
              <w:widowControl/>
              <w:spacing w:line="360" w:lineRule="auto"/>
              <w:jc w:val="left"/>
              <w:textAlignment w:val="top"/>
              <w:rPr>
                <w:rFonts w:hint="eastAsia" w:ascii="宋体" w:hAnsi="宋体" w:cs="宋体"/>
                <w:color w:val="auto"/>
                <w:kern w:val="0"/>
                <w:sz w:val="11"/>
                <w:szCs w:val="11"/>
                <w:lang w:bidi="ar"/>
              </w:rPr>
            </w:pPr>
          </w:p>
          <w:p w14:paraId="79ACCCA6">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（三）跌倒应对</w:t>
            </w:r>
          </w:p>
          <w:p w14:paraId="7534014D">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使用3Dmax、Maya等三维建模软件构建三维虚拟环境所需的三维模型，后期使用Unity引擎进行烘焙、渲染处理，运用VR虚拟现实技术实现沉浸式照护情境操作互动，保证系统及数据的正常运转。采用次时代技术建模，三维人物模型和动画逼真生动。</w:t>
            </w:r>
          </w:p>
          <w:p w14:paraId="6722D0B2">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2、不受场地和电脑限制，可在任意空间进行学习和操作。</w:t>
            </w:r>
          </w:p>
          <w:p w14:paraId="3DAD21E5">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3、采用面向对象设计，操作者通过对话框、菜单等简便的操作，能够对软件进行应用。</w:t>
            </w:r>
          </w:p>
          <w:p w14:paraId="35FA10E1">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4、画面运行流畅，无停滞感，系统响应及时；界面设计合理、美观，人机交互性好，便于操作。</w:t>
            </w:r>
          </w:p>
          <w:p w14:paraId="5566548A">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5、3D场景的音效：在3D场景中有对话内容和相关知识的语音讲解。</w:t>
            </w:r>
          </w:p>
          <w:p w14:paraId="51C612F0">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6、依照“1+X老年照护职业技能等级证书”内容开发，匹配学校的教学照护设备、教学结构、教学素材进行授课、实训，便于教师进行课程管理和培训。</w:t>
            </w:r>
          </w:p>
          <w:p w14:paraId="36D1751A">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7、具有登录功能，每个学生使用不同的账号登录，教师可以对学习结果进行统计分析。</w:t>
            </w:r>
          </w:p>
          <w:p w14:paraId="1C864036">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8、运用虚拟仿真技术构建照护间、准备间、卫生间等照护场景，方便师生进行交互式的实训体验，大幅度提高教学质量和效果，具有安全、无医疗风险、反复应用等优点。通过此实训系统帮助学生学习照护技能基本操作并熟练掌握操作技能的高自由度软件。</w:t>
            </w:r>
          </w:p>
          <w:p w14:paraId="655A2252">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9、运用VR虚拟现实技术，完全模拟案例操作场景，操作者在三维场景中可以任意漫游，不限制操作者位置，可在任意位置操作。采用交互的操作方式，包含照护员仿真动画和老人仿真动画。</w:t>
            </w:r>
          </w:p>
          <w:p w14:paraId="4DE3814D">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10、跌倒应对参数</w:t>
            </w:r>
          </w:p>
          <w:p w14:paraId="2BE434D3">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10.1评估与沟通：照护员来到老人身边，询问老人情况，安抚老人并对老人情况进行初步评估。</w:t>
            </w:r>
          </w:p>
          <w:p w14:paraId="6CCB51ED">
            <w:pPr>
              <w:widowControl/>
              <w:spacing w:line="360" w:lineRule="auto"/>
              <w:jc w:val="left"/>
              <w:textAlignment w:val="top"/>
              <w:rPr>
                <w:rFonts w:ascii="宋体" w:hAnsi="宋体" w:cs="宋体"/>
                <w:color w:val="auto"/>
                <w:kern w:val="0"/>
                <w:szCs w:val="21"/>
                <w:lang w:bidi="ar"/>
              </w:rPr>
            </w:pPr>
            <w:r>
              <w:rPr>
                <w:rFonts w:hint="eastAsia" w:ascii="宋体" w:hAnsi="宋体" w:cs="宋体"/>
                <w:color w:val="auto"/>
                <w:kern w:val="0"/>
                <w:szCs w:val="21"/>
                <w:lang w:bidi="ar"/>
              </w:rPr>
              <w:t>10.2对意识清醒的老人进行救助：照护员在老人身旁，安抚老人，呼叫其他人员协助与医生沟通或直接拨打120，并根据伤情，对老人进行力所能及的现场处置。</w:t>
            </w:r>
          </w:p>
          <w:p w14:paraId="09D34085">
            <w:pPr>
              <w:widowControl/>
              <w:spacing w:line="360" w:lineRule="auto"/>
              <w:jc w:val="left"/>
              <w:textAlignment w:val="top"/>
              <w:rPr>
                <w:rFonts w:hint="eastAsia" w:ascii="宋体" w:hAnsi="宋体" w:cs="宋体"/>
                <w:color w:val="auto"/>
                <w:kern w:val="0"/>
                <w:sz w:val="11"/>
                <w:szCs w:val="11"/>
                <w:lang w:bidi="ar"/>
              </w:rPr>
            </w:pPr>
          </w:p>
          <w:p w14:paraId="1EBD177D">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（四）烫伤应对</w:t>
            </w:r>
          </w:p>
          <w:p w14:paraId="573AC8FC">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使用3Dmax、Maya等三维建模软件构建三维虚拟环境所需的三维模型，后期使用Unity引擎进行烘焙、渲染处理，运用VR虚拟现实技术实现沉浸式照护情境操作互动，保证系统及数据的正常运转。采用次时代技术建模，三维人物模型和动画逼真生动。</w:t>
            </w:r>
          </w:p>
          <w:p w14:paraId="053D5CB1">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2、不受场地和电脑限制，可在任意空间进行学习和操作。</w:t>
            </w:r>
          </w:p>
          <w:p w14:paraId="1E19B06B">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3、采用面向对象设计，操作者通过对话框、菜单等简便的操作，能够对软件进行应用。</w:t>
            </w:r>
          </w:p>
          <w:p w14:paraId="5A91C299">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4、画面运行流畅，无停滞感，系统响应及时；界面设计合理、美观，人机交互性好，便于操作。</w:t>
            </w:r>
          </w:p>
          <w:p w14:paraId="24E35D99">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5、3D场景的音效：在3D场景中有对话内容和相关知识的语音讲解。</w:t>
            </w:r>
          </w:p>
          <w:p w14:paraId="418A6D48">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6、依照“1+X老年照护职业技能等级证书”内容开发，匹配学校的教学照护设备、教学结构、教学素材进行授课、实训，便于教师进行课程管理和培训。</w:t>
            </w:r>
          </w:p>
          <w:p w14:paraId="768F2D8F">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7、具有登录功能，每个学生使用不同的账号登录，教师可以对学习结果进行统计分析。</w:t>
            </w:r>
          </w:p>
          <w:p w14:paraId="6DD3AEF2">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8、运用虚拟仿真技术构建照护间、准备间、卫生间等照护场景，方便师生进行交互式的实训体验，大幅度提高教学质量和效果，具有安全、无医疗风险、反复应用等优点。通过此实训系统帮助学生学习照护技能基本操作并熟练掌握操作技能的高自由度软件。</w:t>
            </w:r>
          </w:p>
          <w:p w14:paraId="6CEB7E9C">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9、运用VR虚拟现实技术，完全模拟案例操作场景，操作者在三维场景中可以任意漫游，不限制操作者位置，可在任意位置操作。采用交互的操作方式，包含照护员仿真动画和老人仿真动画。</w:t>
            </w:r>
          </w:p>
          <w:p w14:paraId="21651AE3">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10、烫伤应对参数</w:t>
            </w:r>
          </w:p>
          <w:p w14:paraId="3EC545D0">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10.1环境评估：光线充足，室内安静。</w:t>
            </w:r>
          </w:p>
          <w:p w14:paraId="3114241D">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10.2评估与沟通：照护员立即帮老人离开危险环境避免进一步伤害的发生，与老人沟通并安抚老人。</w:t>
            </w:r>
          </w:p>
          <w:p w14:paraId="6CBA476C">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10.3用冷水冲洗烫伤部位30分钟</w:t>
            </w:r>
          </w:p>
          <w:p w14:paraId="4152E0BD">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10.4进行烫伤后的处理。</w:t>
            </w:r>
          </w:p>
          <w:p w14:paraId="238478B8">
            <w:pPr>
              <w:widowControl/>
              <w:spacing w:line="360" w:lineRule="auto"/>
              <w:jc w:val="left"/>
              <w:textAlignment w:val="top"/>
              <w:rPr>
                <w:rFonts w:ascii="宋体" w:hAnsi="宋体" w:cs="宋体"/>
                <w:color w:val="auto"/>
                <w:kern w:val="0"/>
                <w:szCs w:val="21"/>
                <w:lang w:bidi="ar"/>
              </w:rPr>
            </w:pPr>
            <w:r>
              <w:rPr>
                <w:rFonts w:hint="eastAsia" w:ascii="宋体" w:hAnsi="宋体" w:cs="宋体"/>
                <w:color w:val="auto"/>
                <w:kern w:val="0"/>
                <w:szCs w:val="21"/>
                <w:lang w:bidi="ar"/>
              </w:rPr>
              <w:t>10.5老人烫伤的预防。</w:t>
            </w:r>
          </w:p>
          <w:p w14:paraId="37FBCB1E">
            <w:pPr>
              <w:widowControl/>
              <w:spacing w:line="360" w:lineRule="auto"/>
              <w:jc w:val="left"/>
              <w:textAlignment w:val="top"/>
              <w:rPr>
                <w:rFonts w:hint="eastAsia" w:ascii="宋体" w:hAnsi="宋体" w:cs="宋体"/>
                <w:color w:val="auto"/>
                <w:kern w:val="0"/>
                <w:sz w:val="11"/>
                <w:szCs w:val="11"/>
                <w:lang w:bidi="ar"/>
              </w:rPr>
            </w:pPr>
          </w:p>
          <w:p w14:paraId="2C17FE51">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（五）协助卧床老年人使用热水袋</w:t>
            </w:r>
          </w:p>
          <w:p w14:paraId="2F842A3D">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使用3Dmax、Maya等三维建模软件构建三维虚拟环境所需的三维模型，后期使用Unity引擎进行烘焙、渲染处理，运用VR虚拟现实技术实现沉浸式照护情境操作互动，保证系统及数据的正常运转。采用次时代技术建模，三维人物模型和动画逼真生动。</w:t>
            </w:r>
          </w:p>
          <w:p w14:paraId="7C554491">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2、不受场地和电脑限制，可在任意空间进行学习和操作。</w:t>
            </w:r>
          </w:p>
          <w:p w14:paraId="6E3469C8">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3、采用面向对象设计，操作者通过对话框、菜单等简便的操作，能够对软件进行应用。</w:t>
            </w:r>
          </w:p>
          <w:p w14:paraId="6BCB0847">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4、画面运行流畅，无停滞感，系统响应及时；界面设计合理、美观，人机交互性好，便于操作。</w:t>
            </w:r>
          </w:p>
          <w:p w14:paraId="670977EA">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5、3D场景的音效：在3D场景中有对话内容和相关知识的语音讲解。</w:t>
            </w:r>
          </w:p>
          <w:p w14:paraId="714A2A0A">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6、依照“1+X老年照护职业技能等级证书”内容开发，匹配学校的教学照护设备、教学结构、教学素材进行授课、实训，便于教师进行课程管理和培训。</w:t>
            </w:r>
          </w:p>
          <w:p w14:paraId="453BC043">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7、具有登录功能，每个学生使用不同的账号登录，教师可以对学习结果进行统计分析。</w:t>
            </w:r>
          </w:p>
          <w:p w14:paraId="204BA348">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8、运用虚拟仿真技术构建照护间、准备间、卫生间等照护场景，方便师生进行交互式的实训体验，大幅度提高教学质量和效果，具有安全、无医疗风险、反复应用等优点。通过此实训系统帮助学生学习照护技能基本操作并熟练掌握操作技能的高自由度软件。</w:t>
            </w:r>
          </w:p>
          <w:p w14:paraId="10C3CBF0">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9、运用VR虚拟现实技术，完全模拟案例操作场景，操作者在三维场景中可以任意漫游，不限制操作者位置，可在任意位置操作。采用交互的操作方式，包含照护员仿真动画和老人仿真动画。</w:t>
            </w:r>
          </w:p>
          <w:p w14:paraId="4273744E">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10、协助卧床老年人使用热水袋参数</w:t>
            </w:r>
          </w:p>
          <w:p w14:paraId="62419E10">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10.1照护前准备：照护人员应服装整洁、仪表端庄、无长指甲。</w:t>
            </w:r>
          </w:p>
          <w:p w14:paraId="0A59C1D4">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10.2评估与沟通：评估老年人有无感觉、运动功能障碍，痛觉、温觉的减退或消失，有无皮肤破损的情况。</w:t>
            </w:r>
          </w:p>
          <w:p w14:paraId="306D98B7">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10.3环境评估：环境整洁、安静、舒适、安全，调节室温至18~22℃，相对湿度60%。</w:t>
            </w:r>
          </w:p>
          <w:p w14:paraId="77886EE2">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10.4向老人解释应用热水袋的目的、方法以取得配合。</w:t>
            </w:r>
          </w:p>
          <w:p w14:paraId="4812BC1A">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10.5灌热水袋：往量杯里先倒入少量冷水，然后再兑入部分热水。</w:t>
            </w:r>
          </w:p>
          <w:p w14:paraId="11C70FC8">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10.6放置热水袋：再次检查热水袋有无漏水。掀开被尾放置于距离老年人右足或身体10厘米处，袋口朝向身体外侧。</w:t>
            </w:r>
          </w:p>
          <w:p w14:paraId="1CB5396F">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10.7取出热水袋：30分钟后取出热水袋，询问老年人是否还有其他需要。</w:t>
            </w:r>
          </w:p>
          <w:p w14:paraId="0FFD2E7C">
            <w:pPr>
              <w:widowControl/>
              <w:spacing w:line="360" w:lineRule="auto"/>
              <w:jc w:val="left"/>
              <w:textAlignment w:val="top"/>
              <w:rPr>
                <w:rFonts w:ascii="宋体" w:hAnsi="宋体" w:cs="宋体"/>
                <w:color w:val="auto"/>
                <w:kern w:val="0"/>
                <w:szCs w:val="21"/>
                <w:lang w:bidi="ar"/>
              </w:rPr>
            </w:pPr>
            <w:r>
              <w:rPr>
                <w:rFonts w:hint="eastAsia" w:ascii="宋体" w:hAnsi="宋体" w:cs="宋体"/>
                <w:color w:val="auto"/>
                <w:kern w:val="0"/>
                <w:szCs w:val="21"/>
                <w:lang w:bidi="ar"/>
              </w:rPr>
              <w:t>10.8操作后整理：协助老年人躺卧舒适，将被子盖严、整理好床铺。用物整理；洗手记录。</w:t>
            </w:r>
          </w:p>
          <w:p w14:paraId="26B29E9B">
            <w:pPr>
              <w:widowControl/>
              <w:spacing w:line="360" w:lineRule="auto"/>
              <w:jc w:val="left"/>
              <w:textAlignment w:val="top"/>
              <w:rPr>
                <w:rFonts w:hint="eastAsia" w:ascii="宋体" w:hAnsi="宋体" w:cs="宋体"/>
                <w:color w:val="auto"/>
                <w:kern w:val="0"/>
                <w:sz w:val="11"/>
                <w:szCs w:val="11"/>
                <w:lang w:bidi="ar"/>
              </w:rPr>
            </w:pPr>
          </w:p>
          <w:p w14:paraId="310D388A">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（六）助行器使用帮助与指导</w:t>
            </w:r>
          </w:p>
          <w:p w14:paraId="633ECE49">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使用3Dmax、Maya等三维建模软件构建三维虚拟环境所需的三维模型，后期使用Unity引擎进行烘焙、渲染处理，运用VR虚拟现实技术实现沉浸式照护情境操作互动，保证系统及数据的正常运转。采用次时代技术建模，三维人物模型和动画逼真生动。</w:t>
            </w:r>
          </w:p>
          <w:p w14:paraId="7B7CC3A5">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2、不受场地和电脑限制，可在任意空间进行学习和操作。</w:t>
            </w:r>
          </w:p>
          <w:p w14:paraId="7C6A9E2E">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3、采用面向对象设计，操作者通过对话框、菜单等简便的操作，能够对软件进行应用。</w:t>
            </w:r>
          </w:p>
          <w:p w14:paraId="214333B0">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4、画面运行流畅，无停滞感，系统响应及时；界面设计合理、美观，人机交互性好，便于操作。</w:t>
            </w:r>
          </w:p>
          <w:p w14:paraId="2A22ACD9">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5、3D场景的音效：在3D场景中有对话内容和相关知识的语音讲解。</w:t>
            </w:r>
          </w:p>
          <w:p w14:paraId="0F4DC65E">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6、依照“1+X老年照护职业技能等级证书”内容开发，匹配学校的教学照护设备、教学结构、教学素材进行授课、实训，便于教师进行课程管理和培训。</w:t>
            </w:r>
          </w:p>
          <w:p w14:paraId="35BFCD34">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7、具有登录功能，每个学生使用不同的账号登录，教师可以对学习结果进行统计分析。</w:t>
            </w:r>
          </w:p>
          <w:p w14:paraId="1A30218E">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8、运用虚拟仿真技术构建照护间、准备间、卫生间等照护场景，方便师生进行交互式的实训体验，大幅度提高教学质量和效果，具有安全、无医疗风险、反复应用等优点。通过此实训系统帮助学生学习照护技能基本操作并熟练掌握操作技能的高自由度软件。</w:t>
            </w:r>
          </w:p>
          <w:p w14:paraId="4383FA03">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9、运用VR虚拟现实技术，完全模拟案例操作场景，操作者在三维场景中可以任意漫游，不限制操作者位置，可在任意位置操作。采用交互的操作方式，包含照护员仿真动画和老人仿真动画。</w:t>
            </w:r>
          </w:p>
          <w:p w14:paraId="391B0C1F">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10、助行器使用帮助与指导参数</w:t>
            </w:r>
          </w:p>
          <w:p w14:paraId="5DACE298">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10.1照护前准备：照护人员应服装整洁、仪表端庄、无长指甲。</w:t>
            </w:r>
          </w:p>
          <w:p w14:paraId="4C7DB92F">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10.2评估与沟通：评估老年人的身体状况及行走意愿，老人穿合适长度的裤子以及防滑的鞋子。</w:t>
            </w:r>
          </w:p>
          <w:p w14:paraId="0E36235C">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10.3检查手杖：照护人员携带手杖来到老年人面前，边演示边讲解检查拐杖的方法.</w:t>
            </w:r>
          </w:p>
          <w:p w14:paraId="4DF72762">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10.4保护行走：1）为老年人系好安全保护腰带，指导老年人健侧手拿手杖，手握把手，手杖放在健侧脚外侧15厘米处，目视前方，保持身体直立。2）照护人员站在患侧保护，一手托住老年人患侧手臂，另一手从背后抓住老年人的保护腰带3）指令清晰，指导老年人按照三点步行或两点步行方式行走4）行走过程中，观察有无障碍物，并及时清理5）观察老年人行走的稳定性，有无异常表现6）询问老年人感受，老年人感到疲劳时则停止练习，让老年人休息。</w:t>
            </w:r>
          </w:p>
          <w:p w14:paraId="1DAEC5D4">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10.5照护人员协助老年人回到房间，询问老年人情况。</w:t>
            </w:r>
          </w:p>
          <w:p w14:paraId="54E806B8">
            <w:pPr>
              <w:widowControl/>
              <w:spacing w:line="360" w:lineRule="auto"/>
              <w:jc w:val="left"/>
              <w:textAlignment w:val="top"/>
              <w:rPr>
                <w:rFonts w:ascii="宋体" w:hAnsi="宋体" w:cs="宋体"/>
                <w:color w:val="auto"/>
                <w:kern w:val="0"/>
                <w:szCs w:val="21"/>
                <w:lang w:bidi="ar"/>
              </w:rPr>
            </w:pPr>
            <w:r>
              <w:rPr>
                <w:rFonts w:hint="eastAsia" w:ascii="宋体" w:hAnsi="宋体" w:cs="宋体"/>
                <w:color w:val="auto"/>
                <w:kern w:val="0"/>
                <w:szCs w:val="21"/>
                <w:lang w:bidi="ar"/>
              </w:rPr>
              <w:t>10.6行走后整理：将助行器放回原处，洗手记录训练过程及结果。</w:t>
            </w:r>
          </w:p>
          <w:p w14:paraId="27B6A176">
            <w:pPr>
              <w:widowControl/>
              <w:spacing w:line="360" w:lineRule="auto"/>
              <w:jc w:val="left"/>
              <w:textAlignment w:val="top"/>
              <w:rPr>
                <w:rFonts w:hint="eastAsia" w:ascii="宋体" w:hAnsi="宋体" w:cs="宋体"/>
                <w:color w:val="auto"/>
                <w:kern w:val="0"/>
                <w:sz w:val="11"/>
                <w:szCs w:val="11"/>
                <w:lang w:bidi="ar"/>
              </w:rPr>
            </w:pPr>
          </w:p>
          <w:p w14:paraId="64569D3A">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（七）湿热敷</w:t>
            </w:r>
          </w:p>
          <w:p w14:paraId="69DAB8D9">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使用3Dmax、Maya等三维建模软件构建三维虚拟环境所需的三维模型，后期使用Unity引擎进行烘焙、渲染处理，运用VR虚拟现实技术实现沉浸式照护情境操作互动，保证系统及数据的正常运转。采用次时代技术建模，三维人物模型和动画逼真生动。</w:t>
            </w:r>
          </w:p>
          <w:p w14:paraId="06F24390">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2、不受场地和电脑限制，可在任意空间进行学习和操作。</w:t>
            </w:r>
          </w:p>
          <w:p w14:paraId="17169FEA">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3、采用面向对象设计，操作者通过对话框、菜单等简便的操作，能够对软件进行应用。</w:t>
            </w:r>
          </w:p>
          <w:p w14:paraId="5A019B1D">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4、画面运行流畅，无停滞感，系统响应及时；界面设计合理、美观，人机交互性好，便于操作。</w:t>
            </w:r>
          </w:p>
          <w:p w14:paraId="0AA88FD7">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5、3D场景的音效：在3D场景中有对话内容和相关知识的语音讲解。</w:t>
            </w:r>
          </w:p>
          <w:p w14:paraId="7FA2D895">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6、依照“1+X老年照护职业技能等级证书”内容开发，匹配学校的教学照护设备、教学结构、教学素材进行授课、实训，便于教师进行课程管理和培训。</w:t>
            </w:r>
          </w:p>
          <w:p w14:paraId="255BD626">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7、具有登录功能，每个学生使用不同的账号登录，教师可以对学习结果进行统计分析。</w:t>
            </w:r>
          </w:p>
          <w:p w14:paraId="4F3339C2">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8、运用虚拟仿真技术构建照护间、准备间、卫生间等照护场景，方便师生进行交互式的实训体验，大幅度提高教学质量和效果，具有安全、无医疗风险、反复应用等优点。通过此实训系统帮助学生学习照护技能基本操作并熟练掌握操作技能的高自由度软件。</w:t>
            </w:r>
          </w:p>
          <w:p w14:paraId="7B3BAC07">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9、运用VR虚拟现实技术，完全模拟案例操作场景，操作者在三维场景中可以任意漫游，不限制操作者位置，可在任意位置操作。采用交互的操作方式，包含照护员仿真动画和老人仿真动画。</w:t>
            </w:r>
          </w:p>
          <w:p w14:paraId="3B437F9B">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10、湿热敷参数</w:t>
            </w:r>
          </w:p>
          <w:p w14:paraId="278328EA">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10.1照护前准备：照护人员应服装整洁、仪表端庄、无长指甲。</w:t>
            </w:r>
          </w:p>
          <w:p w14:paraId="6DC5570C">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10.2评估沟通：了解全身及局部皮肤情况，翻阅照护记录了解身体疾病状况，协助排便喝水，告知过程，取得老年人配合。</w:t>
            </w:r>
          </w:p>
          <w:p w14:paraId="46A9507C">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10.3环境评估：环境整洁明亮，调节室温，关闭门窗，必要时使用屏风遮挡。治疗车置于老人床旁合适位置。</w:t>
            </w:r>
          </w:p>
          <w:p w14:paraId="688178E4">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10.4解释操作目的，取得老年人的配合。</w:t>
            </w:r>
          </w:p>
          <w:p w14:paraId="4A07A67C">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10.5摆放体位。</w:t>
            </w:r>
          </w:p>
          <w:p w14:paraId="228AACDA">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10.6进行湿热敷。</w:t>
            </w:r>
          </w:p>
          <w:p w14:paraId="2CB15E70">
            <w:pPr>
              <w:widowControl/>
              <w:spacing w:line="360" w:lineRule="auto"/>
              <w:jc w:val="left"/>
              <w:textAlignment w:val="top"/>
              <w:rPr>
                <w:rFonts w:ascii="宋体" w:hAnsi="宋体" w:cs="宋体"/>
                <w:color w:val="auto"/>
                <w:kern w:val="0"/>
                <w:szCs w:val="21"/>
                <w:lang w:bidi="ar"/>
              </w:rPr>
            </w:pPr>
            <w:r>
              <w:rPr>
                <w:rFonts w:hint="eastAsia" w:ascii="宋体" w:hAnsi="宋体" w:cs="宋体"/>
                <w:color w:val="auto"/>
                <w:kern w:val="0"/>
                <w:szCs w:val="21"/>
                <w:lang w:bidi="ar"/>
              </w:rPr>
              <w:t>10.7热敷完毕，整理用物。</w:t>
            </w:r>
          </w:p>
          <w:p w14:paraId="6FA9EEF1">
            <w:pPr>
              <w:widowControl/>
              <w:spacing w:line="360" w:lineRule="auto"/>
              <w:jc w:val="left"/>
              <w:textAlignment w:val="top"/>
              <w:rPr>
                <w:rFonts w:hint="eastAsia" w:ascii="宋体" w:hAnsi="宋体" w:cs="宋体"/>
                <w:color w:val="auto"/>
                <w:kern w:val="0"/>
                <w:sz w:val="11"/>
                <w:szCs w:val="11"/>
                <w:lang w:bidi="ar"/>
              </w:rPr>
            </w:pPr>
          </w:p>
          <w:p w14:paraId="4F12D1AE">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（八）协助老年人更换尿垫</w:t>
            </w:r>
          </w:p>
          <w:p w14:paraId="2002DF4C">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使用3Dmax、Maya等三维建模软件构建三维虚拟环境所需的三维模型，后期使用Unity引擎进行烘焙、渲染处理，运用VR虚拟现实技术实现沉浸式照护情境操作互动，保证系统及数据的正常运转。采用次时代技术建模，三维人物模型和动画逼真生动。</w:t>
            </w:r>
          </w:p>
          <w:p w14:paraId="293D2D58">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2、不受场地和电脑限制，可在任意空间进行学习和操作。</w:t>
            </w:r>
          </w:p>
          <w:p w14:paraId="2B014E6E">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3、采用面向对象设计，操作者通过对话框、菜单等简便的操作，能够对软件进行应用。</w:t>
            </w:r>
          </w:p>
          <w:p w14:paraId="6C2A940C">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4、画面运行流畅，无停滞感，系统响应及时；界面设计合理、美观，人机交互性好，便于操作。</w:t>
            </w:r>
          </w:p>
          <w:p w14:paraId="387E7224">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5、3D场景的音效：在3D场景中有对话内容和相关知识的语音讲解。</w:t>
            </w:r>
          </w:p>
          <w:p w14:paraId="65EDAA90">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6、依照“1+X老年照护职业技能等级证书”内容开发，匹配学校的教学照护设备、教学结构、教学素材进行授课、实训，便于教师进行课程管理和培训。</w:t>
            </w:r>
          </w:p>
          <w:p w14:paraId="69B54E32">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7、具有登录功能，每个学生使用不同的账号登录，教师可以对学习结果进行统计分析。</w:t>
            </w:r>
          </w:p>
          <w:p w14:paraId="6B85C5FA">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8、运用虚拟仿真技术构建照护间、准备间、卫生间等照护场景，方便师生进行交互式的实训体验，大幅度提高教学质量和效果，具有安全、无医疗风险、反复应用等优点。通过此实训系统帮助学生学习照护技能基本操作并熟练掌握操作技能的高自由度软件。</w:t>
            </w:r>
          </w:p>
          <w:p w14:paraId="060904A8">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9、运用VR虚拟现实技术，完全模拟案例操作场景，操作者在三维场景中可以任意漫游，不限制操作者位置，可在任意位置操作。采用交互的操作方式，包含照护员仿真动画和老人仿真动画。</w:t>
            </w:r>
          </w:p>
          <w:p w14:paraId="230445D3">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10、协助老年人更换尿垫参数</w:t>
            </w:r>
          </w:p>
          <w:p w14:paraId="75F76A3E">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10.1照护前准备：照护人员应服装整洁、仪表端庄、无长指甲。采用七步洗手法洗净双手，并温暖双手。</w:t>
            </w:r>
          </w:p>
          <w:p w14:paraId="2FB3CE60">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10.2评估与沟通：评估老年人意识状况、自理能力及心理需求，皮肤的状况，向老年人解释更换尿垫的目的，取得老年人</w:t>
            </w:r>
          </w:p>
          <w:p w14:paraId="20010A79">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的配合。</w:t>
            </w:r>
          </w:p>
          <w:p w14:paraId="62FB9660">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10.3环境评估与准备：空气新鲜，环境清洁，温湿度适宜，关闭门窗，必要时遮挡床帘。</w:t>
            </w:r>
          </w:p>
          <w:p w14:paraId="68C4D995">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10.4向老年人解释配合要点并为老人更换尿垫。</w:t>
            </w:r>
          </w:p>
          <w:p w14:paraId="62DC1ADE">
            <w:pPr>
              <w:widowControl/>
              <w:spacing w:line="360" w:lineRule="auto"/>
              <w:jc w:val="left"/>
              <w:textAlignment w:val="top"/>
              <w:rPr>
                <w:rFonts w:ascii="宋体" w:hAnsi="宋体" w:cs="宋体"/>
                <w:color w:val="auto"/>
                <w:kern w:val="0"/>
                <w:szCs w:val="21"/>
                <w:lang w:bidi="ar"/>
              </w:rPr>
            </w:pPr>
            <w:r>
              <w:rPr>
                <w:rFonts w:hint="eastAsia" w:ascii="宋体" w:hAnsi="宋体" w:cs="宋体"/>
                <w:color w:val="auto"/>
                <w:kern w:val="0"/>
                <w:szCs w:val="21"/>
                <w:lang w:bidi="ar"/>
              </w:rPr>
              <w:t>10.5照护员开窗通风，清洗毛巾，刷洗水盆；洗手记录。</w:t>
            </w:r>
          </w:p>
          <w:p w14:paraId="24E29067">
            <w:pPr>
              <w:widowControl/>
              <w:spacing w:line="360" w:lineRule="auto"/>
              <w:jc w:val="left"/>
              <w:textAlignment w:val="top"/>
              <w:rPr>
                <w:rFonts w:hint="eastAsia" w:ascii="宋体" w:hAnsi="宋体" w:cs="宋体"/>
                <w:color w:val="auto"/>
                <w:kern w:val="0"/>
                <w:sz w:val="11"/>
                <w:szCs w:val="11"/>
                <w:lang w:bidi="ar"/>
              </w:rPr>
            </w:pPr>
          </w:p>
          <w:p w14:paraId="30FFAC83">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（九）使用开塞露辅助老年人排便</w:t>
            </w:r>
          </w:p>
          <w:p w14:paraId="5B89ECB6">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使用3Dmax、Maya等三维建模软件构建三维虚拟环境所需的三维模型，后期使用Unity引擎进行烘焙、渲染处理，运用VR虚拟现实技术实现沉浸式照护情境操作互动，保证系统及数据的正常运转。采用次时代技术建模，三维人物模型和动画逼真生动。</w:t>
            </w:r>
          </w:p>
          <w:p w14:paraId="554AFB20">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2、不受场地和电脑限制，可在任意空间进行学习和操作。</w:t>
            </w:r>
          </w:p>
          <w:p w14:paraId="3890E1E1">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3、采用面向对象设计，操作者通过对话框、菜单等简便的操作，能够对软件进行应用。</w:t>
            </w:r>
          </w:p>
          <w:p w14:paraId="293633C1">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4、画面运行流畅，无停滞感，系统响应及时；界面设计合理、美观，人机交互性好，便于操作。</w:t>
            </w:r>
          </w:p>
          <w:p w14:paraId="1F6C43BD">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5、3D场景的音效：在3D场景中有对话内容和相关知识的语音讲解。</w:t>
            </w:r>
          </w:p>
          <w:p w14:paraId="176F6E39">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6、依照“1+X老年照护职业技能等级证书”内容开发，匹配学校的教学照护设备、教学结构、教学素材进行授课、实训，便于教师进行课程管理和培训。</w:t>
            </w:r>
          </w:p>
          <w:p w14:paraId="28E43BE7">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7、具有登录功能，每个学生使用不同的账号登录，教师可以对学习结果进行统计分析。</w:t>
            </w:r>
          </w:p>
          <w:p w14:paraId="56DAD36D">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8、运用虚拟仿真技术构建照护间、准备间、卫生间等照护场景，方便师生进行交互式的实训体验，大幅度提高教学质量和效果，具有安全、无医疗风险、反复应用等优点。通过此实训系统帮助学生学习照护技能基本操作并熟练掌握操作技能的高自由度软件。</w:t>
            </w:r>
          </w:p>
          <w:p w14:paraId="23EDD384">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9、运用VR虚拟现实技术，完全模拟案例操作场景，操作者在三维场景中可以任意漫游，不限制操作者位置，可在任意位置操作。采用交互的操作方式，包含照护员仿真动画和老人仿真动画。</w:t>
            </w:r>
          </w:p>
          <w:p w14:paraId="75D83D66">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10、使用开塞露辅助老年人排便参数</w:t>
            </w:r>
          </w:p>
          <w:p w14:paraId="03B87914">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10.1照护前准备：照护人员应服装整洁、仪表端庄、无长指甲。采用七步洗手法洗净双手，并温暖双手。</w:t>
            </w:r>
          </w:p>
          <w:p w14:paraId="5709B407">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10.2评估与沟通：评估老年人便秘的情况、身体状况，向老年人解释使用开塞露的的目的，取得老年人的配合。</w:t>
            </w:r>
          </w:p>
          <w:p w14:paraId="2A4C607D">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10.3环境评估与准备：环境安静整洁，温湿度适宜，关闭门窗，必要时遮挡床帘。</w:t>
            </w:r>
          </w:p>
          <w:p w14:paraId="4F1E5D1F">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10.4向老年人说明操作方法及配合方法，把开塞露挤入老人肛门。</w:t>
            </w:r>
          </w:p>
          <w:p w14:paraId="5AE75390">
            <w:pPr>
              <w:widowControl/>
              <w:spacing w:line="360" w:lineRule="auto"/>
              <w:jc w:val="left"/>
              <w:textAlignment w:val="top"/>
              <w:rPr>
                <w:rFonts w:ascii="宋体" w:hAnsi="宋体" w:cs="宋体"/>
                <w:color w:val="auto"/>
                <w:kern w:val="0"/>
                <w:szCs w:val="21"/>
                <w:lang w:bidi="ar"/>
              </w:rPr>
            </w:pPr>
            <w:r>
              <w:rPr>
                <w:rFonts w:hint="eastAsia" w:ascii="宋体" w:hAnsi="宋体" w:cs="宋体"/>
                <w:color w:val="auto"/>
                <w:kern w:val="0"/>
                <w:szCs w:val="21"/>
                <w:lang w:bidi="ar"/>
              </w:rPr>
              <w:t>10.5协助老年人排便后，撤去橡胶单（或一次性护理垫），整理床单位。开窗通风，洗手，向老年人讲解引起便秘的原因及预防措施。</w:t>
            </w:r>
          </w:p>
          <w:p w14:paraId="4E08CE0A">
            <w:pPr>
              <w:widowControl/>
              <w:spacing w:line="360" w:lineRule="auto"/>
              <w:jc w:val="left"/>
              <w:textAlignment w:val="top"/>
              <w:rPr>
                <w:rFonts w:hint="eastAsia" w:ascii="宋体" w:hAnsi="宋体" w:cs="宋体"/>
                <w:color w:val="auto"/>
                <w:kern w:val="0"/>
                <w:sz w:val="11"/>
                <w:szCs w:val="11"/>
                <w:lang w:bidi="ar"/>
              </w:rPr>
            </w:pPr>
          </w:p>
          <w:p w14:paraId="777DAB54">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（十）口腔护理</w:t>
            </w:r>
          </w:p>
          <w:p w14:paraId="2B22A490">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使用3Dmax、Maya等三维建模软件构建三维虚拟环境所需的三维模型，后期使用Unity引擎进行烘焙、渲染处理，运用VR虚拟现实技术实现沉浸式照护情境操作互动，保证系统及数据的正常运转。采用次时代技术建模，三维人物模型和动画逼真生动。</w:t>
            </w:r>
          </w:p>
          <w:p w14:paraId="6B0FE347">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2、不受场地和电脑限制，可在任意空间进行学习和操作。</w:t>
            </w:r>
          </w:p>
          <w:p w14:paraId="5B8F191F">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3、采用面向对象设计，操作者通过对话框、菜单等简便的操作，能够对软件进行应用。</w:t>
            </w:r>
          </w:p>
          <w:p w14:paraId="1BC39DB2">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4、画面运行流畅，无停滞感，系统响应及时；界面设计合理、美观，人机交互性好，便于操作。</w:t>
            </w:r>
          </w:p>
          <w:p w14:paraId="3A856A90">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5、3D场景的音效：在3D场景中有对话内容和相关知识的语音讲解。</w:t>
            </w:r>
          </w:p>
          <w:p w14:paraId="2B55F94B">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6、依照“1+X老年照护职业技能等级证书”内容开发，匹配学校的教学照护设备、教学结构、教学素材进行授课、实训，便于教师进行课程管理和培训。</w:t>
            </w:r>
          </w:p>
          <w:p w14:paraId="1C498A11">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7、具有登录功能，每个学生使用不同的账号登录，教师可以对学习结果进行统计分析。</w:t>
            </w:r>
          </w:p>
          <w:p w14:paraId="4C425D28">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8、运用虚拟仿真技术构建照护间、准备间、卫生间等照护场景，方便师生进行交互式的实训体验，大幅度提高教学质量和效果，具有安全、无医疗风险、反复应用等优点。通过此实训系统帮助学生学习照护技能基本操作并熟练掌握操作技能的高自由度软件。</w:t>
            </w:r>
          </w:p>
          <w:p w14:paraId="28FC9D1A">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9、运用VR虚拟现实技术，完全模拟案例操作场景，操作者在三维场景中可以任意漫游，不限制操作者位置，可在任意位置操作。采用交互的操作方式，包含照护员仿真动画和老人仿真动画。</w:t>
            </w:r>
          </w:p>
          <w:p w14:paraId="7E23B28D">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10、口腔护理参数</w:t>
            </w:r>
          </w:p>
          <w:p w14:paraId="3A85CFB2">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10.1照护前准备：照护人员应服装整洁、仪表端庄、无长指甲。采用七步洗手法洗净双手。</w:t>
            </w:r>
          </w:p>
          <w:p w14:paraId="3A7DBEE6">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10.2评估与沟通：身体精神状况、检查口腔黏膜完整，无牙龈出血，无活动性义齿、老人做好口腔护理前的准备。</w:t>
            </w:r>
          </w:p>
          <w:p w14:paraId="0511523A">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老人做好口腔护理前的准备:</w:t>
            </w:r>
          </w:p>
          <w:p w14:paraId="048C384A">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10.3解释操作目的，口腔护理时需要配合的动作等，取得老年人的配合。</w:t>
            </w:r>
          </w:p>
          <w:p w14:paraId="125831B9">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10.4摆放体位。</w:t>
            </w:r>
          </w:p>
          <w:p w14:paraId="5C783A95">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10.5擦拭口腔。</w:t>
            </w:r>
          </w:p>
          <w:p w14:paraId="0B6C3EB3">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10.6整理清点数量。</w:t>
            </w:r>
          </w:p>
          <w:p w14:paraId="412913FB">
            <w:pPr>
              <w:widowControl/>
              <w:spacing w:line="360" w:lineRule="auto"/>
              <w:jc w:val="left"/>
              <w:textAlignment w:val="top"/>
              <w:rPr>
                <w:rFonts w:ascii="宋体" w:hAnsi="宋体" w:cs="宋体"/>
                <w:color w:val="auto"/>
                <w:kern w:val="0"/>
                <w:szCs w:val="21"/>
                <w:lang w:bidi="ar"/>
              </w:rPr>
            </w:pPr>
            <w:r>
              <w:rPr>
                <w:rFonts w:hint="eastAsia" w:ascii="宋体" w:hAnsi="宋体" w:cs="宋体"/>
                <w:color w:val="auto"/>
                <w:kern w:val="0"/>
                <w:szCs w:val="21"/>
                <w:lang w:bidi="ar"/>
              </w:rPr>
              <w:t xml:space="preserve">10.7常见并发症的预防。 </w:t>
            </w:r>
          </w:p>
          <w:p w14:paraId="52AE00F7">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 xml:space="preserve">                                                                                                                 </w:t>
            </w:r>
          </w:p>
          <w:p w14:paraId="7867D673">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（十一）老年人居住环境的清洁与消毒                                                                                                                                                                   1、使用3Dmax、Maya等三维建模软件构建三维虚拟环境所需的三维模型，后期使用Unity引擎进行烘焙、渲染处理，运用VR虚拟现实技术实现沉浸式照护情境操作互动，保证系统及数据的正常运转。采用次时代技术建模，三维人物模型和动画逼真生动。</w:t>
            </w:r>
          </w:p>
          <w:p w14:paraId="429AE7FF">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2、不受场地和电脑限制，可在任意空间进行学习和操作。</w:t>
            </w:r>
          </w:p>
          <w:p w14:paraId="4BC302F8">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3、采用面向对象设计，操作者通过对话框、菜单等简便的操作，能够对软件进行应用。</w:t>
            </w:r>
          </w:p>
          <w:p w14:paraId="1355BC10">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4、画面运行流畅，无停滞感，系统响应及时；界面设计合理、美观，人机交互性好，便于操作。</w:t>
            </w:r>
          </w:p>
          <w:p w14:paraId="5B1C6EBA">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5、3D场景的音效：在3D场景中有对话内容和相关知识的语音讲解。</w:t>
            </w:r>
          </w:p>
          <w:p w14:paraId="6CD0C942">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6、依照“1+X老年照护职业技能等级证书”内容开发，匹配学校的教学照护设备、教学结构、教学素材进行授课、实训，便于教师进行课程管理和培训。</w:t>
            </w:r>
          </w:p>
          <w:p w14:paraId="20C5D434">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7、具有登录功能，每个学生使用不同的账号登录，教师可以对学习结果进行统计分析。</w:t>
            </w:r>
          </w:p>
          <w:p w14:paraId="606A7FAB">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8、运用虚拟仿真技术构建照护间、准备间、卫生间等照护场景，方便师生进行交互式的实训体验，大幅度提高教学质量和效果，具有安全、无医疗风险、反复应用等优点。通过此实训系统帮助学生学习照护技能基本操作并熟练掌握操作技能的高自由度软件。</w:t>
            </w:r>
          </w:p>
          <w:p w14:paraId="70B0A679">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9、运用VR虚拟现实技术，完全模拟案例操作场景，操作者在三维场景中可以任意漫游，不限制操作者位置，可在任意位置操作。采用交互的操作方式，包含照护员仿真动画和老人仿真动画。</w:t>
            </w:r>
          </w:p>
          <w:p w14:paraId="43EF6A9D">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10、老年人居住环境的清洁与消毒参数</w:t>
            </w:r>
          </w:p>
          <w:p w14:paraId="52D9F036">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10.1照护前准备：照护人员应服装整洁、仪表端庄、无长指甲，佩戴口罩、手套，必要时穿隔离衣。采用七步洗手法洗净双手。</w:t>
            </w:r>
          </w:p>
          <w:p w14:paraId="0DE12608">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10.2消毒前准备：照护员打开各种柜门、抽屉，翻转床垫，关闭门窗，进行紫外线照射消毒。</w:t>
            </w:r>
          </w:p>
          <w:p w14:paraId="117CAF4A">
            <w:pPr>
              <w:widowControl/>
              <w:spacing w:line="360" w:lineRule="auto"/>
              <w:jc w:val="left"/>
              <w:textAlignment w:val="top"/>
              <w:rPr>
                <w:rFonts w:ascii="宋体" w:hAnsi="宋体" w:cs="宋体"/>
                <w:color w:val="auto"/>
                <w:kern w:val="0"/>
                <w:szCs w:val="21"/>
                <w:lang w:bidi="ar"/>
              </w:rPr>
            </w:pPr>
            <w:r>
              <w:rPr>
                <w:rFonts w:hint="eastAsia" w:ascii="宋体" w:hAnsi="宋体" w:cs="宋体"/>
                <w:color w:val="auto"/>
                <w:kern w:val="0"/>
                <w:szCs w:val="21"/>
                <w:lang w:bidi="ar"/>
              </w:rPr>
              <w:t>10.3照护员对房间内其他物品进行消毒。</w:t>
            </w:r>
          </w:p>
          <w:p w14:paraId="17EE471C">
            <w:pPr>
              <w:widowControl/>
              <w:spacing w:line="360" w:lineRule="auto"/>
              <w:jc w:val="left"/>
              <w:textAlignment w:val="top"/>
              <w:rPr>
                <w:rFonts w:hint="eastAsia" w:ascii="宋体" w:hAnsi="宋体" w:cs="宋体"/>
                <w:color w:val="auto"/>
                <w:kern w:val="0"/>
                <w:sz w:val="11"/>
                <w:szCs w:val="11"/>
                <w:lang w:bidi="ar"/>
              </w:rPr>
            </w:pPr>
          </w:p>
          <w:p w14:paraId="775D6E11">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（十二）使用温水拭浴物理降温</w:t>
            </w:r>
          </w:p>
          <w:p w14:paraId="56546741">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使用3Dmax、Maya等三维建模软件构建三维虚拟环境所需的三维模型，后期使用Unity引擎进行烘焙、渲染处理，运用VR虚拟现实技术实现沉浸式照护情境操作互动，保证系统及数据的正常运转。采用次时代技术建模，三维人物模型和动画逼真生动。</w:t>
            </w:r>
          </w:p>
          <w:p w14:paraId="7F0A03CC">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2、不受场地和电脑限制，可在任意空间进行学习和操作。</w:t>
            </w:r>
          </w:p>
          <w:p w14:paraId="3E40AB7C">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3、采用面向对象设计，操作者通过对话框、菜单等简便的操作，能够对软件进行应用。</w:t>
            </w:r>
          </w:p>
          <w:p w14:paraId="51FF8FFC">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4、画面运行流畅，无停滞感，系统响应及时；界面设计合理、美观，人机交互性好，便于操作。</w:t>
            </w:r>
          </w:p>
          <w:p w14:paraId="54438B84">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5、3D场景的音效：在3D场景中有对话内容和相关知识的语音讲解。</w:t>
            </w:r>
          </w:p>
          <w:p w14:paraId="3E4C200B">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6、依照“1+X老年照护职业技能等级证书”内容开发，匹配学校的教学照护设备、教学结构、教学素材进行授课、实训，便于教师进行课程管理和培训。</w:t>
            </w:r>
          </w:p>
          <w:p w14:paraId="09761EB7">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7、具有登录功能，每个学生使用不同的账号登录，教师可以对学习结果进行统计分析。</w:t>
            </w:r>
          </w:p>
          <w:p w14:paraId="1385085B">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8、运用虚拟仿真技术构建照护间、准备间、卫生间等照护场景，方便师生进行交互式的实训体验，大幅度提高教学质量和效果，具有安全、无医疗风险、反复应用等优点。通过此实训系统帮助学生学习照护技能基本操作并熟练掌握操作技能的高自由度软件。</w:t>
            </w:r>
          </w:p>
          <w:p w14:paraId="719E5589">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9、运用VR虚拟现实技术，完全模拟案例操作场景，操作者在三维场景中可以任意漫游，不限制操作者位置，可在任意位置操作。采用交互的操作方式，包含照护员仿真动画和老人仿真动画。</w:t>
            </w:r>
          </w:p>
          <w:p w14:paraId="624457BD">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10、使用温水拭浴物理降温参数</w:t>
            </w:r>
          </w:p>
          <w:p w14:paraId="72E6C7F2">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10.1照护前准备：照护人员应服装整洁、仪表端庄、无长指甲。采用七步洗手法洗净双手。</w:t>
            </w:r>
          </w:p>
          <w:p w14:paraId="1A918A66">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10.2评估与沟通：病情、身体状况，向老年人说明操作目的，取得老人配合，询问有无特殊要求。</w:t>
            </w:r>
          </w:p>
          <w:p w14:paraId="5C772BB7">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10.3实施拭浴。照护员使用温水为老人拭浴降温：用毛巾擦拭老人颈外侧、肩、上臂外侧、前臂外侧、手背，擦拭侧胸，腋窝，上臂内侧，手心，擦拭髋关节，大腿外侧，足背，擦拭腹股沟，大腿内侧，内踝，擦拭臀下，大腿后侧，腘窝，足跟；用体温计测量体温的三维人物动画。</w:t>
            </w:r>
          </w:p>
          <w:p w14:paraId="62D50251">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10.4拭浴30分钟后测量体温，如体温降至38.5℃，取下冰袋。</w:t>
            </w:r>
          </w:p>
          <w:p w14:paraId="20C6BA6A">
            <w:pPr>
              <w:widowControl/>
              <w:spacing w:line="360" w:lineRule="auto"/>
              <w:jc w:val="left"/>
              <w:textAlignment w:val="top"/>
              <w:rPr>
                <w:rFonts w:ascii="宋体" w:hAnsi="宋体" w:cs="宋体"/>
                <w:color w:val="auto"/>
                <w:kern w:val="0"/>
                <w:szCs w:val="21"/>
                <w:lang w:bidi="ar"/>
              </w:rPr>
            </w:pPr>
            <w:r>
              <w:rPr>
                <w:rFonts w:hint="eastAsia" w:ascii="宋体" w:hAnsi="宋体" w:cs="宋体"/>
                <w:color w:val="auto"/>
                <w:kern w:val="0"/>
                <w:szCs w:val="21"/>
                <w:lang w:bidi="ar"/>
              </w:rPr>
              <w:t>10.5整理记录，照护员使老人体位舒适；按要求整理好热水袋和冰袋；整理床单位；确认老年人有无不适；洗手记录。</w:t>
            </w:r>
          </w:p>
          <w:p w14:paraId="6E80B6DD">
            <w:pPr>
              <w:widowControl/>
              <w:spacing w:line="360" w:lineRule="auto"/>
              <w:jc w:val="left"/>
              <w:textAlignment w:val="top"/>
              <w:rPr>
                <w:rFonts w:hint="eastAsia" w:ascii="宋体" w:hAnsi="宋体" w:cs="宋体"/>
                <w:color w:val="auto"/>
                <w:kern w:val="0"/>
                <w:sz w:val="11"/>
                <w:szCs w:val="11"/>
                <w:lang w:bidi="ar"/>
              </w:rPr>
            </w:pPr>
          </w:p>
          <w:p w14:paraId="02EA37F3">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▲四、VR虚拟现实交互平台后台参数（提供相关证明材料（包括但不限于彩页、官网和功能截图等）</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后台包含管理员端和教师端。管理员端功能包含对学院、专业架构管理，学院管理员和教师账号的管理，登录信息统计功能，包含教师端全部功能。教师端功能包含班级管理、学生管理、实验操作记录查询、统计分析功能。</w:t>
            </w:r>
          </w:p>
          <w:p w14:paraId="6E7104AB">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1、组织架构管理包含学院管理、专业管理和班级管理，可以对学院、专业和班级进行增删改查；</w:t>
            </w:r>
          </w:p>
          <w:p w14:paraId="00CD1873">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2、用户管理包含院级管理员、教师管理和学生管理，可以对院级管理员、教师和学生账号进行增删改查，支持对学生进行批量导入；</w:t>
            </w:r>
          </w:p>
          <w:p w14:paraId="572FB5CA">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3、登录信息统计包含用户登录记录、登录次数、最后一次登录时间，统计登录总人数及人次。</w:t>
            </w:r>
          </w:p>
          <w:p w14:paraId="5C5DE132">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4、实验操作记录查询包含用户姓名、登录账号/学号、操作实验用时、练习进度、练习时间，支持将练习记录导出到excel文档。</w:t>
            </w:r>
          </w:p>
          <w:p w14:paraId="1895262A">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5、统计分析包含班级数据统计、学生数据统计和学生实验练习进度；</w:t>
            </w:r>
          </w:p>
          <w:p w14:paraId="2CE5DB6C">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班级数据统计中根据课程安排成员所在的班级，勾选一个或多个班级进行数据统计，以达到不同班级间的学习情况对比；可以统计仿真实验练习情况，包含班级内总练习次数、练习时长、实验平均完成进度，数据以柱状图和表格呈现；</w:t>
            </w:r>
          </w:p>
          <w:p w14:paraId="091F80A0">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（2）学生数据统计中可以选择课程、班级和检索学生姓名，查看学生的学习情况。包含姓名、学院、专业、班级、实验练习次数、实验练习进度、实验练习时长、统计数据支持导出Excel文件；</w:t>
            </w:r>
          </w:p>
          <w:p w14:paraId="18962B0E">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3）学生实验练习进度中可以选择课程和班级，对实验练习情况和学生练习情况进行数据统计。实验练习进度中包含每个实验的平均练习进度，数据以饼图和表格呈现；学生练习情况包含姓名、登录账号和每个模块的练习进度、练习次数，统计数据支持导出Excel文件。</w:t>
            </w:r>
          </w:p>
        </w:tc>
        <w:tc>
          <w:tcPr>
            <w:tcW w:w="710" w:type="dxa"/>
            <w:tcBorders>
              <w:top w:val="single" w:color="auto" w:sz="4" w:space="0"/>
              <w:left w:val="single" w:color="auto" w:sz="4" w:space="0"/>
              <w:bottom w:val="single" w:color="auto" w:sz="4" w:space="0"/>
              <w:right w:val="single" w:color="auto" w:sz="4" w:space="0"/>
            </w:tcBorders>
            <w:noWrap/>
            <w:vAlign w:val="center"/>
          </w:tcPr>
          <w:p w14:paraId="53FE8303">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w:t>
            </w:r>
          </w:p>
        </w:tc>
        <w:tc>
          <w:tcPr>
            <w:tcW w:w="660" w:type="dxa"/>
            <w:tcBorders>
              <w:top w:val="single" w:color="auto" w:sz="4" w:space="0"/>
              <w:left w:val="single" w:color="auto" w:sz="4" w:space="0"/>
              <w:bottom w:val="single" w:color="auto" w:sz="4" w:space="0"/>
              <w:right w:val="single" w:color="auto" w:sz="4" w:space="0"/>
            </w:tcBorders>
            <w:vAlign w:val="center"/>
          </w:tcPr>
          <w:p w14:paraId="65F4FC81">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项</w:t>
            </w:r>
          </w:p>
        </w:tc>
        <w:tc>
          <w:tcPr>
            <w:tcW w:w="1242" w:type="dxa"/>
            <w:tcBorders>
              <w:top w:val="single" w:color="auto" w:sz="4" w:space="0"/>
              <w:left w:val="single" w:color="auto" w:sz="4" w:space="0"/>
              <w:bottom w:val="single" w:color="auto" w:sz="4" w:space="0"/>
              <w:right w:val="single" w:color="auto" w:sz="4" w:space="0"/>
            </w:tcBorders>
            <w:noWrap/>
            <w:vAlign w:val="center"/>
          </w:tcPr>
          <w:p w14:paraId="0287C8B8">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 139500.00 </w:t>
            </w:r>
          </w:p>
        </w:tc>
      </w:tr>
      <w:bookmarkEnd w:id="26"/>
      <w:tr w14:paraId="5E01283F">
        <w:tblPrEx>
          <w:tblCellMar>
            <w:top w:w="0" w:type="dxa"/>
            <w:left w:w="108" w:type="dxa"/>
            <w:bottom w:w="0" w:type="dxa"/>
            <w:right w:w="108" w:type="dxa"/>
          </w:tblCellMar>
        </w:tblPrEx>
        <w:trPr>
          <w:trHeight w:val="795" w:hRule="atLeast"/>
        </w:trPr>
        <w:tc>
          <w:tcPr>
            <w:tcW w:w="765" w:type="dxa"/>
            <w:tcBorders>
              <w:top w:val="single" w:color="000000" w:sz="4" w:space="0"/>
              <w:left w:val="single" w:color="000000" w:sz="4" w:space="0"/>
              <w:bottom w:val="single" w:color="000000" w:sz="4" w:space="0"/>
              <w:right w:val="single" w:color="000000" w:sz="4" w:space="0"/>
            </w:tcBorders>
            <w:vAlign w:val="center"/>
          </w:tcPr>
          <w:p w14:paraId="64F861C2">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18</w:t>
            </w:r>
          </w:p>
        </w:tc>
        <w:tc>
          <w:tcPr>
            <w:tcW w:w="1151" w:type="dxa"/>
            <w:tcBorders>
              <w:top w:val="single" w:color="000000" w:sz="4" w:space="0"/>
              <w:left w:val="single" w:color="000000" w:sz="4" w:space="0"/>
              <w:bottom w:val="single" w:color="000000" w:sz="4" w:space="0"/>
              <w:right w:val="single" w:color="000000" w:sz="4" w:space="0"/>
            </w:tcBorders>
            <w:vAlign w:val="center"/>
          </w:tcPr>
          <w:p w14:paraId="27CB2E0A">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经络穴位模型</w:t>
            </w:r>
          </w:p>
        </w:tc>
        <w:tc>
          <w:tcPr>
            <w:tcW w:w="6018" w:type="dxa"/>
            <w:tcBorders>
              <w:top w:val="single" w:color="auto" w:sz="4" w:space="0"/>
              <w:left w:val="single" w:color="000000" w:sz="4" w:space="0"/>
              <w:bottom w:val="single" w:color="000000" w:sz="4" w:space="0"/>
              <w:right w:val="single" w:color="000000" w:sz="4" w:space="0"/>
            </w:tcBorders>
            <w:vAlign w:val="center"/>
          </w:tcPr>
          <w:p w14:paraId="38B1F1F3">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约60CM高，环保PVC材质，2男模2女模</w:t>
            </w:r>
          </w:p>
        </w:tc>
        <w:tc>
          <w:tcPr>
            <w:tcW w:w="710" w:type="dxa"/>
            <w:tcBorders>
              <w:top w:val="single" w:color="auto" w:sz="4" w:space="0"/>
              <w:left w:val="single" w:color="000000" w:sz="4" w:space="0"/>
              <w:bottom w:val="single" w:color="000000" w:sz="4" w:space="0"/>
              <w:right w:val="single" w:color="000000" w:sz="4" w:space="0"/>
            </w:tcBorders>
            <w:noWrap/>
            <w:vAlign w:val="center"/>
          </w:tcPr>
          <w:p w14:paraId="1D9BD996">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4</w:t>
            </w:r>
          </w:p>
        </w:tc>
        <w:tc>
          <w:tcPr>
            <w:tcW w:w="660" w:type="dxa"/>
            <w:tcBorders>
              <w:top w:val="single" w:color="auto" w:sz="4" w:space="0"/>
              <w:left w:val="single" w:color="000000" w:sz="4" w:space="0"/>
              <w:bottom w:val="single" w:color="000000" w:sz="4" w:space="0"/>
              <w:right w:val="single" w:color="000000" w:sz="4" w:space="0"/>
            </w:tcBorders>
            <w:noWrap/>
            <w:vAlign w:val="center"/>
          </w:tcPr>
          <w:p w14:paraId="7EF70EF4">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个</w:t>
            </w:r>
          </w:p>
        </w:tc>
        <w:tc>
          <w:tcPr>
            <w:tcW w:w="1242" w:type="dxa"/>
            <w:tcBorders>
              <w:top w:val="single" w:color="auto" w:sz="4" w:space="0"/>
              <w:left w:val="single" w:color="000000" w:sz="4" w:space="0"/>
              <w:bottom w:val="single" w:color="000000" w:sz="4" w:space="0"/>
              <w:right w:val="single" w:color="000000" w:sz="4" w:space="0"/>
            </w:tcBorders>
            <w:vAlign w:val="center"/>
          </w:tcPr>
          <w:p w14:paraId="6705A112">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 455.00 </w:t>
            </w:r>
          </w:p>
        </w:tc>
      </w:tr>
      <w:tr w14:paraId="6F46050C">
        <w:tblPrEx>
          <w:tblCellMar>
            <w:top w:w="0" w:type="dxa"/>
            <w:left w:w="108" w:type="dxa"/>
            <w:bottom w:w="0" w:type="dxa"/>
            <w:right w:w="108" w:type="dxa"/>
          </w:tblCellMar>
        </w:tblPrEx>
        <w:trPr>
          <w:trHeight w:val="621" w:hRule="atLeast"/>
        </w:trPr>
        <w:tc>
          <w:tcPr>
            <w:tcW w:w="765" w:type="dxa"/>
            <w:tcBorders>
              <w:top w:val="single" w:color="000000" w:sz="4" w:space="0"/>
              <w:left w:val="single" w:color="000000" w:sz="4" w:space="0"/>
              <w:bottom w:val="single" w:color="000000" w:sz="4" w:space="0"/>
              <w:right w:val="single" w:color="000000" w:sz="4" w:space="0"/>
            </w:tcBorders>
            <w:vAlign w:val="center"/>
          </w:tcPr>
          <w:p w14:paraId="6D71EAA0">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19</w:t>
            </w:r>
          </w:p>
        </w:tc>
        <w:tc>
          <w:tcPr>
            <w:tcW w:w="1151" w:type="dxa"/>
            <w:tcBorders>
              <w:top w:val="single" w:color="000000" w:sz="4" w:space="0"/>
              <w:left w:val="single" w:color="000000" w:sz="4" w:space="0"/>
              <w:bottom w:val="single" w:color="000000" w:sz="4" w:space="0"/>
              <w:right w:val="single" w:color="000000" w:sz="4" w:space="0"/>
            </w:tcBorders>
            <w:vAlign w:val="center"/>
          </w:tcPr>
          <w:p w14:paraId="4642F1FD">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保健手模型</w:t>
            </w:r>
          </w:p>
        </w:tc>
        <w:tc>
          <w:tcPr>
            <w:tcW w:w="6018" w:type="dxa"/>
            <w:tcBorders>
              <w:top w:val="single" w:color="auto" w:sz="4" w:space="0"/>
              <w:left w:val="single" w:color="000000" w:sz="4" w:space="0"/>
              <w:bottom w:val="single" w:color="000000" w:sz="4" w:space="0"/>
              <w:right w:val="single" w:color="000000" w:sz="4" w:space="0"/>
            </w:tcBorders>
            <w:vAlign w:val="center"/>
          </w:tcPr>
          <w:p w14:paraId="114A461D">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手模型（保健手模型）显示相对应的人体内脏器官在手上的位置，穴位采用刻字方法制作，显示清晰、耐磨损。</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尺寸：约17×9cm 材质：PVC材料</w:t>
            </w:r>
          </w:p>
        </w:tc>
        <w:tc>
          <w:tcPr>
            <w:tcW w:w="710" w:type="dxa"/>
            <w:tcBorders>
              <w:top w:val="single" w:color="auto" w:sz="4" w:space="0"/>
              <w:left w:val="single" w:color="000000" w:sz="4" w:space="0"/>
              <w:bottom w:val="single" w:color="000000" w:sz="4" w:space="0"/>
              <w:right w:val="single" w:color="000000" w:sz="4" w:space="0"/>
            </w:tcBorders>
            <w:noWrap/>
            <w:vAlign w:val="center"/>
          </w:tcPr>
          <w:p w14:paraId="697079C9">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w:t>
            </w:r>
          </w:p>
        </w:tc>
        <w:tc>
          <w:tcPr>
            <w:tcW w:w="660" w:type="dxa"/>
            <w:tcBorders>
              <w:top w:val="single" w:color="auto" w:sz="4" w:space="0"/>
              <w:left w:val="single" w:color="000000" w:sz="4" w:space="0"/>
              <w:bottom w:val="single" w:color="000000" w:sz="4" w:space="0"/>
              <w:right w:val="single" w:color="000000" w:sz="4" w:space="0"/>
            </w:tcBorders>
            <w:noWrap/>
            <w:vAlign w:val="center"/>
          </w:tcPr>
          <w:p w14:paraId="1AFCF727">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个</w:t>
            </w:r>
          </w:p>
        </w:tc>
        <w:tc>
          <w:tcPr>
            <w:tcW w:w="1242" w:type="dxa"/>
            <w:tcBorders>
              <w:top w:val="single" w:color="auto" w:sz="4" w:space="0"/>
              <w:left w:val="single" w:color="000000" w:sz="4" w:space="0"/>
              <w:bottom w:val="single" w:color="000000" w:sz="4" w:space="0"/>
              <w:right w:val="single" w:color="000000" w:sz="4" w:space="0"/>
            </w:tcBorders>
            <w:vAlign w:val="center"/>
          </w:tcPr>
          <w:p w14:paraId="75A2528E">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 162.00 </w:t>
            </w:r>
          </w:p>
        </w:tc>
      </w:tr>
      <w:tr w14:paraId="4E2C4EAE">
        <w:tblPrEx>
          <w:tblCellMar>
            <w:top w:w="0" w:type="dxa"/>
            <w:left w:w="108" w:type="dxa"/>
            <w:bottom w:w="0" w:type="dxa"/>
            <w:right w:w="108" w:type="dxa"/>
          </w:tblCellMar>
        </w:tblPrEx>
        <w:trPr>
          <w:trHeight w:val="691" w:hRule="atLeast"/>
        </w:trPr>
        <w:tc>
          <w:tcPr>
            <w:tcW w:w="765" w:type="dxa"/>
            <w:tcBorders>
              <w:top w:val="single" w:color="000000" w:sz="4" w:space="0"/>
              <w:left w:val="single" w:color="000000" w:sz="4" w:space="0"/>
              <w:bottom w:val="single" w:color="000000" w:sz="4" w:space="0"/>
              <w:right w:val="single" w:color="000000" w:sz="4" w:space="0"/>
            </w:tcBorders>
            <w:vAlign w:val="center"/>
          </w:tcPr>
          <w:p w14:paraId="6C3C9A1D">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20</w:t>
            </w:r>
          </w:p>
        </w:tc>
        <w:tc>
          <w:tcPr>
            <w:tcW w:w="1151" w:type="dxa"/>
            <w:tcBorders>
              <w:top w:val="single" w:color="000000" w:sz="4" w:space="0"/>
              <w:left w:val="single" w:color="000000" w:sz="4" w:space="0"/>
              <w:bottom w:val="single" w:color="000000" w:sz="4" w:space="0"/>
              <w:right w:val="single" w:color="000000" w:sz="4" w:space="0"/>
            </w:tcBorders>
            <w:vAlign w:val="center"/>
          </w:tcPr>
          <w:p w14:paraId="6BF13502">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保健足模型</w:t>
            </w:r>
          </w:p>
        </w:tc>
        <w:tc>
          <w:tcPr>
            <w:tcW w:w="6018" w:type="dxa"/>
            <w:tcBorders>
              <w:top w:val="single" w:color="auto" w:sz="4" w:space="0"/>
              <w:left w:val="single" w:color="000000" w:sz="4" w:space="0"/>
              <w:bottom w:val="single" w:color="000000" w:sz="4" w:space="0"/>
              <w:right w:val="single" w:color="000000" w:sz="4" w:space="0"/>
            </w:tcBorders>
            <w:vAlign w:val="center"/>
          </w:tcPr>
          <w:p w14:paraId="1F8B6BEA">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足模型穴位采用刻字方法制作，显示清晰、耐磨损。尺寸：约20cm材质：PVC材料</w:t>
            </w:r>
          </w:p>
        </w:tc>
        <w:tc>
          <w:tcPr>
            <w:tcW w:w="710" w:type="dxa"/>
            <w:tcBorders>
              <w:top w:val="single" w:color="auto" w:sz="4" w:space="0"/>
              <w:left w:val="single" w:color="000000" w:sz="4" w:space="0"/>
              <w:bottom w:val="single" w:color="000000" w:sz="4" w:space="0"/>
              <w:right w:val="single" w:color="000000" w:sz="4" w:space="0"/>
            </w:tcBorders>
            <w:noWrap/>
            <w:vAlign w:val="center"/>
          </w:tcPr>
          <w:p w14:paraId="42B7AFEC">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w:t>
            </w:r>
          </w:p>
        </w:tc>
        <w:tc>
          <w:tcPr>
            <w:tcW w:w="660" w:type="dxa"/>
            <w:tcBorders>
              <w:top w:val="single" w:color="auto" w:sz="4" w:space="0"/>
              <w:left w:val="single" w:color="000000" w:sz="4" w:space="0"/>
              <w:bottom w:val="single" w:color="000000" w:sz="4" w:space="0"/>
              <w:right w:val="single" w:color="000000" w:sz="4" w:space="0"/>
            </w:tcBorders>
            <w:noWrap/>
            <w:vAlign w:val="center"/>
          </w:tcPr>
          <w:p w14:paraId="1BE4C841">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个</w:t>
            </w:r>
          </w:p>
        </w:tc>
        <w:tc>
          <w:tcPr>
            <w:tcW w:w="1242" w:type="dxa"/>
            <w:tcBorders>
              <w:top w:val="single" w:color="auto" w:sz="4" w:space="0"/>
              <w:left w:val="single" w:color="000000" w:sz="4" w:space="0"/>
              <w:bottom w:val="single" w:color="000000" w:sz="4" w:space="0"/>
              <w:right w:val="single" w:color="000000" w:sz="4" w:space="0"/>
            </w:tcBorders>
            <w:vAlign w:val="center"/>
          </w:tcPr>
          <w:p w14:paraId="32E31F16">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 210.00 </w:t>
            </w:r>
          </w:p>
        </w:tc>
      </w:tr>
      <w:tr w14:paraId="079C97A6">
        <w:tblPrEx>
          <w:tblCellMar>
            <w:top w:w="0" w:type="dxa"/>
            <w:left w:w="108" w:type="dxa"/>
            <w:bottom w:w="0" w:type="dxa"/>
            <w:right w:w="108" w:type="dxa"/>
          </w:tblCellMar>
        </w:tblPrEx>
        <w:trPr>
          <w:trHeight w:val="801" w:hRule="atLeast"/>
        </w:trPr>
        <w:tc>
          <w:tcPr>
            <w:tcW w:w="765" w:type="dxa"/>
            <w:tcBorders>
              <w:top w:val="single" w:color="000000" w:sz="4" w:space="0"/>
              <w:left w:val="single" w:color="000000" w:sz="4" w:space="0"/>
              <w:bottom w:val="single" w:color="auto" w:sz="4" w:space="0"/>
              <w:right w:val="single" w:color="000000" w:sz="4" w:space="0"/>
            </w:tcBorders>
            <w:vAlign w:val="center"/>
          </w:tcPr>
          <w:p w14:paraId="14D35230">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21</w:t>
            </w:r>
          </w:p>
        </w:tc>
        <w:tc>
          <w:tcPr>
            <w:tcW w:w="1151" w:type="dxa"/>
            <w:tcBorders>
              <w:top w:val="single" w:color="000000" w:sz="4" w:space="0"/>
              <w:left w:val="single" w:color="000000" w:sz="4" w:space="0"/>
              <w:bottom w:val="single" w:color="auto" w:sz="4" w:space="0"/>
              <w:right w:val="single" w:color="000000" w:sz="4" w:space="0"/>
            </w:tcBorders>
            <w:vAlign w:val="center"/>
          </w:tcPr>
          <w:p w14:paraId="0A04C146">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牙护理保健模型</w:t>
            </w:r>
          </w:p>
        </w:tc>
        <w:tc>
          <w:tcPr>
            <w:tcW w:w="6018" w:type="dxa"/>
            <w:tcBorders>
              <w:top w:val="single" w:color="000000" w:sz="4" w:space="0"/>
              <w:left w:val="single" w:color="000000" w:sz="4" w:space="0"/>
              <w:bottom w:val="single" w:color="auto" w:sz="4" w:space="0"/>
              <w:right w:val="single" w:color="000000" w:sz="4" w:space="0"/>
            </w:tcBorders>
            <w:vAlign w:val="center"/>
          </w:tcPr>
          <w:p w14:paraId="737758FE">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口腔软牙龈备牙模型可拆卸， 软牙龈模型（28颗牙）</w:t>
            </w:r>
          </w:p>
        </w:tc>
        <w:tc>
          <w:tcPr>
            <w:tcW w:w="710" w:type="dxa"/>
            <w:tcBorders>
              <w:top w:val="single" w:color="000000" w:sz="4" w:space="0"/>
              <w:left w:val="single" w:color="000000" w:sz="4" w:space="0"/>
              <w:bottom w:val="single" w:color="auto" w:sz="4" w:space="0"/>
              <w:right w:val="single" w:color="000000" w:sz="4" w:space="0"/>
            </w:tcBorders>
            <w:vAlign w:val="center"/>
          </w:tcPr>
          <w:p w14:paraId="449DFBD0">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w:t>
            </w:r>
          </w:p>
        </w:tc>
        <w:tc>
          <w:tcPr>
            <w:tcW w:w="660" w:type="dxa"/>
            <w:tcBorders>
              <w:top w:val="single" w:color="000000" w:sz="4" w:space="0"/>
              <w:left w:val="single" w:color="000000" w:sz="4" w:space="0"/>
              <w:bottom w:val="single" w:color="auto" w:sz="4" w:space="0"/>
              <w:right w:val="single" w:color="000000" w:sz="4" w:space="0"/>
            </w:tcBorders>
            <w:vAlign w:val="center"/>
          </w:tcPr>
          <w:p w14:paraId="7BD237FF">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个</w:t>
            </w:r>
          </w:p>
        </w:tc>
        <w:tc>
          <w:tcPr>
            <w:tcW w:w="1242" w:type="dxa"/>
            <w:tcBorders>
              <w:top w:val="single" w:color="000000" w:sz="4" w:space="0"/>
              <w:left w:val="single" w:color="000000" w:sz="4" w:space="0"/>
              <w:bottom w:val="single" w:color="auto" w:sz="4" w:space="0"/>
              <w:right w:val="single" w:color="000000" w:sz="4" w:space="0"/>
            </w:tcBorders>
            <w:vAlign w:val="center"/>
          </w:tcPr>
          <w:p w14:paraId="4ABB1EE2">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 220.00 </w:t>
            </w:r>
          </w:p>
        </w:tc>
      </w:tr>
      <w:tr w14:paraId="3EE78360">
        <w:tblPrEx>
          <w:tblCellMar>
            <w:top w:w="0" w:type="dxa"/>
            <w:left w:w="108" w:type="dxa"/>
            <w:bottom w:w="0" w:type="dxa"/>
            <w:right w:w="108" w:type="dxa"/>
          </w:tblCellMar>
        </w:tblPrEx>
        <w:trPr>
          <w:trHeight w:val="801" w:hRule="atLeast"/>
        </w:trPr>
        <w:tc>
          <w:tcPr>
            <w:tcW w:w="765" w:type="dxa"/>
            <w:tcBorders>
              <w:top w:val="single" w:color="auto" w:sz="4" w:space="0"/>
              <w:left w:val="single" w:color="auto" w:sz="4" w:space="0"/>
              <w:bottom w:val="single" w:color="auto" w:sz="4" w:space="0"/>
              <w:right w:val="single" w:color="auto" w:sz="4" w:space="0"/>
            </w:tcBorders>
            <w:vAlign w:val="center"/>
          </w:tcPr>
          <w:p w14:paraId="1D728317">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22</w:t>
            </w:r>
          </w:p>
        </w:tc>
        <w:tc>
          <w:tcPr>
            <w:tcW w:w="1151" w:type="dxa"/>
            <w:tcBorders>
              <w:top w:val="single" w:color="auto" w:sz="4" w:space="0"/>
              <w:left w:val="single" w:color="auto" w:sz="4" w:space="0"/>
              <w:bottom w:val="single" w:color="auto" w:sz="4" w:space="0"/>
              <w:right w:val="single" w:color="auto" w:sz="4" w:space="0"/>
            </w:tcBorders>
            <w:vAlign w:val="center"/>
          </w:tcPr>
          <w:p w14:paraId="4D1BBD48">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康养高级全功能护理训练模拟人（男性）</w:t>
            </w:r>
          </w:p>
        </w:tc>
        <w:tc>
          <w:tcPr>
            <w:tcW w:w="6018" w:type="dxa"/>
            <w:tcBorders>
              <w:top w:val="single" w:color="auto" w:sz="4" w:space="0"/>
              <w:left w:val="single" w:color="auto" w:sz="4" w:space="0"/>
              <w:bottom w:val="single" w:color="auto" w:sz="4" w:space="0"/>
              <w:right w:val="single" w:color="auto" w:sz="4" w:space="0"/>
            </w:tcBorders>
          </w:tcPr>
          <w:p w14:paraId="3C394846">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高级全功能护理训练模拟人（全功能护理人模型）是集护理操作于一体的整体护理人，综合了基础护理与外科护理的主要功能，可完成多项基础护理操作训练，采用高分子环保材料制成，肤质仿真度高，具有形象逼真、操作真实、拆装方便、结构合理和经久耐用等特点，还可以拆装分部件进行局部功能教学训练。</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一、功能特点：</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四肢关节灵活度逼真，可模拟关节僵硬，躯干部可前倾，可坐轮椅。</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 躯干：屈伸</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 颈部：屈伸、侧转</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 肩部和髋部：内收、外展、屈伸</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 肘部：旋内、旋外、屈伸</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 膝部：屈伸</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 腕部：屈伸</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 踝部：旋内、旋外、背屈、跖屈</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可实现多种体位：去枕平卧位、屈膝仰卧位、半坐卧位、端坐位、俯卧位、头低足高位、头高足低位、侧卧位、截石位、昏迷体位等，满足操作需要。</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可进行床上擦浴及更衣，扶助病人移向床头法、轮椅使用法、平车运送法、担架运送法等移动和搬运病人法、轴线翻身法，肢体约束法、肩部约束法、全身约束法等操作。</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脸部清洁：面部皮肤可擦拭清洁。</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瞳孔观察示教：一侧瞳孔散大、一侧瞳孔正常。</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耳部护理：可进行耳廓、外耳道的清洗。</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口腔护理: 可进行正常口腔及牙齿护理。</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可进行气管切开术后护理。</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可进行吸痰术练习。</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氧气吸入法：鼻孔内可插入吸氧管，练习氧气吸入的操作过程。</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雾化吸入疗法：可练习雾化吸入的操作过程。</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鼻饲术：托起头部使下颌靠近胸骨柄实现昏迷病人的鼻饲，具有真实大小的胃，可容纳250ml的液体，胃管插入45-55cm时，可以抽出模拟胃液。</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洗胃术：可经口、鼻进行洗胃器洗胃、电动吸引器洗胃、胃管洗胃、洗胃机洗胃，胃容量约为200ml。</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手臂静脉穿刺、注射、输液（血）：可使用不同类型的穿刺针，正确穿刺时落空感明显并有回血产生，可进行静脉输液（血）练习，静脉血管和皮肤均可更换，操作方便，经济实用。</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上臂三角肌皮下注射：可注入真实液体，注射模块可取下清洗，并可更换。</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臀部肌肉注射：可注入真实液体，注射模块可取下清洗，并可更换。</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股外侧肌肉注射：可注入真实液体，注射模块可取下清洗，并可更换。</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男性导尿术：可取仰卧屈膝位，两腿外展后可独立支撑，男性阴茎可提起与腹壁成60度角，插管时可真实感受男性尿道的三个狭窄、两个弯曲，操作成功后可导出模拟尿液。</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女性导尿术：可取仰卧屈膝位，两腿外展后可独立支撑，女性尿道充分体现短、粗、直，具有尿道口、阴道口、阴蒂等解剖结构，操作成功后可导出模拟尿液。</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留置尿管和膀胱冲洗术。</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造瘘口护理：腹壁有回肠造瘘口和结肠造瘘口，内连集液瓶，可进行造瘘口护理。</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灌肠操作训练：可实现大量不保留灌肠、小量不保留灌肠、清洁灌肠和保留灌肠等多种灌肠方式。</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胸腔穿刺术训练。肝脏穿刺术训练。骨髓穿刺术训练。腰椎穿刺术训练。</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压疮护理：显示压疮的临床分期4个不同阶段，同时显示压疮和各种病理表现：压疮炎症、溃疡、窦道、腐肉、坏死、焦痂等，可进行伤口的评估、测量与清洗。</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 第一期：淤血红润期。</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 第二期：炎症浸润期。</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 第三期：浅度溃疡期。</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 第四期：坏死溃疡期。</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可练习手指、足趾的包扎。</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其他护理操作：冷热疗法护理、外阴擦洗、外阴湿热敷、尿道冲洗、床上擦浴、座式擦浴、穿换衣服等多项护理操作。</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创伤护理（清洗、消毒、换药、止血、包扎）：</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 胸壁切开缝合伤口护理</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 大腿外伤切开缝合伤口护理（消毒、清洗、缝合）</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 大腿皮肤裂伤护理（消毒、清洗）</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 大腿感染性溃疡护理（消毒、清洗、换药）</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 足坏疽、第1、2、3足趾和足跟压疮护理</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 上臂截肢残端伤口护理（供包扎训练）</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 小腿截肢残端伤口护理（供包扎训练）</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二、标准配置：</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 xml:space="preserve"> 高级全功能护理训练模拟人：1台</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 xml:space="preserve"> 模拟人衣服：1套； 输液套装：1套； 褥疮模块：3个； 创伤模块：1套； 可更换女性生殖器：1个； 说明书：1册； 保修卡合格证：1张</w:t>
            </w:r>
          </w:p>
        </w:tc>
        <w:tc>
          <w:tcPr>
            <w:tcW w:w="710" w:type="dxa"/>
            <w:tcBorders>
              <w:top w:val="single" w:color="auto" w:sz="4" w:space="0"/>
              <w:left w:val="single" w:color="auto" w:sz="4" w:space="0"/>
              <w:bottom w:val="single" w:color="auto" w:sz="4" w:space="0"/>
              <w:right w:val="single" w:color="auto" w:sz="4" w:space="0"/>
            </w:tcBorders>
            <w:vAlign w:val="center"/>
          </w:tcPr>
          <w:p w14:paraId="7C968C74">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w:t>
            </w:r>
          </w:p>
        </w:tc>
        <w:tc>
          <w:tcPr>
            <w:tcW w:w="660" w:type="dxa"/>
            <w:tcBorders>
              <w:top w:val="single" w:color="auto" w:sz="4" w:space="0"/>
              <w:left w:val="single" w:color="auto" w:sz="4" w:space="0"/>
              <w:bottom w:val="single" w:color="auto" w:sz="4" w:space="0"/>
              <w:right w:val="single" w:color="auto" w:sz="4" w:space="0"/>
            </w:tcBorders>
            <w:vAlign w:val="center"/>
          </w:tcPr>
          <w:p w14:paraId="369734FA">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个</w:t>
            </w:r>
          </w:p>
        </w:tc>
        <w:tc>
          <w:tcPr>
            <w:tcW w:w="1242" w:type="dxa"/>
            <w:tcBorders>
              <w:top w:val="single" w:color="auto" w:sz="4" w:space="0"/>
              <w:left w:val="single" w:color="auto" w:sz="4" w:space="0"/>
              <w:bottom w:val="single" w:color="auto" w:sz="4" w:space="0"/>
              <w:right w:val="single" w:color="auto" w:sz="4" w:space="0"/>
            </w:tcBorders>
            <w:vAlign w:val="center"/>
          </w:tcPr>
          <w:p w14:paraId="61D837F4">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 8700.00 </w:t>
            </w:r>
          </w:p>
        </w:tc>
      </w:tr>
      <w:tr w14:paraId="592AF9D0">
        <w:tblPrEx>
          <w:tblCellMar>
            <w:top w:w="0" w:type="dxa"/>
            <w:left w:w="108" w:type="dxa"/>
            <w:bottom w:w="0" w:type="dxa"/>
            <w:right w:w="108" w:type="dxa"/>
          </w:tblCellMar>
        </w:tblPrEx>
        <w:trPr>
          <w:trHeight w:val="498" w:hRule="atLeast"/>
        </w:trPr>
        <w:tc>
          <w:tcPr>
            <w:tcW w:w="765" w:type="dxa"/>
            <w:tcBorders>
              <w:top w:val="single" w:color="auto" w:sz="4" w:space="0"/>
              <w:left w:val="single" w:color="000000" w:sz="4" w:space="0"/>
              <w:bottom w:val="single" w:color="000000" w:sz="4" w:space="0"/>
              <w:right w:val="single" w:color="000000" w:sz="4" w:space="0"/>
            </w:tcBorders>
            <w:vAlign w:val="center"/>
          </w:tcPr>
          <w:p w14:paraId="52A7DDC1">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23</w:t>
            </w:r>
          </w:p>
        </w:tc>
        <w:tc>
          <w:tcPr>
            <w:tcW w:w="1151" w:type="dxa"/>
            <w:tcBorders>
              <w:top w:val="single" w:color="auto" w:sz="4" w:space="0"/>
              <w:left w:val="single" w:color="000000" w:sz="4" w:space="0"/>
              <w:bottom w:val="single" w:color="000000" w:sz="4" w:space="0"/>
              <w:right w:val="single" w:color="000000" w:sz="4" w:space="0"/>
            </w:tcBorders>
            <w:vAlign w:val="center"/>
          </w:tcPr>
          <w:p w14:paraId="0CF313D3">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康养高级全功能护理训练模拟人（女性）</w:t>
            </w:r>
          </w:p>
        </w:tc>
        <w:tc>
          <w:tcPr>
            <w:tcW w:w="6018" w:type="dxa"/>
            <w:tcBorders>
              <w:top w:val="single" w:color="auto" w:sz="4" w:space="0"/>
              <w:left w:val="single" w:color="000000" w:sz="4" w:space="0"/>
              <w:bottom w:val="single" w:color="000000" w:sz="4" w:space="0"/>
              <w:right w:val="single" w:color="000000" w:sz="4" w:space="0"/>
            </w:tcBorders>
          </w:tcPr>
          <w:p w14:paraId="644C4FE8">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高级全功能护理训练模拟人是集护理操作于一体的整体护理人，身长165cm，综合了基础护理与外科护理的主要功能，可完成多项护理操作训练，采用高分子环保材料制成，肤质仿真度高，具有形象逼真、操作真实、拆装方便和经久耐用等特点，还可以拆装分部件进行局部功能教学训练。</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一、功能特点：</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四肢关节可左右自由弯曲、旋转，上下活动。</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可实现多种体位：去枕平卧位、屈膝仰卧位、半坐卧位、端坐位、俯卧位、头低足高位、头高足低位、侧卧位、截石位、昏迷体位等，满足操作需要。</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可进行床上擦浴及更衣，扶助病人移向床头法、轮椅使用法、平车运送法、担架运送法等移动和搬运病人法、轴线翻身法，肢体约束法、肩部约束法、全身约束法等操作。</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清洗梳理头发。</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脸部清洁：面部皮肤可擦拭清洁。</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瞳孔观察示教：一侧瞳孔散大、一侧瞳孔正常。</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耳部护理：可进行耳廓、外耳道的清洗。</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口腔护理：可进行正常口腔及牙齿护理。</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气管切开护理：可进行气管套管的清洁及气管切开的护理。</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可进行吸痰术练习。</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氧气吸入法：鼻孔内可插入吸氧管，练习氧气吸入的操作过程。</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雾化吸入疗法：可练习雾化吸入的操作过程。</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鼻饲术：胃部可容纳液体，插入鼻饲管时可以抽出模拟胃液。</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洗胃术：可经口、鼻进行洗胃操作训练。</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乳房护理。</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可进行手臂静脉穿刺、注射、输液（血）训练，正确穿刺时有明显的落空感，可进行静脉输液（血）练习，静脉血管和皮肤均可更换，操作方便，经济实用。</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手臂静脉穿刺、注射、输液(血):可进行手部及手臂静脉穿刺训练，包括贵要静 脉、正中静脉、头静脉或手背，穿刺正确有明显的落空感。</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上臂三角肌皮下注射：可注入真实液体，注射模块可取下清洗，并可更换。</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臀部肌肉注射：可注入真实液体，注射模块可取下清洗，并可更换。</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股外侧肌肉注射：可注入真实液体，注射模块可取下清洗，并可更换。</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男性导尿术：可进行男性导尿操作训练，操作成功后可导出模拟尿液。</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女性导尿术：可进行女性导尿操作训练，操作成功后可导出模拟尿液。</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留置尿管和膀胱冲洗术。</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造瘘引流术：腹壁有回肠造瘘口和结肠造瘘口，内连集液瓶，可进行造瘘口护理。</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灌肠操作训练：可进行多种灌肠方式操作训练。</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胸腔穿刺术训练。肝脏穿刺术训练。骨髓穿刺术训练。腰椎穿刺术训练。</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压疮护理：显示压疮的病理表现，可进行伤口的评估、测量与清洗。</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可练习手指、足趾的包扎。</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胸腔解剖重要器官结构示教：胸腔皮肤可打开，观察到支气管、肺、胃等胸腔解剖 结构。</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腹腔解剖重要器官结构示教：可打开腹部皮肤，观察到小肠、大肠、结肠等腹腔解 剖结构。</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其他护理操作：冷热疗法护理、外阴擦洗、外阴湿热敷、尿道冲洗、床上擦浴、座式擦浴、穿换衣服等多项护理操作。</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创伤护理（清洗、消毒、换药、止血、包扎）：</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胸壁切开缝合伤口护理（消毒、清洗、缝合）</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腹壁切开缝合伤口护理（消毒、清洗、缝合）</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大腿外伤切开缝合伤口护理（消毒、清洗、缝合）</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大腿皮肤裂伤护理（消毒、清洗）</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大腿感染性溃疡护理（消毒、清洗、换药）</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足坏疽、第1、2、3足趾和足跟压疮护理</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上臂截肢残端伤口护理（供包扎训练）</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小腿截肢残端伤口护理（供包扎训练）</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二、标准配置：</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高级全功能护理训练模拟人：1台</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模拟人衣服：1套；创伤模块：1套；可更换注射模块：1套；可更换男性生殖器：1个；胃管：1根；吸痰管：1根；导尿管：1根；说明书：1册</w:t>
            </w:r>
          </w:p>
        </w:tc>
        <w:tc>
          <w:tcPr>
            <w:tcW w:w="710" w:type="dxa"/>
            <w:tcBorders>
              <w:top w:val="single" w:color="auto" w:sz="4" w:space="0"/>
              <w:left w:val="single" w:color="000000" w:sz="4" w:space="0"/>
              <w:bottom w:val="single" w:color="000000" w:sz="4" w:space="0"/>
              <w:right w:val="single" w:color="000000" w:sz="4" w:space="0"/>
            </w:tcBorders>
            <w:vAlign w:val="center"/>
          </w:tcPr>
          <w:p w14:paraId="5EA25158">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w:t>
            </w:r>
          </w:p>
        </w:tc>
        <w:tc>
          <w:tcPr>
            <w:tcW w:w="660" w:type="dxa"/>
            <w:tcBorders>
              <w:top w:val="single" w:color="auto" w:sz="4" w:space="0"/>
              <w:left w:val="single" w:color="000000" w:sz="4" w:space="0"/>
              <w:bottom w:val="single" w:color="000000" w:sz="4" w:space="0"/>
              <w:right w:val="single" w:color="000000" w:sz="4" w:space="0"/>
            </w:tcBorders>
            <w:vAlign w:val="center"/>
          </w:tcPr>
          <w:p w14:paraId="1417838C">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个</w:t>
            </w:r>
          </w:p>
        </w:tc>
        <w:tc>
          <w:tcPr>
            <w:tcW w:w="1242" w:type="dxa"/>
            <w:tcBorders>
              <w:top w:val="single" w:color="auto" w:sz="4" w:space="0"/>
              <w:left w:val="single" w:color="000000" w:sz="4" w:space="0"/>
              <w:bottom w:val="single" w:color="000000" w:sz="4" w:space="0"/>
              <w:right w:val="single" w:color="000000" w:sz="4" w:space="0"/>
            </w:tcBorders>
            <w:noWrap/>
            <w:vAlign w:val="center"/>
          </w:tcPr>
          <w:p w14:paraId="651E5EE2">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 8700.00 </w:t>
            </w:r>
          </w:p>
        </w:tc>
      </w:tr>
      <w:tr w14:paraId="09390893">
        <w:tblPrEx>
          <w:tblCellMar>
            <w:top w:w="0" w:type="dxa"/>
            <w:left w:w="108" w:type="dxa"/>
            <w:bottom w:w="0" w:type="dxa"/>
            <w:right w:w="108" w:type="dxa"/>
          </w:tblCellMar>
        </w:tblPrEx>
        <w:trPr>
          <w:trHeight w:val="1907" w:hRule="atLeast"/>
        </w:trPr>
        <w:tc>
          <w:tcPr>
            <w:tcW w:w="765" w:type="dxa"/>
            <w:tcBorders>
              <w:top w:val="single" w:color="000000" w:sz="4" w:space="0"/>
              <w:left w:val="single" w:color="000000" w:sz="4" w:space="0"/>
              <w:bottom w:val="single" w:color="000000" w:sz="4" w:space="0"/>
              <w:right w:val="single" w:color="000000" w:sz="4" w:space="0"/>
            </w:tcBorders>
            <w:vAlign w:val="center"/>
          </w:tcPr>
          <w:p w14:paraId="60BE881D">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24</w:t>
            </w:r>
          </w:p>
        </w:tc>
        <w:tc>
          <w:tcPr>
            <w:tcW w:w="1151" w:type="dxa"/>
            <w:tcBorders>
              <w:top w:val="single" w:color="000000" w:sz="4" w:space="0"/>
              <w:left w:val="single" w:color="000000" w:sz="4" w:space="0"/>
              <w:bottom w:val="single" w:color="000000" w:sz="4" w:space="0"/>
              <w:right w:val="single" w:color="000000" w:sz="4" w:space="0"/>
            </w:tcBorders>
            <w:vAlign w:val="center"/>
          </w:tcPr>
          <w:p w14:paraId="08789B6D">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人体全身肌肉模型</w:t>
            </w:r>
          </w:p>
        </w:tc>
        <w:tc>
          <w:tcPr>
            <w:tcW w:w="6018" w:type="dxa"/>
            <w:tcBorders>
              <w:top w:val="single" w:color="000000" w:sz="4" w:space="0"/>
              <w:left w:val="single" w:color="000000" w:sz="4" w:space="0"/>
              <w:bottom w:val="single" w:color="000000" w:sz="4" w:space="0"/>
              <w:right w:val="single" w:color="000000" w:sz="4" w:space="0"/>
            </w:tcBorders>
          </w:tcPr>
          <w:p w14:paraId="15EF64BD">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80CM肌肉人附内脏及数字标识（肌肉和内脏可以自由拆分组合，共27个部件），人体浅层肌肉及胸腹腔脏器作直观教具；胸腹部沿腋前线切下胸腹盖。胸腹盖示内部肋骨、肋间肌等结构。用腹腔示肺、气管、食管、心脏、肝、胰、肠等脏器和主要血管。部分游离脏器可示各其外形结构。盆腔示膀胱等结构。</w:t>
            </w:r>
          </w:p>
        </w:tc>
        <w:tc>
          <w:tcPr>
            <w:tcW w:w="710" w:type="dxa"/>
            <w:tcBorders>
              <w:top w:val="single" w:color="000000" w:sz="4" w:space="0"/>
              <w:left w:val="single" w:color="000000" w:sz="4" w:space="0"/>
              <w:bottom w:val="single" w:color="000000" w:sz="4" w:space="0"/>
              <w:right w:val="single" w:color="000000" w:sz="4" w:space="0"/>
            </w:tcBorders>
            <w:vAlign w:val="center"/>
          </w:tcPr>
          <w:p w14:paraId="1BF86CB8">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w:t>
            </w:r>
          </w:p>
        </w:tc>
        <w:tc>
          <w:tcPr>
            <w:tcW w:w="660" w:type="dxa"/>
            <w:tcBorders>
              <w:top w:val="single" w:color="000000" w:sz="4" w:space="0"/>
              <w:left w:val="single" w:color="000000" w:sz="4" w:space="0"/>
              <w:bottom w:val="single" w:color="000000" w:sz="4" w:space="0"/>
              <w:right w:val="single" w:color="000000" w:sz="4" w:space="0"/>
            </w:tcBorders>
            <w:vAlign w:val="center"/>
          </w:tcPr>
          <w:p w14:paraId="246FA251">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个</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69B2BE3D">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 1820.00 </w:t>
            </w:r>
          </w:p>
        </w:tc>
      </w:tr>
      <w:tr w14:paraId="2723B4A8">
        <w:tblPrEx>
          <w:tblCellMar>
            <w:top w:w="0" w:type="dxa"/>
            <w:left w:w="108" w:type="dxa"/>
            <w:bottom w:w="0" w:type="dxa"/>
            <w:right w:w="108" w:type="dxa"/>
          </w:tblCellMar>
        </w:tblPrEx>
        <w:trPr>
          <w:trHeight w:val="801" w:hRule="atLeast"/>
        </w:trPr>
        <w:tc>
          <w:tcPr>
            <w:tcW w:w="765" w:type="dxa"/>
            <w:tcBorders>
              <w:top w:val="single" w:color="000000" w:sz="4" w:space="0"/>
              <w:left w:val="single" w:color="000000" w:sz="4" w:space="0"/>
              <w:bottom w:val="single" w:color="000000" w:sz="4" w:space="0"/>
              <w:right w:val="single" w:color="000000" w:sz="4" w:space="0"/>
            </w:tcBorders>
            <w:vAlign w:val="center"/>
          </w:tcPr>
          <w:p w14:paraId="6C0A9DC8">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25</w:t>
            </w:r>
          </w:p>
        </w:tc>
        <w:tc>
          <w:tcPr>
            <w:tcW w:w="1151" w:type="dxa"/>
            <w:tcBorders>
              <w:top w:val="single" w:color="000000" w:sz="4" w:space="0"/>
              <w:left w:val="single" w:color="000000" w:sz="4" w:space="0"/>
              <w:bottom w:val="single" w:color="000000" w:sz="4" w:space="0"/>
              <w:right w:val="single" w:color="000000" w:sz="4" w:space="0"/>
            </w:tcBorders>
            <w:vAlign w:val="center"/>
          </w:tcPr>
          <w:p w14:paraId="6E53EC34">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康养实训室辅助配件</w:t>
            </w:r>
          </w:p>
        </w:tc>
        <w:tc>
          <w:tcPr>
            <w:tcW w:w="6018" w:type="dxa"/>
            <w:tcBorders>
              <w:top w:val="single" w:color="000000" w:sz="4" w:space="0"/>
              <w:left w:val="single" w:color="000000" w:sz="4" w:space="0"/>
              <w:bottom w:val="single" w:color="000000" w:sz="4" w:space="0"/>
              <w:right w:val="single" w:color="000000" w:sz="4" w:space="0"/>
            </w:tcBorders>
          </w:tcPr>
          <w:p w14:paraId="24996C1F">
            <w:pPr>
              <w:widowControl/>
              <w:spacing w:line="360" w:lineRule="auto"/>
              <w:jc w:val="left"/>
              <w:textAlignment w:val="top"/>
              <w:rPr>
                <w:rFonts w:hint="eastAsia" w:ascii="宋体" w:hAnsi="宋体" w:cs="宋体"/>
                <w:color w:val="auto"/>
                <w:kern w:val="0"/>
                <w:szCs w:val="21"/>
                <w:lang w:bidi="ar"/>
              </w:rPr>
            </w:pPr>
            <w:r>
              <w:rPr>
                <w:rStyle w:val="107"/>
                <w:rFonts w:hint="default"/>
                <w:color w:val="auto"/>
                <w:sz w:val="21"/>
                <w:szCs w:val="21"/>
                <w:lang w:bidi="ar"/>
              </w:rPr>
              <w:t>配合康养实训室使用的配套辅助配件（含：配套10套不锈钢盘、铝合金可折叠轮椅4个、配套10个加厚中号长19cm不锈钢盘、配套加厚不锈钢304材质罐10个、配套不锈钢304材质12cm碗、水银温计10支、10支LED手电筒、配4套检测仪器、配套试纸以及其他耗材配件等）；</w:t>
            </w:r>
          </w:p>
        </w:tc>
        <w:tc>
          <w:tcPr>
            <w:tcW w:w="710" w:type="dxa"/>
            <w:tcBorders>
              <w:top w:val="single" w:color="000000" w:sz="4" w:space="0"/>
              <w:left w:val="single" w:color="000000" w:sz="4" w:space="0"/>
              <w:bottom w:val="single" w:color="000000" w:sz="4" w:space="0"/>
              <w:right w:val="single" w:color="000000" w:sz="4" w:space="0"/>
            </w:tcBorders>
            <w:vAlign w:val="center"/>
          </w:tcPr>
          <w:p w14:paraId="2CD5A406">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w:t>
            </w:r>
          </w:p>
        </w:tc>
        <w:tc>
          <w:tcPr>
            <w:tcW w:w="660" w:type="dxa"/>
            <w:tcBorders>
              <w:top w:val="single" w:color="000000" w:sz="4" w:space="0"/>
              <w:left w:val="single" w:color="000000" w:sz="4" w:space="0"/>
              <w:bottom w:val="single" w:color="000000" w:sz="4" w:space="0"/>
              <w:right w:val="single" w:color="000000" w:sz="4" w:space="0"/>
            </w:tcBorders>
            <w:vAlign w:val="center"/>
          </w:tcPr>
          <w:p w14:paraId="1B024DF4">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项</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42753FF7">
            <w:pPr>
              <w:widowControl/>
              <w:spacing w:line="360" w:lineRule="auto"/>
              <w:jc w:val="left"/>
              <w:textAlignment w:val="center"/>
              <w:rPr>
                <w:rFonts w:hint="eastAsia" w:ascii="宋体" w:hAnsi="宋体" w:cs="宋体"/>
                <w:color w:val="auto"/>
                <w:kern w:val="0"/>
                <w:szCs w:val="21"/>
                <w:lang w:bidi="ar"/>
              </w:rPr>
            </w:pPr>
            <w:r>
              <w:rPr>
                <w:rFonts w:ascii="苹方-简 常规体" w:hAnsi="苹方-简 常规体" w:eastAsia="苹方-简 常规体" w:cs="苹方-简 常规体"/>
                <w:color w:val="auto"/>
                <w:kern w:val="0"/>
                <w:szCs w:val="21"/>
                <w:lang w:bidi="ar"/>
              </w:rPr>
              <w:t xml:space="preserve">  </w:t>
            </w:r>
            <w:r>
              <w:rPr>
                <w:rFonts w:hint="eastAsia" w:ascii="宋体" w:hAnsi="宋体" w:cs="宋体"/>
                <w:color w:val="auto"/>
                <w:kern w:val="0"/>
                <w:szCs w:val="21"/>
                <w:lang w:bidi="ar"/>
              </w:rPr>
              <w:t xml:space="preserve"> 9670.00</w:t>
            </w:r>
          </w:p>
        </w:tc>
      </w:tr>
      <w:tr w14:paraId="27DBF0D0">
        <w:tblPrEx>
          <w:tblCellMar>
            <w:top w:w="0" w:type="dxa"/>
            <w:left w:w="108" w:type="dxa"/>
            <w:bottom w:w="0" w:type="dxa"/>
            <w:right w:w="108" w:type="dxa"/>
          </w:tblCellMar>
        </w:tblPrEx>
        <w:trPr>
          <w:trHeight w:val="801" w:hRule="atLeast"/>
        </w:trPr>
        <w:tc>
          <w:tcPr>
            <w:tcW w:w="765" w:type="dxa"/>
            <w:tcBorders>
              <w:top w:val="single" w:color="000000" w:sz="4" w:space="0"/>
              <w:left w:val="single" w:color="000000" w:sz="4" w:space="0"/>
              <w:bottom w:val="single" w:color="000000" w:sz="4" w:space="0"/>
              <w:right w:val="single" w:color="000000" w:sz="4" w:space="0"/>
            </w:tcBorders>
            <w:vAlign w:val="center"/>
          </w:tcPr>
          <w:p w14:paraId="1FD66747">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26</w:t>
            </w:r>
          </w:p>
        </w:tc>
        <w:tc>
          <w:tcPr>
            <w:tcW w:w="1151" w:type="dxa"/>
            <w:tcBorders>
              <w:top w:val="single" w:color="000000" w:sz="4" w:space="0"/>
              <w:left w:val="single" w:color="000000" w:sz="4" w:space="0"/>
              <w:bottom w:val="single" w:color="000000" w:sz="4" w:space="0"/>
              <w:right w:val="single" w:color="000000" w:sz="4" w:space="0"/>
            </w:tcBorders>
            <w:vAlign w:val="center"/>
          </w:tcPr>
          <w:p w14:paraId="7F44C4E3">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推拉黑板</w:t>
            </w:r>
          </w:p>
        </w:tc>
        <w:tc>
          <w:tcPr>
            <w:tcW w:w="6018" w:type="dxa"/>
            <w:tcBorders>
              <w:top w:val="single" w:color="000000" w:sz="4" w:space="0"/>
              <w:left w:val="single" w:color="000000" w:sz="4" w:space="0"/>
              <w:bottom w:val="single" w:color="000000" w:sz="4" w:space="0"/>
              <w:right w:val="single" w:color="000000" w:sz="4" w:space="0"/>
            </w:tcBorders>
          </w:tcPr>
          <w:p w14:paraId="0C423E37">
            <w:pPr>
              <w:widowControl/>
              <w:spacing w:line="360" w:lineRule="auto"/>
              <w:jc w:val="left"/>
              <w:textAlignment w:val="top"/>
              <w:rPr>
                <w:rFonts w:hint="eastAsia" w:ascii="宋体" w:hAnsi="宋体" w:cs="宋体"/>
                <w:color w:val="auto"/>
                <w:szCs w:val="21"/>
                <w:lang w:bidi="ar"/>
              </w:rPr>
            </w:pPr>
            <w:r>
              <w:rPr>
                <w:rFonts w:hint="eastAsia" w:ascii="宋体" w:hAnsi="宋体" w:cs="宋体"/>
                <w:color w:val="auto"/>
                <w:kern w:val="0"/>
                <w:szCs w:val="21"/>
                <w:lang w:bidi="ar"/>
              </w:rPr>
              <w:t>1、整体外观尺寸：宽≥4200mm，高≥1243mm，厚≤149mm。</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2、书写板为左右推拉结构，由活动板、固定板、大框（轨道）、滑动系统构成，支持多媒体设备居中安装；书写板左右去竖框化设计。</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3、书写板分内外双层，内层为固定书写板，采用无固定件安装，与多媒体设备正面平齐；外层为滑动书写板，可左右推拉，两块活动板闭合后，无边框障碍，可连续书写。</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4、面板、背板四边折边，流水线作业，保证产品一致性，尺寸误差≤0.2mm，对角线误差≤0.3mm；活动板、固定板四边无铝合金边框。</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5、包角采用ABS工程塑料，模具注塑一次成型，银灰色，长≤150mm，不接受拼接，采用内插式设计。</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6、每块活动板上、下安装四个≥50mm增强改性尼龙滑块模组；上T型正向吊装，厚度≥5mm滑动设计；下滑块模组采用单轨限位设计，活动板晃动≤0.5mm、无噪音。</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7、硬度：涂层硬度≥5H；光泽度：光泽度＜6%，没有明显眩光；板面书写流畅，笔记均匀，字迹清晰，易擦拭</w:t>
            </w:r>
          </w:p>
        </w:tc>
        <w:tc>
          <w:tcPr>
            <w:tcW w:w="710" w:type="dxa"/>
            <w:tcBorders>
              <w:top w:val="single" w:color="000000" w:sz="4" w:space="0"/>
              <w:left w:val="single" w:color="000000" w:sz="4" w:space="0"/>
              <w:bottom w:val="single" w:color="000000" w:sz="4" w:space="0"/>
              <w:right w:val="single" w:color="000000" w:sz="4" w:space="0"/>
            </w:tcBorders>
            <w:vAlign w:val="center"/>
          </w:tcPr>
          <w:p w14:paraId="6459804C">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w:t>
            </w:r>
          </w:p>
        </w:tc>
        <w:tc>
          <w:tcPr>
            <w:tcW w:w="660" w:type="dxa"/>
            <w:tcBorders>
              <w:top w:val="single" w:color="000000" w:sz="4" w:space="0"/>
              <w:left w:val="single" w:color="000000" w:sz="4" w:space="0"/>
              <w:bottom w:val="single" w:color="000000" w:sz="4" w:space="0"/>
              <w:right w:val="single" w:color="000000" w:sz="4" w:space="0"/>
            </w:tcBorders>
            <w:vAlign w:val="center"/>
          </w:tcPr>
          <w:p w14:paraId="589BC5EA">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块</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6B0487D5">
            <w:pPr>
              <w:widowControl/>
              <w:spacing w:line="360" w:lineRule="auto"/>
              <w:jc w:val="left"/>
              <w:textAlignment w:val="center"/>
              <w:rPr>
                <w:rFonts w:hint="eastAsia" w:ascii="苹方-简 常规体" w:hAnsi="苹方-简 常规体" w:eastAsia="苹方-简 常规体" w:cs="苹方-简 常规体"/>
                <w:color w:val="auto"/>
                <w:kern w:val="0"/>
                <w:szCs w:val="21"/>
                <w:lang w:bidi="ar"/>
              </w:rPr>
            </w:pPr>
            <w:r>
              <w:rPr>
                <w:rFonts w:hint="eastAsia" w:ascii="宋体" w:hAnsi="宋体" w:cs="宋体"/>
                <w:color w:val="auto"/>
                <w:kern w:val="0"/>
                <w:szCs w:val="21"/>
                <w:lang w:bidi="ar"/>
              </w:rPr>
              <w:t xml:space="preserve"> 1960.00 </w:t>
            </w:r>
          </w:p>
        </w:tc>
      </w:tr>
      <w:tr w14:paraId="0A05DFDD">
        <w:tblPrEx>
          <w:tblCellMar>
            <w:top w:w="0" w:type="dxa"/>
            <w:left w:w="108" w:type="dxa"/>
            <w:bottom w:w="0" w:type="dxa"/>
            <w:right w:w="108" w:type="dxa"/>
          </w:tblCellMar>
        </w:tblPrEx>
        <w:trPr>
          <w:trHeight w:val="801" w:hRule="atLeast"/>
        </w:trPr>
        <w:tc>
          <w:tcPr>
            <w:tcW w:w="765" w:type="dxa"/>
            <w:tcBorders>
              <w:top w:val="single" w:color="000000" w:sz="4" w:space="0"/>
              <w:left w:val="single" w:color="000000" w:sz="4" w:space="0"/>
              <w:bottom w:val="single" w:color="000000" w:sz="4" w:space="0"/>
              <w:right w:val="single" w:color="000000" w:sz="4" w:space="0"/>
            </w:tcBorders>
            <w:vAlign w:val="center"/>
          </w:tcPr>
          <w:p w14:paraId="3BB22DE9">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27</w:t>
            </w:r>
          </w:p>
        </w:tc>
        <w:tc>
          <w:tcPr>
            <w:tcW w:w="1151" w:type="dxa"/>
            <w:tcBorders>
              <w:top w:val="single" w:color="000000" w:sz="4" w:space="0"/>
              <w:left w:val="single" w:color="000000" w:sz="4" w:space="0"/>
              <w:bottom w:val="single" w:color="000000" w:sz="4" w:space="0"/>
              <w:right w:val="single" w:color="000000" w:sz="4" w:space="0"/>
            </w:tcBorders>
            <w:vAlign w:val="center"/>
          </w:tcPr>
          <w:p w14:paraId="3D980F06">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音箱</w:t>
            </w:r>
          </w:p>
        </w:tc>
        <w:tc>
          <w:tcPr>
            <w:tcW w:w="6018" w:type="dxa"/>
            <w:tcBorders>
              <w:top w:val="single" w:color="000000" w:sz="4" w:space="0"/>
              <w:left w:val="single" w:color="000000" w:sz="4" w:space="0"/>
              <w:bottom w:val="single" w:color="000000" w:sz="4" w:space="0"/>
              <w:right w:val="single" w:color="000000" w:sz="4" w:space="0"/>
            </w:tcBorders>
            <w:vAlign w:val="center"/>
          </w:tcPr>
          <w:p w14:paraId="0D8528AF">
            <w:pPr>
              <w:widowControl/>
              <w:spacing w:line="360" w:lineRule="auto"/>
              <w:jc w:val="left"/>
              <w:textAlignment w:val="center"/>
              <w:rPr>
                <w:rFonts w:hint="eastAsia" w:ascii="宋体" w:hAnsi="宋体" w:cs="宋体"/>
                <w:color w:val="auto"/>
                <w:szCs w:val="21"/>
                <w:lang w:bidi="ar"/>
              </w:rPr>
            </w:pPr>
            <w:r>
              <w:rPr>
                <w:rFonts w:hint="eastAsia" w:ascii="宋体" w:hAnsi="宋体" w:cs="宋体"/>
                <w:color w:val="auto"/>
                <w:kern w:val="0"/>
                <w:szCs w:val="21"/>
                <w:lang w:bidi="ar"/>
              </w:rPr>
              <w:t>1、采用功放与有源音箱一体化设计，内置麦克风无线接收模块，帮助教师实现多媒体扩音以及本地扩声功能。</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2、双音箱有线连接，机箱采用塑胶材质，保护设备免受环境影响。</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3、输出额定功率: 2*15W，喇叭单元尺寸≥5寸。</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4、端口：220V电源接口*1、Line in*1、USB*1。</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5、专门为教室声学环境设计的合适扩声效果，距离音箱10米处声压级≥75dB。</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6、麦克风和功放音箱之间采用数字U段传输技术，有效避免环境中2.4G信号干扰，例如蓝牙及WIFI设备。</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7、配置独立音频数字信号处理芯片，支持啸叫抑制功能。</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8、支持教师扩声和输入音源叠加输出，可对接录播系统实现教师扩声音频的纯净采集，避免环境杂音干扰采集效果</w:t>
            </w:r>
          </w:p>
        </w:tc>
        <w:tc>
          <w:tcPr>
            <w:tcW w:w="710" w:type="dxa"/>
            <w:tcBorders>
              <w:top w:val="single" w:color="000000" w:sz="4" w:space="0"/>
              <w:left w:val="single" w:color="000000" w:sz="4" w:space="0"/>
              <w:bottom w:val="single" w:color="000000" w:sz="4" w:space="0"/>
              <w:right w:val="single" w:color="000000" w:sz="4" w:space="0"/>
            </w:tcBorders>
            <w:vAlign w:val="center"/>
          </w:tcPr>
          <w:p w14:paraId="48766A56">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w:t>
            </w:r>
          </w:p>
        </w:tc>
        <w:tc>
          <w:tcPr>
            <w:tcW w:w="660" w:type="dxa"/>
            <w:tcBorders>
              <w:top w:val="single" w:color="000000" w:sz="4" w:space="0"/>
              <w:left w:val="single" w:color="000000" w:sz="4" w:space="0"/>
              <w:bottom w:val="single" w:color="000000" w:sz="4" w:space="0"/>
              <w:right w:val="single" w:color="000000" w:sz="4" w:space="0"/>
            </w:tcBorders>
            <w:vAlign w:val="center"/>
          </w:tcPr>
          <w:p w14:paraId="01DA37E4">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对</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2B9EE6B8">
            <w:pPr>
              <w:widowControl/>
              <w:spacing w:line="360" w:lineRule="auto"/>
              <w:jc w:val="left"/>
              <w:textAlignment w:val="center"/>
              <w:rPr>
                <w:rFonts w:hint="eastAsia" w:ascii="苹方-简 常规体" w:hAnsi="苹方-简 常规体" w:eastAsia="苹方-简 常规体" w:cs="苹方-简 常规体"/>
                <w:color w:val="auto"/>
                <w:kern w:val="0"/>
                <w:szCs w:val="21"/>
                <w:lang w:bidi="ar"/>
              </w:rPr>
            </w:pPr>
            <w:r>
              <w:rPr>
                <w:rFonts w:hint="eastAsia" w:ascii="宋体" w:hAnsi="宋体" w:cs="宋体"/>
                <w:color w:val="auto"/>
                <w:kern w:val="0"/>
                <w:szCs w:val="21"/>
                <w:lang w:bidi="ar"/>
              </w:rPr>
              <w:t xml:space="preserve"> 1160.00 </w:t>
            </w:r>
          </w:p>
        </w:tc>
      </w:tr>
      <w:tr w14:paraId="05433B95">
        <w:tblPrEx>
          <w:tblCellMar>
            <w:top w:w="0" w:type="dxa"/>
            <w:left w:w="108" w:type="dxa"/>
            <w:bottom w:w="0" w:type="dxa"/>
            <w:right w:w="108" w:type="dxa"/>
          </w:tblCellMar>
        </w:tblPrEx>
        <w:trPr>
          <w:trHeight w:val="801" w:hRule="atLeast"/>
        </w:trPr>
        <w:tc>
          <w:tcPr>
            <w:tcW w:w="765" w:type="dxa"/>
            <w:tcBorders>
              <w:top w:val="single" w:color="000000" w:sz="4" w:space="0"/>
              <w:left w:val="single" w:color="000000" w:sz="4" w:space="0"/>
              <w:bottom w:val="single" w:color="000000" w:sz="4" w:space="0"/>
              <w:right w:val="single" w:color="000000" w:sz="4" w:space="0"/>
            </w:tcBorders>
            <w:vAlign w:val="center"/>
          </w:tcPr>
          <w:p w14:paraId="1E69E28D">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28</w:t>
            </w:r>
          </w:p>
        </w:tc>
        <w:tc>
          <w:tcPr>
            <w:tcW w:w="1151" w:type="dxa"/>
            <w:tcBorders>
              <w:top w:val="single" w:color="000000" w:sz="4" w:space="0"/>
              <w:left w:val="single" w:color="000000" w:sz="4" w:space="0"/>
              <w:bottom w:val="single" w:color="000000" w:sz="4" w:space="0"/>
              <w:right w:val="single" w:color="000000" w:sz="4" w:space="0"/>
            </w:tcBorders>
            <w:vAlign w:val="center"/>
          </w:tcPr>
          <w:p w14:paraId="5F24F6B7">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无线麦克风</w:t>
            </w:r>
          </w:p>
        </w:tc>
        <w:tc>
          <w:tcPr>
            <w:tcW w:w="6018" w:type="dxa"/>
            <w:tcBorders>
              <w:top w:val="single" w:color="000000" w:sz="4" w:space="0"/>
              <w:left w:val="single" w:color="000000" w:sz="4" w:space="0"/>
              <w:bottom w:val="single" w:color="000000" w:sz="4" w:space="0"/>
              <w:right w:val="single" w:color="000000" w:sz="4" w:space="0"/>
            </w:tcBorders>
          </w:tcPr>
          <w:p w14:paraId="2819ACDD">
            <w:pPr>
              <w:widowControl/>
              <w:spacing w:line="360" w:lineRule="auto"/>
              <w:jc w:val="left"/>
              <w:textAlignment w:val="top"/>
              <w:rPr>
                <w:rFonts w:hint="eastAsia" w:ascii="宋体" w:hAnsi="宋体" w:cs="宋体"/>
                <w:color w:val="auto"/>
                <w:szCs w:val="21"/>
                <w:lang w:bidi="ar"/>
              </w:rPr>
            </w:pPr>
            <w:r>
              <w:rPr>
                <w:rFonts w:hint="eastAsia" w:ascii="宋体" w:hAnsi="宋体" w:cs="宋体"/>
                <w:color w:val="auto"/>
                <w:kern w:val="0"/>
                <w:szCs w:val="21"/>
                <w:lang w:bidi="ar"/>
              </w:rPr>
              <w:t>1、无线麦克风集音频发射处理器、天线、电池、拾音麦克风于一体，配合一体化有源音箱，无需任何外接辅助设备即可实现本地扩声功能。</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2、麦克风和功放音箱之间采用数字U段传输技3术，有效避免环境中2.4G信号干扰，例如蓝牙及WIFI设备。</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3、支持智能红外对码及UHF对码，可在2s内快速完成与教学扩声音箱对码，无需繁琐操作。可与移动音箱或录播主机对码连接。</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4、采用触点磁吸式充电方式，支持快速充电与超低功耗工作模式，课间充电10分钟，实现80分钟续航。</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5、麦克风距离音箱最大有效工作距离≥10米，保证全教室覆盖。</w:t>
            </w:r>
          </w:p>
        </w:tc>
        <w:tc>
          <w:tcPr>
            <w:tcW w:w="710" w:type="dxa"/>
            <w:tcBorders>
              <w:top w:val="single" w:color="000000" w:sz="4" w:space="0"/>
              <w:left w:val="single" w:color="000000" w:sz="4" w:space="0"/>
              <w:bottom w:val="single" w:color="000000" w:sz="4" w:space="0"/>
              <w:right w:val="single" w:color="000000" w:sz="4" w:space="0"/>
            </w:tcBorders>
            <w:vAlign w:val="center"/>
          </w:tcPr>
          <w:p w14:paraId="7C0960B7">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w:t>
            </w:r>
          </w:p>
        </w:tc>
        <w:tc>
          <w:tcPr>
            <w:tcW w:w="660" w:type="dxa"/>
            <w:tcBorders>
              <w:top w:val="single" w:color="000000" w:sz="4" w:space="0"/>
              <w:left w:val="single" w:color="000000" w:sz="4" w:space="0"/>
              <w:bottom w:val="single" w:color="000000" w:sz="4" w:space="0"/>
              <w:right w:val="single" w:color="000000" w:sz="4" w:space="0"/>
            </w:tcBorders>
            <w:vAlign w:val="center"/>
          </w:tcPr>
          <w:p w14:paraId="0ED042CC">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套 </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669F3864">
            <w:pPr>
              <w:widowControl/>
              <w:spacing w:line="360" w:lineRule="auto"/>
              <w:jc w:val="left"/>
              <w:textAlignment w:val="center"/>
              <w:rPr>
                <w:rFonts w:hint="eastAsia" w:ascii="苹方-简 常规体" w:hAnsi="苹方-简 常规体" w:eastAsia="苹方-简 常规体" w:cs="苹方-简 常规体"/>
                <w:color w:val="auto"/>
                <w:kern w:val="0"/>
                <w:szCs w:val="21"/>
                <w:lang w:bidi="ar"/>
              </w:rPr>
            </w:pPr>
            <w:r>
              <w:rPr>
                <w:rFonts w:hint="eastAsia" w:ascii="宋体" w:hAnsi="宋体" w:cs="宋体"/>
                <w:color w:val="auto"/>
                <w:kern w:val="0"/>
                <w:szCs w:val="21"/>
                <w:lang w:bidi="ar"/>
              </w:rPr>
              <w:t xml:space="preserve"> 760.00 </w:t>
            </w:r>
          </w:p>
        </w:tc>
      </w:tr>
      <w:tr w14:paraId="7B7A352F">
        <w:tblPrEx>
          <w:tblCellMar>
            <w:top w:w="0" w:type="dxa"/>
            <w:left w:w="108" w:type="dxa"/>
            <w:bottom w:w="0" w:type="dxa"/>
            <w:right w:w="108" w:type="dxa"/>
          </w:tblCellMar>
        </w:tblPrEx>
        <w:trPr>
          <w:trHeight w:val="1239" w:hRule="atLeast"/>
        </w:trPr>
        <w:tc>
          <w:tcPr>
            <w:tcW w:w="765" w:type="dxa"/>
            <w:tcBorders>
              <w:top w:val="single" w:color="000000" w:sz="4" w:space="0"/>
              <w:left w:val="single" w:color="000000" w:sz="4" w:space="0"/>
              <w:bottom w:val="single" w:color="000000" w:sz="4" w:space="0"/>
              <w:right w:val="single" w:color="000000" w:sz="4" w:space="0"/>
            </w:tcBorders>
            <w:vAlign w:val="center"/>
          </w:tcPr>
          <w:p w14:paraId="7F518224">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29</w:t>
            </w:r>
          </w:p>
        </w:tc>
        <w:tc>
          <w:tcPr>
            <w:tcW w:w="1151" w:type="dxa"/>
            <w:tcBorders>
              <w:top w:val="single" w:color="000000" w:sz="4" w:space="0"/>
              <w:left w:val="single" w:color="000000" w:sz="4" w:space="0"/>
              <w:bottom w:val="single" w:color="000000" w:sz="4" w:space="0"/>
              <w:right w:val="single" w:color="000000" w:sz="4" w:space="0"/>
            </w:tcBorders>
            <w:vAlign w:val="center"/>
          </w:tcPr>
          <w:p w14:paraId="74FA9610">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安装调试</w:t>
            </w:r>
          </w:p>
        </w:tc>
        <w:tc>
          <w:tcPr>
            <w:tcW w:w="6018" w:type="dxa"/>
            <w:tcBorders>
              <w:top w:val="single" w:color="000000" w:sz="4" w:space="0"/>
              <w:left w:val="single" w:color="000000" w:sz="4" w:space="0"/>
              <w:bottom w:val="single" w:color="000000" w:sz="4" w:space="0"/>
              <w:right w:val="single" w:color="000000" w:sz="4" w:space="0"/>
            </w:tcBorders>
            <w:vAlign w:val="center"/>
          </w:tcPr>
          <w:p w14:paraId="4C5BCEBC">
            <w:pPr>
              <w:widowControl/>
              <w:spacing w:line="360" w:lineRule="auto"/>
              <w:jc w:val="left"/>
              <w:textAlignment w:val="center"/>
              <w:rPr>
                <w:rFonts w:hint="eastAsia" w:ascii="宋体" w:hAnsi="宋体" w:cs="宋体"/>
                <w:color w:val="auto"/>
                <w:szCs w:val="21"/>
                <w:lang w:bidi="ar"/>
              </w:rPr>
            </w:pPr>
            <w:r>
              <w:rPr>
                <w:rFonts w:hint="eastAsia" w:ascii="宋体" w:hAnsi="宋体" w:cs="宋体"/>
                <w:color w:val="auto"/>
                <w:kern w:val="0"/>
                <w:szCs w:val="21"/>
                <w:lang w:bidi="ar"/>
              </w:rPr>
              <w:t>含仪器设备以及VR平台系统的安装、连接调试等</w:t>
            </w:r>
          </w:p>
        </w:tc>
        <w:tc>
          <w:tcPr>
            <w:tcW w:w="710" w:type="dxa"/>
            <w:tcBorders>
              <w:top w:val="single" w:color="000000" w:sz="4" w:space="0"/>
              <w:left w:val="single" w:color="000000" w:sz="4" w:space="0"/>
              <w:bottom w:val="single" w:color="000000" w:sz="4" w:space="0"/>
              <w:right w:val="single" w:color="000000" w:sz="4" w:space="0"/>
            </w:tcBorders>
            <w:vAlign w:val="center"/>
          </w:tcPr>
          <w:p w14:paraId="7916E3ED">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w:t>
            </w:r>
          </w:p>
        </w:tc>
        <w:tc>
          <w:tcPr>
            <w:tcW w:w="660" w:type="dxa"/>
            <w:tcBorders>
              <w:top w:val="single" w:color="000000" w:sz="4" w:space="0"/>
              <w:left w:val="single" w:color="000000" w:sz="4" w:space="0"/>
              <w:bottom w:val="single" w:color="000000" w:sz="4" w:space="0"/>
              <w:right w:val="single" w:color="000000" w:sz="4" w:space="0"/>
            </w:tcBorders>
            <w:vAlign w:val="center"/>
          </w:tcPr>
          <w:p w14:paraId="7E32EEEF">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项</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03054023">
            <w:pPr>
              <w:widowControl/>
              <w:spacing w:line="360" w:lineRule="auto"/>
              <w:jc w:val="left"/>
              <w:textAlignment w:val="center"/>
              <w:rPr>
                <w:rFonts w:hint="eastAsia" w:ascii="苹方-简 常规体" w:hAnsi="苹方-简 常规体" w:eastAsia="苹方-简 常规体" w:cs="苹方-简 常规体"/>
                <w:color w:val="auto"/>
                <w:kern w:val="0"/>
                <w:szCs w:val="21"/>
                <w:lang w:bidi="ar"/>
              </w:rPr>
            </w:pPr>
            <w:r>
              <w:rPr>
                <w:rFonts w:hint="eastAsia" w:ascii="宋体" w:hAnsi="宋体" w:cs="宋体"/>
                <w:color w:val="auto"/>
                <w:kern w:val="0"/>
                <w:szCs w:val="21"/>
                <w:lang w:bidi="ar"/>
              </w:rPr>
              <w:t xml:space="preserve"> 25900.00 </w:t>
            </w:r>
          </w:p>
        </w:tc>
      </w:tr>
      <w:tr w14:paraId="776EEE88">
        <w:tblPrEx>
          <w:tblCellMar>
            <w:top w:w="0" w:type="dxa"/>
            <w:left w:w="108" w:type="dxa"/>
            <w:bottom w:w="0" w:type="dxa"/>
            <w:right w:w="108" w:type="dxa"/>
          </w:tblCellMar>
        </w:tblPrEx>
        <w:trPr>
          <w:trHeight w:val="537" w:hRule="atLeast"/>
        </w:trPr>
        <w:tc>
          <w:tcPr>
            <w:tcW w:w="765" w:type="dxa"/>
            <w:tcBorders>
              <w:top w:val="single" w:color="000000" w:sz="4" w:space="0"/>
              <w:left w:val="single" w:color="000000" w:sz="4" w:space="0"/>
              <w:bottom w:val="single" w:color="000000" w:sz="4" w:space="0"/>
              <w:right w:val="single" w:color="000000" w:sz="4" w:space="0"/>
            </w:tcBorders>
            <w:vAlign w:val="center"/>
          </w:tcPr>
          <w:p w14:paraId="1A574E4E">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30</w:t>
            </w:r>
          </w:p>
        </w:tc>
        <w:tc>
          <w:tcPr>
            <w:tcW w:w="1151" w:type="dxa"/>
            <w:tcBorders>
              <w:top w:val="single" w:color="000000" w:sz="4" w:space="0"/>
              <w:left w:val="single" w:color="000000" w:sz="4" w:space="0"/>
              <w:bottom w:val="single" w:color="000000" w:sz="4" w:space="0"/>
              <w:right w:val="single" w:color="000000" w:sz="4" w:space="0"/>
            </w:tcBorders>
            <w:vAlign w:val="center"/>
          </w:tcPr>
          <w:p w14:paraId="2263C50E">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实训移动治疗推车</w:t>
            </w:r>
          </w:p>
        </w:tc>
        <w:tc>
          <w:tcPr>
            <w:tcW w:w="6018" w:type="dxa"/>
            <w:tcBorders>
              <w:top w:val="single" w:color="000000" w:sz="4" w:space="0"/>
              <w:left w:val="single" w:color="000000" w:sz="4" w:space="0"/>
              <w:bottom w:val="single" w:color="000000" w:sz="4" w:space="0"/>
              <w:right w:val="single" w:color="000000" w:sz="4" w:space="0"/>
            </w:tcBorders>
            <w:vAlign w:val="center"/>
          </w:tcPr>
          <w:p w14:paraId="688B5ED5">
            <w:pPr>
              <w:widowControl/>
              <w:spacing w:line="360" w:lineRule="auto"/>
              <w:jc w:val="left"/>
              <w:textAlignment w:val="center"/>
              <w:rPr>
                <w:rFonts w:hint="eastAsia" w:ascii="宋体" w:hAnsi="宋体" w:cs="宋体"/>
                <w:color w:val="auto"/>
                <w:szCs w:val="21"/>
                <w:lang w:bidi="ar"/>
              </w:rPr>
            </w:pPr>
            <w:r>
              <w:rPr>
                <w:rFonts w:hint="eastAsia" w:ascii="宋体" w:hAnsi="宋体" w:cs="宋体"/>
                <w:color w:val="auto"/>
                <w:kern w:val="0"/>
                <w:szCs w:val="21"/>
                <w:lang w:bidi="ar"/>
              </w:rPr>
              <w:t>环保加厚ABS材质，中号三层，50*34*90cm</w:t>
            </w:r>
          </w:p>
        </w:tc>
        <w:tc>
          <w:tcPr>
            <w:tcW w:w="710" w:type="dxa"/>
            <w:tcBorders>
              <w:top w:val="single" w:color="000000" w:sz="4" w:space="0"/>
              <w:left w:val="single" w:color="000000" w:sz="4" w:space="0"/>
              <w:bottom w:val="single" w:color="000000" w:sz="4" w:space="0"/>
              <w:right w:val="single" w:color="000000" w:sz="4" w:space="0"/>
            </w:tcBorders>
            <w:vAlign w:val="center"/>
          </w:tcPr>
          <w:p w14:paraId="45C20CC9">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4</w:t>
            </w:r>
          </w:p>
        </w:tc>
        <w:tc>
          <w:tcPr>
            <w:tcW w:w="660" w:type="dxa"/>
            <w:tcBorders>
              <w:top w:val="single" w:color="000000" w:sz="4" w:space="0"/>
              <w:left w:val="single" w:color="000000" w:sz="4" w:space="0"/>
              <w:bottom w:val="single" w:color="000000" w:sz="4" w:space="0"/>
              <w:right w:val="single" w:color="000000" w:sz="4" w:space="0"/>
            </w:tcBorders>
            <w:vAlign w:val="center"/>
          </w:tcPr>
          <w:p w14:paraId="40715B14">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辆</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57BFE2DC">
            <w:pPr>
              <w:widowControl/>
              <w:spacing w:line="360" w:lineRule="auto"/>
              <w:jc w:val="left"/>
              <w:textAlignment w:val="center"/>
              <w:rPr>
                <w:rFonts w:hint="eastAsia" w:ascii="苹方-简 常规体" w:hAnsi="苹方-简 常规体" w:eastAsia="苹方-简 常规体" w:cs="苹方-简 常规体"/>
                <w:color w:val="auto"/>
                <w:kern w:val="0"/>
                <w:szCs w:val="21"/>
                <w:lang w:bidi="ar"/>
              </w:rPr>
            </w:pPr>
            <w:r>
              <w:rPr>
                <w:rFonts w:hint="eastAsia" w:ascii="宋体" w:hAnsi="宋体" w:cs="宋体"/>
                <w:color w:val="auto"/>
                <w:kern w:val="0"/>
                <w:szCs w:val="21"/>
                <w:lang w:bidi="ar"/>
              </w:rPr>
              <w:t xml:space="preserve"> 515.00 </w:t>
            </w:r>
          </w:p>
        </w:tc>
      </w:tr>
      <w:tr w14:paraId="2595C9D6">
        <w:tblPrEx>
          <w:tblCellMar>
            <w:top w:w="0" w:type="dxa"/>
            <w:left w:w="108" w:type="dxa"/>
            <w:bottom w:w="0" w:type="dxa"/>
            <w:right w:w="108" w:type="dxa"/>
          </w:tblCellMar>
        </w:tblPrEx>
        <w:tc>
          <w:tcPr>
            <w:tcW w:w="765" w:type="dxa"/>
            <w:tcBorders>
              <w:top w:val="single" w:color="000000" w:sz="4" w:space="0"/>
              <w:left w:val="single" w:color="000000" w:sz="4" w:space="0"/>
              <w:bottom w:val="single" w:color="000000" w:sz="4" w:space="0"/>
              <w:right w:val="single" w:color="000000" w:sz="4" w:space="0"/>
            </w:tcBorders>
            <w:vAlign w:val="center"/>
          </w:tcPr>
          <w:p w14:paraId="75C1C4B9">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31</w:t>
            </w:r>
          </w:p>
        </w:tc>
        <w:tc>
          <w:tcPr>
            <w:tcW w:w="1151" w:type="dxa"/>
            <w:tcBorders>
              <w:top w:val="single" w:color="000000" w:sz="4" w:space="0"/>
              <w:left w:val="single" w:color="000000" w:sz="4" w:space="0"/>
              <w:bottom w:val="single" w:color="000000" w:sz="4" w:space="0"/>
              <w:right w:val="single" w:color="000000" w:sz="4" w:space="0"/>
            </w:tcBorders>
            <w:vAlign w:val="center"/>
          </w:tcPr>
          <w:p w14:paraId="25A4EE03">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康养放松按摩器</w:t>
            </w:r>
          </w:p>
        </w:tc>
        <w:tc>
          <w:tcPr>
            <w:tcW w:w="6018" w:type="dxa"/>
            <w:tcBorders>
              <w:top w:val="single" w:color="000000" w:sz="4" w:space="0"/>
              <w:left w:val="single" w:color="000000" w:sz="4" w:space="0"/>
              <w:bottom w:val="single" w:color="000000" w:sz="4" w:space="0"/>
              <w:right w:val="single" w:color="000000" w:sz="4" w:space="0"/>
            </w:tcBorders>
            <w:vAlign w:val="center"/>
          </w:tcPr>
          <w:p w14:paraId="434BA5DB">
            <w:pPr>
              <w:widowControl/>
              <w:spacing w:line="360" w:lineRule="auto"/>
              <w:textAlignment w:val="center"/>
              <w:rPr>
                <w:rFonts w:hint="eastAsia" w:ascii="宋体" w:hAnsi="宋体" w:cs="宋体"/>
                <w:color w:val="auto"/>
                <w:szCs w:val="21"/>
                <w:lang w:bidi="ar"/>
              </w:rPr>
            </w:pPr>
            <w:r>
              <w:rPr>
                <w:rFonts w:hint="eastAsia" w:ascii="宋体" w:hAnsi="宋体" w:cs="宋体"/>
                <w:color w:val="auto"/>
                <w:kern w:val="0"/>
                <w:szCs w:val="21"/>
                <w:lang w:bidi="ar"/>
              </w:rPr>
              <w:t>专业级全身肌肉深层放松按摩仪，32档变速+8按摩头+数显</w:t>
            </w:r>
          </w:p>
        </w:tc>
        <w:tc>
          <w:tcPr>
            <w:tcW w:w="710" w:type="dxa"/>
            <w:tcBorders>
              <w:top w:val="single" w:color="000000" w:sz="4" w:space="0"/>
              <w:left w:val="single" w:color="000000" w:sz="4" w:space="0"/>
              <w:bottom w:val="single" w:color="000000" w:sz="4" w:space="0"/>
              <w:right w:val="single" w:color="000000" w:sz="4" w:space="0"/>
            </w:tcBorders>
            <w:vAlign w:val="center"/>
          </w:tcPr>
          <w:p w14:paraId="4826A850">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w:t>
            </w:r>
          </w:p>
        </w:tc>
        <w:tc>
          <w:tcPr>
            <w:tcW w:w="660" w:type="dxa"/>
            <w:tcBorders>
              <w:top w:val="single" w:color="000000" w:sz="4" w:space="0"/>
              <w:left w:val="single" w:color="000000" w:sz="4" w:space="0"/>
              <w:bottom w:val="single" w:color="000000" w:sz="4" w:space="0"/>
              <w:right w:val="single" w:color="000000" w:sz="4" w:space="0"/>
            </w:tcBorders>
            <w:vAlign w:val="center"/>
          </w:tcPr>
          <w:p w14:paraId="0E13D22B">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个</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29726B94">
            <w:pPr>
              <w:widowControl/>
              <w:spacing w:line="360" w:lineRule="auto"/>
              <w:jc w:val="left"/>
              <w:textAlignment w:val="center"/>
              <w:rPr>
                <w:rFonts w:hint="eastAsia" w:ascii="苹方-简 常规体" w:hAnsi="苹方-简 常规体" w:eastAsia="苹方-简 常规体" w:cs="苹方-简 常规体"/>
                <w:color w:val="auto"/>
                <w:kern w:val="0"/>
                <w:szCs w:val="21"/>
                <w:lang w:bidi="ar"/>
              </w:rPr>
            </w:pPr>
            <w:r>
              <w:rPr>
                <w:rFonts w:hint="eastAsia" w:ascii="宋体" w:hAnsi="宋体" w:cs="宋体"/>
                <w:color w:val="auto"/>
                <w:kern w:val="0"/>
                <w:szCs w:val="21"/>
                <w:lang w:bidi="ar"/>
              </w:rPr>
              <w:t xml:space="preserve"> 265.00 </w:t>
            </w:r>
          </w:p>
        </w:tc>
      </w:tr>
      <w:tr w14:paraId="2ECD358F">
        <w:tblPrEx>
          <w:tblCellMar>
            <w:top w:w="0" w:type="dxa"/>
            <w:left w:w="108" w:type="dxa"/>
            <w:bottom w:w="0" w:type="dxa"/>
            <w:right w:w="108" w:type="dxa"/>
          </w:tblCellMar>
        </w:tblPrEx>
        <w:trPr>
          <w:trHeight w:val="643" w:hRule="atLeast"/>
        </w:trPr>
        <w:tc>
          <w:tcPr>
            <w:tcW w:w="10546" w:type="dxa"/>
            <w:gridSpan w:val="6"/>
            <w:tcBorders>
              <w:top w:val="single" w:color="000000" w:sz="4" w:space="0"/>
              <w:left w:val="single" w:color="000000" w:sz="4" w:space="0"/>
              <w:bottom w:val="single" w:color="000000" w:sz="4" w:space="0"/>
              <w:right w:val="single" w:color="000000" w:sz="4" w:space="0"/>
            </w:tcBorders>
            <w:vAlign w:val="center"/>
          </w:tcPr>
          <w:p w14:paraId="7E6CCBA3">
            <w:pPr>
              <w:widowControl/>
              <w:spacing w:line="360" w:lineRule="auto"/>
              <w:ind w:firstLine="422"/>
              <w:jc w:val="center"/>
              <w:textAlignment w:val="center"/>
              <w:rPr>
                <w:rFonts w:hint="eastAsia" w:ascii="宋体" w:hAnsi="宋体" w:cs="宋体"/>
                <w:color w:val="auto"/>
                <w:szCs w:val="21"/>
              </w:rPr>
            </w:pPr>
            <w:r>
              <w:rPr>
                <w:rFonts w:hint="eastAsia" w:ascii="宋体" w:hAnsi="宋体" w:cs="宋体"/>
                <w:b/>
                <w:bCs/>
                <w:color w:val="auto"/>
                <w:kern w:val="0"/>
                <w:szCs w:val="21"/>
                <w:lang w:bidi="ar"/>
              </w:rPr>
              <w:t>计算机应用与维修专业建设（电子商务专业实训室）</w:t>
            </w:r>
          </w:p>
        </w:tc>
      </w:tr>
      <w:tr w14:paraId="1A86FFF5">
        <w:tblPrEx>
          <w:tblCellMar>
            <w:top w:w="0" w:type="dxa"/>
            <w:left w:w="108" w:type="dxa"/>
            <w:bottom w:w="0" w:type="dxa"/>
            <w:right w:w="108" w:type="dxa"/>
          </w:tblCellMar>
        </w:tblPrEx>
        <w:trPr>
          <w:trHeight w:val="1200" w:hRule="atLeast"/>
        </w:trPr>
        <w:tc>
          <w:tcPr>
            <w:tcW w:w="765" w:type="dxa"/>
            <w:tcBorders>
              <w:top w:val="single" w:color="000000" w:sz="4" w:space="0"/>
              <w:left w:val="single" w:color="000000" w:sz="4" w:space="0"/>
              <w:bottom w:val="single" w:color="000000" w:sz="4" w:space="0"/>
              <w:right w:val="single" w:color="000000" w:sz="4" w:space="0"/>
            </w:tcBorders>
            <w:vAlign w:val="center"/>
          </w:tcPr>
          <w:p w14:paraId="118C86D8">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w:t>
            </w:r>
          </w:p>
        </w:tc>
        <w:tc>
          <w:tcPr>
            <w:tcW w:w="1151" w:type="dxa"/>
            <w:tcBorders>
              <w:top w:val="single" w:color="000000" w:sz="4" w:space="0"/>
              <w:left w:val="single" w:color="000000" w:sz="4" w:space="0"/>
              <w:bottom w:val="single" w:color="000000" w:sz="4" w:space="0"/>
              <w:right w:val="single" w:color="000000" w:sz="4" w:space="0"/>
            </w:tcBorders>
            <w:vAlign w:val="center"/>
          </w:tcPr>
          <w:p w14:paraId="571DC26B">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交换机</w:t>
            </w:r>
            <w:r>
              <w:rPr>
                <w:rFonts w:ascii="Calibri" w:hAnsi="Calibri" w:cs="Calibri"/>
                <w:color w:val="auto"/>
                <w:kern w:val="0"/>
                <w:szCs w:val="21"/>
                <w:lang w:bidi="ar"/>
              </w:rPr>
              <w:t>①</w:t>
            </w:r>
          </w:p>
        </w:tc>
        <w:tc>
          <w:tcPr>
            <w:tcW w:w="6018" w:type="dxa"/>
            <w:tcBorders>
              <w:top w:val="single" w:color="000000" w:sz="4" w:space="0"/>
              <w:left w:val="single" w:color="000000" w:sz="4" w:space="0"/>
              <w:bottom w:val="single" w:color="000000" w:sz="4" w:space="0"/>
              <w:right w:val="single" w:color="000000" w:sz="4" w:space="0"/>
            </w:tcBorders>
          </w:tcPr>
          <w:p w14:paraId="2BB85452">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1、交换容量≥336Gbps，包转发率≥126Mpps，静音无风扇；</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2、提供≥48个10/100/1000BASE-T电口，提供≥4个1000 BASE-X SFP端口；</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3、支持基于端口的VLAN，支持基于协议的VLAN；</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4、堆叠链路冗余保护能够快速收敛，收敛时间≤50ms；</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5、支持IPv4/IPV6双栈管理和转发，支持静态路由协议和RIP、OSPF等路由协议，支持丰富的管理和安全特性；</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6、支持CLI、Telnet、Console、SNMP、web网管等多种管理方式</w:t>
            </w:r>
          </w:p>
        </w:tc>
        <w:tc>
          <w:tcPr>
            <w:tcW w:w="710" w:type="dxa"/>
            <w:tcBorders>
              <w:top w:val="single" w:color="000000" w:sz="4" w:space="0"/>
              <w:left w:val="single" w:color="000000" w:sz="4" w:space="0"/>
              <w:bottom w:val="single" w:color="000000" w:sz="4" w:space="0"/>
              <w:right w:val="single" w:color="000000" w:sz="4" w:space="0"/>
            </w:tcBorders>
            <w:vAlign w:val="center"/>
          </w:tcPr>
          <w:p w14:paraId="59879246">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w:t>
            </w:r>
          </w:p>
        </w:tc>
        <w:tc>
          <w:tcPr>
            <w:tcW w:w="660" w:type="dxa"/>
            <w:tcBorders>
              <w:top w:val="single" w:color="000000" w:sz="4" w:space="0"/>
              <w:left w:val="single" w:color="000000" w:sz="4" w:space="0"/>
              <w:bottom w:val="single" w:color="000000" w:sz="4" w:space="0"/>
              <w:right w:val="single" w:color="000000" w:sz="4" w:space="0"/>
            </w:tcBorders>
            <w:vAlign w:val="center"/>
          </w:tcPr>
          <w:p w14:paraId="41036205">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台</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39D42472">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 4870.00 </w:t>
            </w:r>
          </w:p>
        </w:tc>
      </w:tr>
      <w:tr w14:paraId="42193203">
        <w:tblPrEx>
          <w:tblCellMar>
            <w:top w:w="0" w:type="dxa"/>
            <w:left w:w="108" w:type="dxa"/>
            <w:bottom w:w="0" w:type="dxa"/>
            <w:right w:w="108" w:type="dxa"/>
          </w:tblCellMar>
        </w:tblPrEx>
        <w:trPr>
          <w:trHeight w:val="810" w:hRule="atLeast"/>
        </w:trPr>
        <w:tc>
          <w:tcPr>
            <w:tcW w:w="765" w:type="dxa"/>
            <w:tcBorders>
              <w:top w:val="single" w:color="000000" w:sz="4" w:space="0"/>
              <w:left w:val="single" w:color="000000" w:sz="4" w:space="0"/>
              <w:bottom w:val="single" w:color="000000" w:sz="4" w:space="0"/>
              <w:right w:val="single" w:color="000000" w:sz="4" w:space="0"/>
            </w:tcBorders>
            <w:vAlign w:val="center"/>
          </w:tcPr>
          <w:p w14:paraId="48162BFA">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w:t>
            </w:r>
          </w:p>
        </w:tc>
        <w:tc>
          <w:tcPr>
            <w:tcW w:w="1151" w:type="dxa"/>
            <w:tcBorders>
              <w:top w:val="single" w:color="000000" w:sz="4" w:space="0"/>
              <w:left w:val="single" w:color="000000" w:sz="4" w:space="0"/>
              <w:bottom w:val="single" w:color="000000" w:sz="4" w:space="0"/>
              <w:right w:val="single" w:color="000000" w:sz="4" w:space="0"/>
            </w:tcBorders>
            <w:vAlign w:val="center"/>
          </w:tcPr>
          <w:p w14:paraId="15A1E4B9">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交换机</w:t>
            </w:r>
            <w:r>
              <w:rPr>
                <w:rFonts w:ascii="Calibri" w:hAnsi="Calibri" w:cs="Calibri"/>
                <w:color w:val="auto"/>
                <w:kern w:val="0"/>
                <w:szCs w:val="21"/>
                <w:lang w:bidi="ar"/>
              </w:rPr>
              <w:t>②</w:t>
            </w:r>
          </w:p>
        </w:tc>
        <w:tc>
          <w:tcPr>
            <w:tcW w:w="6018" w:type="dxa"/>
            <w:tcBorders>
              <w:top w:val="single" w:color="000000" w:sz="4" w:space="0"/>
              <w:left w:val="single" w:color="000000" w:sz="4" w:space="0"/>
              <w:bottom w:val="single" w:color="000000" w:sz="4" w:space="0"/>
              <w:right w:val="single" w:color="000000" w:sz="4" w:space="0"/>
            </w:tcBorders>
            <w:vAlign w:val="center"/>
          </w:tcPr>
          <w:p w14:paraId="7ED04AF2">
            <w:pPr>
              <w:widowControl/>
              <w:spacing w:line="360" w:lineRule="auto"/>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1、交换容量≥672Gbps，包转发率≥126Mpps，静音无风扇；</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2、提供≥24个10/100/1000BASE-T电口，提供≥4个1000 BASE-X SFP端口；</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3、支持基于端口的VLAN，支持基于协议的VLAN；</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4、堆叠链路冗余保护能够快速收敛，收敛时间≤50ms；</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5、支持IPv4/IPV6双栈管理和转发，支持静态路由协议和RIP、OSPF等路由协议，支持丰富的管理和安全特性；</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6、支持内置智能图形化管理功能，能够实现通过图形化界面设备配置及命令一键下发和版本智能升级，全局配置及网管口配置，设备升级备份、监控及设备故障替换，组网拓扑可视及管理、设备列表展示等功能。</w:t>
            </w:r>
          </w:p>
        </w:tc>
        <w:tc>
          <w:tcPr>
            <w:tcW w:w="710" w:type="dxa"/>
            <w:tcBorders>
              <w:top w:val="single" w:color="000000" w:sz="4" w:space="0"/>
              <w:left w:val="single" w:color="000000" w:sz="4" w:space="0"/>
              <w:bottom w:val="single" w:color="000000" w:sz="4" w:space="0"/>
              <w:right w:val="single" w:color="000000" w:sz="4" w:space="0"/>
            </w:tcBorders>
            <w:vAlign w:val="center"/>
          </w:tcPr>
          <w:p w14:paraId="17D81988">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w:t>
            </w:r>
          </w:p>
        </w:tc>
        <w:tc>
          <w:tcPr>
            <w:tcW w:w="660" w:type="dxa"/>
            <w:tcBorders>
              <w:top w:val="single" w:color="000000" w:sz="4" w:space="0"/>
              <w:left w:val="single" w:color="000000" w:sz="4" w:space="0"/>
              <w:bottom w:val="single" w:color="000000" w:sz="4" w:space="0"/>
              <w:right w:val="single" w:color="000000" w:sz="4" w:space="0"/>
            </w:tcBorders>
            <w:vAlign w:val="center"/>
          </w:tcPr>
          <w:p w14:paraId="5858345F">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台</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4ADE02AB">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 3610.00 </w:t>
            </w:r>
          </w:p>
        </w:tc>
      </w:tr>
      <w:tr w14:paraId="4E72CAA9">
        <w:tblPrEx>
          <w:tblCellMar>
            <w:top w:w="0" w:type="dxa"/>
            <w:left w:w="108" w:type="dxa"/>
            <w:bottom w:w="0" w:type="dxa"/>
            <w:right w:w="108" w:type="dxa"/>
          </w:tblCellMar>
        </w:tblPrEx>
        <w:trPr>
          <w:trHeight w:val="2040" w:hRule="atLeast"/>
        </w:trPr>
        <w:tc>
          <w:tcPr>
            <w:tcW w:w="765" w:type="dxa"/>
            <w:tcBorders>
              <w:top w:val="single" w:color="000000" w:sz="4" w:space="0"/>
              <w:left w:val="single" w:color="000000" w:sz="4" w:space="0"/>
              <w:bottom w:val="single" w:color="000000" w:sz="4" w:space="0"/>
              <w:right w:val="single" w:color="000000" w:sz="4" w:space="0"/>
            </w:tcBorders>
            <w:vAlign w:val="center"/>
          </w:tcPr>
          <w:p w14:paraId="5BA07966">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3</w:t>
            </w:r>
          </w:p>
        </w:tc>
        <w:tc>
          <w:tcPr>
            <w:tcW w:w="1151" w:type="dxa"/>
            <w:tcBorders>
              <w:top w:val="single" w:color="000000" w:sz="4" w:space="0"/>
              <w:left w:val="single" w:color="000000" w:sz="4" w:space="0"/>
              <w:bottom w:val="single" w:color="000000" w:sz="4" w:space="0"/>
              <w:right w:val="single" w:color="000000" w:sz="4" w:space="0"/>
            </w:tcBorders>
            <w:vAlign w:val="center"/>
          </w:tcPr>
          <w:p w14:paraId="365E35DE">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摄像头</w:t>
            </w:r>
          </w:p>
        </w:tc>
        <w:tc>
          <w:tcPr>
            <w:tcW w:w="6018" w:type="dxa"/>
            <w:tcBorders>
              <w:top w:val="single" w:color="000000" w:sz="4" w:space="0"/>
              <w:left w:val="single" w:color="000000" w:sz="4" w:space="0"/>
              <w:bottom w:val="single" w:color="000000" w:sz="4" w:space="0"/>
              <w:right w:val="single" w:color="000000" w:sz="4" w:space="0"/>
            </w:tcBorders>
            <w:vAlign w:val="center"/>
          </w:tcPr>
          <w:p w14:paraId="57454A22">
            <w:pPr>
              <w:widowControl/>
              <w:spacing w:line="360" w:lineRule="auto"/>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产品功能： 400万PoE云台半球网络摄像机 400万像素，分辨率可达2560*1440 内置麦克风、2W高功率扬声器 具备1T算力，支持AI人形侦测、客流统计 支持镜头遮蔽计划 支持移动侦测、遮挡侦测、声音侦测等功能 最高支持512GB Micro SD卡存储 支持双频WIFI连接，无线性能更稳定 支持PoE供电，多种装维方式可选择后端配合支持NVR、Utility、APP</w:t>
            </w:r>
          </w:p>
        </w:tc>
        <w:tc>
          <w:tcPr>
            <w:tcW w:w="710" w:type="dxa"/>
            <w:tcBorders>
              <w:top w:val="single" w:color="000000" w:sz="4" w:space="0"/>
              <w:left w:val="single" w:color="000000" w:sz="4" w:space="0"/>
              <w:bottom w:val="single" w:color="000000" w:sz="4" w:space="0"/>
              <w:right w:val="single" w:color="000000" w:sz="4" w:space="0"/>
            </w:tcBorders>
            <w:vAlign w:val="center"/>
          </w:tcPr>
          <w:p w14:paraId="1839D4F1">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6</w:t>
            </w:r>
          </w:p>
        </w:tc>
        <w:tc>
          <w:tcPr>
            <w:tcW w:w="660" w:type="dxa"/>
            <w:tcBorders>
              <w:top w:val="single" w:color="000000" w:sz="4" w:space="0"/>
              <w:left w:val="single" w:color="000000" w:sz="4" w:space="0"/>
              <w:bottom w:val="single" w:color="000000" w:sz="4" w:space="0"/>
              <w:right w:val="single" w:color="000000" w:sz="4" w:space="0"/>
            </w:tcBorders>
            <w:vAlign w:val="center"/>
          </w:tcPr>
          <w:p w14:paraId="7DAAEC2D">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个</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21337741">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575</w:t>
            </w:r>
          </w:p>
        </w:tc>
      </w:tr>
      <w:tr w14:paraId="07EEFCEC">
        <w:tblPrEx>
          <w:tblCellMar>
            <w:top w:w="0" w:type="dxa"/>
            <w:left w:w="108" w:type="dxa"/>
            <w:bottom w:w="0" w:type="dxa"/>
            <w:right w:w="108" w:type="dxa"/>
          </w:tblCellMar>
        </w:tblPrEx>
        <w:trPr>
          <w:trHeight w:val="1080" w:hRule="atLeast"/>
        </w:trPr>
        <w:tc>
          <w:tcPr>
            <w:tcW w:w="765" w:type="dxa"/>
            <w:tcBorders>
              <w:top w:val="single" w:color="000000" w:sz="4" w:space="0"/>
              <w:left w:val="single" w:color="000000" w:sz="4" w:space="0"/>
              <w:bottom w:val="single" w:color="000000" w:sz="4" w:space="0"/>
              <w:right w:val="single" w:color="000000" w:sz="4" w:space="0"/>
            </w:tcBorders>
            <w:vAlign w:val="center"/>
          </w:tcPr>
          <w:p w14:paraId="24D58B44">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4</w:t>
            </w:r>
          </w:p>
        </w:tc>
        <w:tc>
          <w:tcPr>
            <w:tcW w:w="1151" w:type="dxa"/>
            <w:tcBorders>
              <w:top w:val="single" w:color="000000" w:sz="4" w:space="0"/>
              <w:left w:val="single" w:color="000000" w:sz="4" w:space="0"/>
              <w:bottom w:val="single" w:color="000000" w:sz="4" w:space="0"/>
              <w:right w:val="single" w:color="000000" w:sz="4" w:space="0"/>
            </w:tcBorders>
            <w:vAlign w:val="center"/>
          </w:tcPr>
          <w:p w14:paraId="2F4C6953">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耳机</w:t>
            </w:r>
          </w:p>
        </w:tc>
        <w:tc>
          <w:tcPr>
            <w:tcW w:w="6018" w:type="dxa"/>
            <w:tcBorders>
              <w:top w:val="single" w:color="000000" w:sz="4" w:space="0"/>
              <w:left w:val="single" w:color="000000" w:sz="4" w:space="0"/>
              <w:bottom w:val="single" w:color="000000" w:sz="4" w:space="0"/>
              <w:right w:val="single" w:color="000000" w:sz="4" w:space="0"/>
            </w:tcBorders>
            <w:vAlign w:val="center"/>
          </w:tcPr>
          <w:p w14:paraId="217162C8">
            <w:pPr>
              <w:widowControl/>
              <w:spacing w:line="360" w:lineRule="auto"/>
              <w:textAlignment w:val="center"/>
              <w:rPr>
                <w:rFonts w:hint="eastAsia" w:ascii="宋体" w:hAnsi="宋体" w:cs="宋体"/>
                <w:color w:val="auto"/>
                <w:kern w:val="0"/>
                <w:szCs w:val="21"/>
                <w:lang w:bidi="ar"/>
              </w:rPr>
            </w:pPr>
            <w:r>
              <w:rPr>
                <w:rFonts w:hint="eastAsia" w:ascii="宋体" w:hAnsi="宋体" w:cs="宋体"/>
                <w:color w:val="auto"/>
                <w:kern w:val="0"/>
                <w:szCs w:val="21"/>
                <w:bdr w:val="single" w:color="000000" w:sz="4" w:space="0"/>
                <w:lang w:bidi="ar"/>
              </w:rPr>
              <w:drawing>
                <wp:anchor distT="0" distB="0" distL="114300" distR="114300" simplePos="0" relativeHeight="251858944" behindDoc="0" locked="0" layoutInCell="1" allowOverlap="1">
                  <wp:simplePos x="0" y="0"/>
                  <wp:positionH relativeFrom="column">
                    <wp:posOffset>662305</wp:posOffset>
                  </wp:positionH>
                  <wp:positionV relativeFrom="paragraph">
                    <wp:posOffset>0</wp:posOffset>
                  </wp:positionV>
                  <wp:extent cx="16510" cy="10160"/>
                  <wp:effectExtent l="0" t="0" r="0" b="0"/>
                  <wp:wrapNone/>
                  <wp:docPr id="54" name="图片_5"/>
                  <wp:cNvGraphicFramePr/>
                  <a:graphic xmlns:a="http://schemas.openxmlformats.org/drawingml/2006/main">
                    <a:graphicData uri="http://schemas.openxmlformats.org/drawingml/2006/picture">
                      <pic:pic xmlns:pic="http://schemas.openxmlformats.org/drawingml/2006/picture">
                        <pic:nvPicPr>
                          <pic:cNvPr id="54" name="图片_5"/>
                          <pic:cNvPicPr/>
                        </pic:nvPicPr>
                        <pic:blipFill>
                          <a:blip r:embed="rId8"/>
                          <a:stretch>
                            <a:fillRect/>
                          </a:stretch>
                        </pic:blipFill>
                        <pic:spPr>
                          <a:xfrm>
                            <a:off x="0" y="0"/>
                            <a:ext cx="16510" cy="10160"/>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59968" behindDoc="0" locked="0" layoutInCell="1" allowOverlap="1">
                  <wp:simplePos x="0" y="0"/>
                  <wp:positionH relativeFrom="column">
                    <wp:posOffset>662305</wp:posOffset>
                  </wp:positionH>
                  <wp:positionV relativeFrom="paragraph">
                    <wp:posOffset>0</wp:posOffset>
                  </wp:positionV>
                  <wp:extent cx="16510" cy="10160"/>
                  <wp:effectExtent l="0" t="0" r="0" b="0"/>
                  <wp:wrapNone/>
                  <wp:docPr id="55" name="图片_5_SpCnt_1"/>
                  <wp:cNvGraphicFramePr/>
                  <a:graphic xmlns:a="http://schemas.openxmlformats.org/drawingml/2006/main">
                    <a:graphicData uri="http://schemas.openxmlformats.org/drawingml/2006/picture">
                      <pic:pic xmlns:pic="http://schemas.openxmlformats.org/drawingml/2006/picture">
                        <pic:nvPicPr>
                          <pic:cNvPr id="55" name="图片_5_SpCnt_1"/>
                          <pic:cNvPicPr/>
                        </pic:nvPicPr>
                        <pic:blipFill>
                          <a:blip r:embed="rId8"/>
                          <a:stretch>
                            <a:fillRect/>
                          </a:stretch>
                        </pic:blipFill>
                        <pic:spPr>
                          <a:xfrm>
                            <a:off x="0" y="0"/>
                            <a:ext cx="16510" cy="10160"/>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60992" behindDoc="0" locked="0" layoutInCell="1" allowOverlap="1">
                  <wp:simplePos x="0" y="0"/>
                  <wp:positionH relativeFrom="column">
                    <wp:posOffset>662305</wp:posOffset>
                  </wp:positionH>
                  <wp:positionV relativeFrom="paragraph">
                    <wp:posOffset>0</wp:posOffset>
                  </wp:positionV>
                  <wp:extent cx="16510" cy="10160"/>
                  <wp:effectExtent l="0" t="0" r="0" b="0"/>
                  <wp:wrapNone/>
                  <wp:docPr id="56" name="图片_5_SpCnt_2"/>
                  <wp:cNvGraphicFramePr/>
                  <a:graphic xmlns:a="http://schemas.openxmlformats.org/drawingml/2006/main">
                    <a:graphicData uri="http://schemas.openxmlformats.org/drawingml/2006/picture">
                      <pic:pic xmlns:pic="http://schemas.openxmlformats.org/drawingml/2006/picture">
                        <pic:nvPicPr>
                          <pic:cNvPr id="56" name="图片_5_SpCnt_2"/>
                          <pic:cNvPicPr/>
                        </pic:nvPicPr>
                        <pic:blipFill>
                          <a:blip r:embed="rId8"/>
                          <a:stretch>
                            <a:fillRect/>
                          </a:stretch>
                        </pic:blipFill>
                        <pic:spPr>
                          <a:xfrm>
                            <a:off x="0" y="0"/>
                            <a:ext cx="16510" cy="10160"/>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62016" behindDoc="0" locked="0" layoutInCell="1" allowOverlap="1">
                  <wp:simplePos x="0" y="0"/>
                  <wp:positionH relativeFrom="column">
                    <wp:posOffset>662305</wp:posOffset>
                  </wp:positionH>
                  <wp:positionV relativeFrom="paragraph">
                    <wp:posOffset>0</wp:posOffset>
                  </wp:positionV>
                  <wp:extent cx="16510" cy="10160"/>
                  <wp:effectExtent l="0" t="0" r="0" b="0"/>
                  <wp:wrapNone/>
                  <wp:docPr id="57" name="图片_5_SpCnt_3"/>
                  <wp:cNvGraphicFramePr/>
                  <a:graphic xmlns:a="http://schemas.openxmlformats.org/drawingml/2006/main">
                    <a:graphicData uri="http://schemas.openxmlformats.org/drawingml/2006/picture">
                      <pic:pic xmlns:pic="http://schemas.openxmlformats.org/drawingml/2006/picture">
                        <pic:nvPicPr>
                          <pic:cNvPr id="57" name="图片_5_SpCnt_3"/>
                          <pic:cNvPicPr/>
                        </pic:nvPicPr>
                        <pic:blipFill>
                          <a:blip r:embed="rId8"/>
                          <a:stretch>
                            <a:fillRect/>
                          </a:stretch>
                        </pic:blipFill>
                        <pic:spPr>
                          <a:xfrm>
                            <a:off x="0" y="0"/>
                            <a:ext cx="16510" cy="10160"/>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63040" behindDoc="0" locked="0" layoutInCell="1" allowOverlap="1">
                  <wp:simplePos x="0" y="0"/>
                  <wp:positionH relativeFrom="column">
                    <wp:posOffset>662305</wp:posOffset>
                  </wp:positionH>
                  <wp:positionV relativeFrom="paragraph">
                    <wp:posOffset>0</wp:posOffset>
                  </wp:positionV>
                  <wp:extent cx="16510" cy="10160"/>
                  <wp:effectExtent l="0" t="0" r="0" b="0"/>
                  <wp:wrapNone/>
                  <wp:docPr id="58" name="图片_5_SpCnt_4"/>
                  <wp:cNvGraphicFramePr/>
                  <a:graphic xmlns:a="http://schemas.openxmlformats.org/drawingml/2006/main">
                    <a:graphicData uri="http://schemas.openxmlformats.org/drawingml/2006/picture">
                      <pic:pic xmlns:pic="http://schemas.openxmlformats.org/drawingml/2006/picture">
                        <pic:nvPicPr>
                          <pic:cNvPr id="58" name="图片_5_SpCnt_4"/>
                          <pic:cNvPicPr/>
                        </pic:nvPicPr>
                        <pic:blipFill>
                          <a:blip r:embed="rId8"/>
                          <a:stretch>
                            <a:fillRect/>
                          </a:stretch>
                        </pic:blipFill>
                        <pic:spPr>
                          <a:xfrm>
                            <a:off x="0" y="0"/>
                            <a:ext cx="16510" cy="10160"/>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64064" behindDoc="0" locked="0" layoutInCell="1" allowOverlap="1">
                  <wp:simplePos x="0" y="0"/>
                  <wp:positionH relativeFrom="column">
                    <wp:posOffset>662305</wp:posOffset>
                  </wp:positionH>
                  <wp:positionV relativeFrom="paragraph">
                    <wp:posOffset>0</wp:posOffset>
                  </wp:positionV>
                  <wp:extent cx="16510" cy="10160"/>
                  <wp:effectExtent l="0" t="0" r="0" b="0"/>
                  <wp:wrapNone/>
                  <wp:docPr id="59" name="图片_5_SpCnt_5"/>
                  <wp:cNvGraphicFramePr/>
                  <a:graphic xmlns:a="http://schemas.openxmlformats.org/drawingml/2006/main">
                    <a:graphicData uri="http://schemas.openxmlformats.org/drawingml/2006/picture">
                      <pic:pic xmlns:pic="http://schemas.openxmlformats.org/drawingml/2006/picture">
                        <pic:nvPicPr>
                          <pic:cNvPr id="59" name="图片_5_SpCnt_5"/>
                          <pic:cNvPicPr/>
                        </pic:nvPicPr>
                        <pic:blipFill>
                          <a:blip r:embed="rId8"/>
                          <a:stretch>
                            <a:fillRect/>
                          </a:stretch>
                        </pic:blipFill>
                        <pic:spPr>
                          <a:xfrm>
                            <a:off x="0" y="0"/>
                            <a:ext cx="16510" cy="10160"/>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65088" behindDoc="0" locked="0" layoutInCell="1" allowOverlap="1">
                  <wp:simplePos x="0" y="0"/>
                  <wp:positionH relativeFrom="column">
                    <wp:posOffset>662305</wp:posOffset>
                  </wp:positionH>
                  <wp:positionV relativeFrom="paragraph">
                    <wp:posOffset>0</wp:posOffset>
                  </wp:positionV>
                  <wp:extent cx="16510" cy="10160"/>
                  <wp:effectExtent l="0" t="0" r="0" b="0"/>
                  <wp:wrapNone/>
                  <wp:docPr id="60" name="图片_5_SpCnt_6"/>
                  <wp:cNvGraphicFramePr/>
                  <a:graphic xmlns:a="http://schemas.openxmlformats.org/drawingml/2006/main">
                    <a:graphicData uri="http://schemas.openxmlformats.org/drawingml/2006/picture">
                      <pic:pic xmlns:pic="http://schemas.openxmlformats.org/drawingml/2006/picture">
                        <pic:nvPicPr>
                          <pic:cNvPr id="60" name="图片_5_SpCnt_6"/>
                          <pic:cNvPicPr/>
                        </pic:nvPicPr>
                        <pic:blipFill>
                          <a:blip r:embed="rId8"/>
                          <a:stretch>
                            <a:fillRect/>
                          </a:stretch>
                        </pic:blipFill>
                        <pic:spPr>
                          <a:xfrm>
                            <a:off x="0" y="0"/>
                            <a:ext cx="16510" cy="10160"/>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66112" behindDoc="0" locked="0" layoutInCell="1" allowOverlap="1">
                  <wp:simplePos x="0" y="0"/>
                  <wp:positionH relativeFrom="column">
                    <wp:posOffset>662305</wp:posOffset>
                  </wp:positionH>
                  <wp:positionV relativeFrom="paragraph">
                    <wp:posOffset>0</wp:posOffset>
                  </wp:positionV>
                  <wp:extent cx="16510" cy="10160"/>
                  <wp:effectExtent l="0" t="0" r="0" b="0"/>
                  <wp:wrapNone/>
                  <wp:docPr id="61" name="图片_5_SpCnt_7"/>
                  <wp:cNvGraphicFramePr/>
                  <a:graphic xmlns:a="http://schemas.openxmlformats.org/drawingml/2006/main">
                    <a:graphicData uri="http://schemas.openxmlformats.org/drawingml/2006/picture">
                      <pic:pic xmlns:pic="http://schemas.openxmlformats.org/drawingml/2006/picture">
                        <pic:nvPicPr>
                          <pic:cNvPr id="61" name="图片_5_SpCnt_7"/>
                          <pic:cNvPicPr/>
                        </pic:nvPicPr>
                        <pic:blipFill>
                          <a:blip r:embed="rId8"/>
                          <a:stretch>
                            <a:fillRect/>
                          </a:stretch>
                        </pic:blipFill>
                        <pic:spPr>
                          <a:xfrm>
                            <a:off x="0" y="0"/>
                            <a:ext cx="16510" cy="10160"/>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67136" behindDoc="0" locked="0" layoutInCell="1" allowOverlap="1">
                  <wp:simplePos x="0" y="0"/>
                  <wp:positionH relativeFrom="column">
                    <wp:posOffset>662305</wp:posOffset>
                  </wp:positionH>
                  <wp:positionV relativeFrom="paragraph">
                    <wp:posOffset>0</wp:posOffset>
                  </wp:positionV>
                  <wp:extent cx="16510" cy="10160"/>
                  <wp:effectExtent l="0" t="0" r="0" b="0"/>
                  <wp:wrapNone/>
                  <wp:docPr id="62" name="图片_5_SpCnt_8"/>
                  <wp:cNvGraphicFramePr/>
                  <a:graphic xmlns:a="http://schemas.openxmlformats.org/drawingml/2006/main">
                    <a:graphicData uri="http://schemas.openxmlformats.org/drawingml/2006/picture">
                      <pic:pic xmlns:pic="http://schemas.openxmlformats.org/drawingml/2006/picture">
                        <pic:nvPicPr>
                          <pic:cNvPr id="62" name="图片_5_SpCnt_8"/>
                          <pic:cNvPicPr/>
                        </pic:nvPicPr>
                        <pic:blipFill>
                          <a:blip r:embed="rId8"/>
                          <a:stretch>
                            <a:fillRect/>
                          </a:stretch>
                        </pic:blipFill>
                        <pic:spPr>
                          <a:xfrm>
                            <a:off x="0" y="0"/>
                            <a:ext cx="16510" cy="10160"/>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68160" behindDoc="0" locked="0" layoutInCell="1" allowOverlap="1">
                  <wp:simplePos x="0" y="0"/>
                  <wp:positionH relativeFrom="column">
                    <wp:posOffset>662305</wp:posOffset>
                  </wp:positionH>
                  <wp:positionV relativeFrom="paragraph">
                    <wp:posOffset>0</wp:posOffset>
                  </wp:positionV>
                  <wp:extent cx="16510" cy="10160"/>
                  <wp:effectExtent l="0" t="0" r="0" b="0"/>
                  <wp:wrapNone/>
                  <wp:docPr id="63" name="图片_5_SpCnt_9"/>
                  <wp:cNvGraphicFramePr/>
                  <a:graphic xmlns:a="http://schemas.openxmlformats.org/drawingml/2006/main">
                    <a:graphicData uri="http://schemas.openxmlformats.org/drawingml/2006/picture">
                      <pic:pic xmlns:pic="http://schemas.openxmlformats.org/drawingml/2006/picture">
                        <pic:nvPicPr>
                          <pic:cNvPr id="63" name="图片_5_SpCnt_9"/>
                          <pic:cNvPicPr/>
                        </pic:nvPicPr>
                        <pic:blipFill>
                          <a:blip r:embed="rId8"/>
                          <a:stretch>
                            <a:fillRect/>
                          </a:stretch>
                        </pic:blipFill>
                        <pic:spPr>
                          <a:xfrm>
                            <a:off x="0" y="0"/>
                            <a:ext cx="16510" cy="10160"/>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69184" behindDoc="0" locked="0" layoutInCell="1" allowOverlap="1">
                  <wp:simplePos x="0" y="0"/>
                  <wp:positionH relativeFrom="column">
                    <wp:posOffset>662305</wp:posOffset>
                  </wp:positionH>
                  <wp:positionV relativeFrom="paragraph">
                    <wp:posOffset>0</wp:posOffset>
                  </wp:positionV>
                  <wp:extent cx="16510" cy="10160"/>
                  <wp:effectExtent l="0" t="0" r="0" b="0"/>
                  <wp:wrapNone/>
                  <wp:docPr id="64" name="图片_5_SpCnt_10"/>
                  <wp:cNvGraphicFramePr/>
                  <a:graphic xmlns:a="http://schemas.openxmlformats.org/drawingml/2006/main">
                    <a:graphicData uri="http://schemas.openxmlformats.org/drawingml/2006/picture">
                      <pic:pic xmlns:pic="http://schemas.openxmlformats.org/drawingml/2006/picture">
                        <pic:nvPicPr>
                          <pic:cNvPr id="64" name="图片_5_SpCnt_10"/>
                          <pic:cNvPicPr/>
                        </pic:nvPicPr>
                        <pic:blipFill>
                          <a:blip r:embed="rId8"/>
                          <a:stretch>
                            <a:fillRect/>
                          </a:stretch>
                        </pic:blipFill>
                        <pic:spPr>
                          <a:xfrm>
                            <a:off x="0" y="0"/>
                            <a:ext cx="16510" cy="10160"/>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70208" behindDoc="0" locked="0" layoutInCell="1" allowOverlap="1">
                  <wp:simplePos x="0" y="0"/>
                  <wp:positionH relativeFrom="column">
                    <wp:posOffset>662305</wp:posOffset>
                  </wp:positionH>
                  <wp:positionV relativeFrom="paragraph">
                    <wp:posOffset>0</wp:posOffset>
                  </wp:positionV>
                  <wp:extent cx="16510" cy="10160"/>
                  <wp:effectExtent l="0" t="0" r="0" b="0"/>
                  <wp:wrapNone/>
                  <wp:docPr id="65" name="图片_5_SpCnt_11"/>
                  <wp:cNvGraphicFramePr/>
                  <a:graphic xmlns:a="http://schemas.openxmlformats.org/drawingml/2006/main">
                    <a:graphicData uri="http://schemas.openxmlformats.org/drawingml/2006/picture">
                      <pic:pic xmlns:pic="http://schemas.openxmlformats.org/drawingml/2006/picture">
                        <pic:nvPicPr>
                          <pic:cNvPr id="65" name="图片_5_SpCnt_11"/>
                          <pic:cNvPicPr/>
                        </pic:nvPicPr>
                        <pic:blipFill>
                          <a:blip r:embed="rId8"/>
                          <a:stretch>
                            <a:fillRect/>
                          </a:stretch>
                        </pic:blipFill>
                        <pic:spPr>
                          <a:xfrm>
                            <a:off x="0" y="0"/>
                            <a:ext cx="16510" cy="10160"/>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71232" behindDoc="0" locked="0" layoutInCell="1" allowOverlap="1">
                  <wp:simplePos x="0" y="0"/>
                  <wp:positionH relativeFrom="column">
                    <wp:posOffset>662305</wp:posOffset>
                  </wp:positionH>
                  <wp:positionV relativeFrom="paragraph">
                    <wp:posOffset>0</wp:posOffset>
                  </wp:positionV>
                  <wp:extent cx="16510" cy="10160"/>
                  <wp:effectExtent l="0" t="0" r="0" b="0"/>
                  <wp:wrapNone/>
                  <wp:docPr id="66" name="图片_5_SpCnt_12"/>
                  <wp:cNvGraphicFramePr/>
                  <a:graphic xmlns:a="http://schemas.openxmlformats.org/drawingml/2006/main">
                    <a:graphicData uri="http://schemas.openxmlformats.org/drawingml/2006/picture">
                      <pic:pic xmlns:pic="http://schemas.openxmlformats.org/drawingml/2006/picture">
                        <pic:nvPicPr>
                          <pic:cNvPr id="66" name="图片_5_SpCnt_12"/>
                          <pic:cNvPicPr/>
                        </pic:nvPicPr>
                        <pic:blipFill>
                          <a:blip r:embed="rId8"/>
                          <a:stretch>
                            <a:fillRect/>
                          </a:stretch>
                        </pic:blipFill>
                        <pic:spPr>
                          <a:xfrm>
                            <a:off x="0" y="0"/>
                            <a:ext cx="16510" cy="10160"/>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72256" behindDoc="0" locked="0" layoutInCell="1" allowOverlap="1">
                  <wp:simplePos x="0" y="0"/>
                  <wp:positionH relativeFrom="column">
                    <wp:posOffset>662305</wp:posOffset>
                  </wp:positionH>
                  <wp:positionV relativeFrom="paragraph">
                    <wp:posOffset>0</wp:posOffset>
                  </wp:positionV>
                  <wp:extent cx="16510" cy="10160"/>
                  <wp:effectExtent l="0" t="0" r="0" b="0"/>
                  <wp:wrapNone/>
                  <wp:docPr id="67" name="图片_5_SpCnt_13"/>
                  <wp:cNvGraphicFramePr/>
                  <a:graphic xmlns:a="http://schemas.openxmlformats.org/drawingml/2006/main">
                    <a:graphicData uri="http://schemas.openxmlformats.org/drawingml/2006/picture">
                      <pic:pic xmlns:pic="http://schemas.openxmlformats.org/drawingml/2006/picture">
                        <pic:nvPicPr>
                          <pic:cNvPr id="67" name="图片_5_SpCnt_13"/>
                          <pic:cNvPicPr/>
                        </pic:nvPicPr>
                        <pic:blipFill>
                          <a:blip r:embed="rId8"/>
                          <a:stretch>
                            <a:fillRect/>
                          </a:stretch>
                        </pic:blipFill>
                        <pic:spPr>
                          <a:xfrm>
                            <a:off x="0" y="0"/>
                            <a:ext cx="16510" cy="10160"/>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73280" behindDoc="0" locked="0" layoutInCell="1" allowOverlap="1">
                  <wp:simplePos x="0" y="0"/>
                  <wp:positionH relativeFrom="column">
                    <wp:posOffset>662305</wp:posOffset>
                  </wp:positionH>
                  <wp:positionV relativeFrom="paragraph">
                    <wp:posOffset>0</wp:posOffset>
                  </wp:positionV>
                  <wp:extent cx="16510" cy="10160"/>
                  <wp:effectExtent l="0" t="0" r="0" b="0"/>
                  <wp:wrapNone/>
                  <wp:docPr id="68" name="图片_5_SpCnt_14"/>
                  <wp:cNvGraphicFramePr/>
                  <a:graphic xmlns:a="http://schemas.openxmlformats.org/drawingml/2006/main">
                    <a:graphicData uri="http://schemas.openxmlformats.org/drawingml/2006/picture">
                      <pic:pic xmlns:pic="http://schemas.openxmlformats.org/drawingml/2006/picture">
                        <pic:nvPicPr>
                          <pic:cNvPr id="68" name="图片_5_SpCnt_14"/>
                          <pic:cNvPicPr/>
                        </pic:nvPicPr>
                        <pic:blipFill>
                          <a:blip r:embed="rId8"/>
                          <a:stretch>
                            <a:fillRect/>
                          </a:stretch>
                        </pic:blipFill>
                        <pic:spPr>
                          <a:xfrm>
                            <a:off x="0" y="0"/>
                            <a:ext cx="16510" cy="10160"/>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74304" behindDoc="0" locked="0" layoutInCell="1" allowOverlap="1">
                  <wp:simplePos x="0" y="0"/>
                  <wp:positionH relativeFrom="column">
                    <wp:posOffset>662305</wp:posOffset>
                  </wp:positionH>
                  <wp:positionV relativeFrom="paragraph">
                    <wp:posOffset>0</wp:posOffset>
                  </wp:positionV>
                  <wp:extent cx="16510" cy="10160"/>
                  <wp:effectExtent l="0" t="0" r="0" b="0"/>
                  <wp:wrapNone/>
                  <wp:docPr id="69" name="图片_5_SpCnt_15"/>
                  <wp:cNvGraphicFramePr/>
                  <a:graphic xmlns:a="http://schemas.openxmlformats.org/drawingml/2006/main">
                    <a:graphicData uri="http://schemas.openxmlformats.org/drawingml/2006/picture">
                      <pic:pic xmlns:pic="http://schemas.openxmlformats.org/drawingml/2006/picture">
                        <pic:nvPicPr>
                          <pic:cNvPr id="69" name="图片_5_SpCnt_15"/>
                          <pic:cNvPicPr/>
                        </pic:nvPicPr>
                        <pic:blipFill>
                          <a:blip r:embed="rId8"/>
                          <a:stretch>
                            <a:fillRect/>
                          </a:stretch>
                        </pic:blipFill>
                        <pic:spPr>
                          <a:xfrm>
                            <a:off x="0" y="0"/>
                            <a:ext cx="16510" cy="10160"/>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75328" behindDoc="0" locked="0" layoutInCell="1" allowOverlap="1">
                  <wp:simplePos x="0" y="0"/>
                  <wp:positionH relativeFrom="column">
                    <wp:posOffset>662305</wp:posOffset>
                  </wp:positionH>
                  <wp:positionV relativeFrom="paragraph">
                    <wp:posOffset>0</wp:posOffset>
                  </wp:positionV>
                  <wp:extent cx="16510" cy="10160"/>
                  <wp:effectExtent l="0" t="0" r="0" b="0"/>
                  <wp:wrapNone/>
                  <wp:docPr id="70" name="图片_5_SpCnt_16"/>
                  <wp:cNvGraphicFramePr/>
                  <a:graphic xmlns:a="http://schemas.openxmlformats.org/drawingml/2006/main">
                    <a:graphicData uri="http://schemas.openxmlformats.org/drawingml/2006/picture">
                      <pic:pic xmlns:pic="http://schemas.openxmlformats.org/drawingml/2006/picture">
                        <pic:nvPicPr>
                          <pic:cNvPr id="70" name="图片_5_SpCnt_16"/>
                          <pic:cNvPicPr/>
                        </pic:nvPicPr>
                        <pic:blipFill>
                          <a:blip r:embed="rId8"/>
                          <a:stretch>
                            <a:fillRect/>
                          </a:stretch>
                        </pic:blipFill>
                        <pic:spPr>
                          <a:xfrm>
                            <a:off x="0" y="0"/>
                            <a:ext cx="16510" cy="10160"/>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76352" behindDoc="0" locked="0" layoutInCell="1" allowOverlap="1">
                  <wp:simplePos x="0" y="0"/>
                  <wp:positionH relativeFrom="column">
                    <wp:posOffset>662305</wp:posOffset>
                  </wp:positionH>
                  <wp:positionV relativeFrom="paragraph">
                    <wp:posOffset>0</wp:posOffset>
                  </wp:positionV>
                  <wp:extent cx="16510" cy="10160"/>
                  <wp:effectExtent l="0" t="0" r="0" b="0"/>
                  <wp:wrapNone/>
                  <wp:docPr id="71" name="图片_5_SpCnt_17"/>
                  <wp:cNvGraphicFramePr/>
                  <a:graphic xmlns:a="http://schemas.openxmlformats.org/drawingml/2006/main">
                    <a:graphicData uri="http://schemas.openxmlformats.org/drawingml/2006/picture">
                      <pic:pic xmlns:pic="http://schemas.openxmlformats.org/drawingml/2006/picture">
                        <pic:nvPicPr>
                          <pic:cNvPr id="71" name="图片_5_SpCnt_17"/>
                          <pic:cNvPicPr/>
                        </pic:nvPicPr>
                        <pic:blipFill>
                          <a:blip r:embed="rId8"/>
                          <a:stretch>
                            <a:fillRect/>
                          </a:stretch>
                        </pic:blipFill>
                        <pic:spPr>
                          <a:xfrm>
                            <a:off x="0" y="0"/>
                            <a:ext cx="16510" cy="10160"/>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77376" behindDoc="0" locked="0" layoutInCell="1" allowOverlap="1">
                  <wp:simplePos x="0" y="0"/>
                  <wp:positionH relativeFrom="column">
                    <wp:posOffset>662305</wp:posOffset>
                  </wp:positionH>
                  <wp:positionV relativeFrom="paragraph">
                    <wp:posOffset>0</wp:posOffset>
                  </wp:positionV>
                  <wp:extent cx="16510" cy="10160"/>
                  <wp:effectExtent l="0" t="0" r="0" b="0"/>
                  <wp:wrapNone/>
                  <wp:docPr id="72" name="图片_5_SpCnt_18"/>
                  <wp:cNvGraphicFramePr/>
                  <a:graphic xmlns:a="http://schemas.openxmlformats.org/drawingml/2006/main">
                    <a:graphicData uri="http://schemas.openxmlformats.org/drawingml/2006/picture">
                      <pic:pic xmlns:pic="http://schemas.openxmlformats.org/drawingml/2006/picture">
                        <pic:nvPicPr>
                          <pic:cNvPr id="72" name="图片_5_SpCnt_18"/>
                          <pic:cNvPicPr/>
                        </pic:nvPicPr>
                        <pic:blipFill>
                          <a:blip r:embed="rId8"/>
                          <a:stretch>
                            <a:fillRect/>
                          </a:stretch>
                        </pic:blipFill>
                        <pic:spPr>
                          <a:xfrm>
                            <a:off x="0" y="0"/>
                            <a:ext cx="16510" cy="10160"/>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78400" behindDoc="0" locked="0" layoutInCell="1" allowOverlap="1">
                  <wp:simplePos x="0" y="0"/>
                  <wp:positionH relativeFrom="column">
                    <wp:posOffset>662305</wp:posOffset>
                  </wp:positionH>
                  <wp:positionV relativeFrom="paragraph">
                    <wp:posOffset>0</wp:posOffset>
                  </wp:positionV>
                  <wp:extent cx="16510" cy="10160"/>
                  <wp:effectExtent l="0" t="0" r="0" b="0"/>
                  <wp:wrapNone/>
                  <wp:docPr id="73" name="图片_5_SpCnt_19"/>
                  <wp:cNvGraphicFramePr/>
                  <a:graphic xmlns:a="http://schemas.openxmlformats.org/drawingml/2006/main">
                    <a:graphicData uri="http://schemas.openxmlformats.org/drawingml/2006/picture">
                      <pic:pic xmlns:pic="http://schemas.openxmlformats.org/drawingml/2006/picture">
                        <pic:nvPicPr>
                          <pic:cNvPr id="73" name="图片_5_SpCnt_19"/>
                          <pic:cNvPicPr/>
                        </pic:nvPicPr>
                        <pic:blipFill>
                          <a:blip r:embed="rId8"/>
                          <a:stretch>
                            <a:fillRect/>
                          </a:stretch>
                        </pic:blipFill>
                        <pic:spPr>
                          <a:xfrm>
                            <a:off x="0" y="0"/>
                            <a:ext cx="16510" cy="10160"/>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79424" behindDoc="0" locked="0" layoutInCell="1" allowOverlap="1">
                  <wp:simplePos x="0" y="0"/>
                  <wp:positionH relativeFrom="column">
                    <wp:posOffset>662305</wp:posOffset>
                  </wp:positionH>
                  <wp:positionV relativeFrom="paragraph">
                    <wp:posOffset>0</wp:posOffset>
                  </wp:positionV>
                  <wp:extent cx="16510" cy="10160"/>
                  <wp:effectExtent l="0" t="0" r="0" b="0"/>
                  <wp:wrapNone/>
                  <wp:docPr id="74" name="图片_5_SpCnt_20"/>
                  <wp:cNvGraphicFramePr/>
                  <a:graphic xmlns:a="http://schemas.openxmlformats.org/drawingml/2006/main">
                    <a:graphicData uri="http://schemas.openxmlformats.org/drawingml/2006/picture">
                      <pic:pic xmlns:pic="http://schemas.openxmlformats.org/drawingml/2006/picture">
                        <pic:nvPicPr>
                          <pic:cNvPr id="74" name="图片_5_SpCnt_20"/>
                          <pic:cNvPicPr/>
                        </pic:nvPicPr>
                        <pic:blipFill>
                          <a:blip r:embed="rId8"/>
                          <a:stretch>
                            <a:fillRect/>
                          </a:stretch>
                        </pic:blipFill>
                        <pic:spPr>
                          <a:xfrm>
                            <a:off x="0" y="0"/>
                            <a:ext cx="16510" cy="10160"/>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80448" behindDoc="0" locked="0" layoutInCell="1" allowOverlap="1">
                  <wp:simplePos x="0" y="0"/>
                  <wp:positionH relativeFrom="column">
                    <wp:posOffset>662305</wp:posOffset>
                  </wp:positionH>
                  <wp:positionV relativeFrom="paragraph">
                    <wp:posOffset>0</wp:posOffset>
                  </wp:positionV>
                  <wp:extent cx="16510" cy="10160"/>
                  <wp:effectExtent l="0" t="0" r="0" b="0"/>
                  <wp:wrapNone/>
                  <wp:docPr id="75" name="图片_5_SpCnt_21"/>
                  <wp:cNvGraphicFramePr/>
                  <a:graphic xmlns:a="http://schemas.openxmlformats.org/drawingml/2006/main">
                    <a:graphicData uri="http://schemas.openxmlformats.org/drawingml/2006/picture">
                      <pic:pic xmlns:pic="http://schemas.openxmlformats.org/drawingml/2006/picture">
                        <pic:nvPicPr>
                          <pic:cNvPr id="75" name="图片_5_SpCnt_21"/>
                          <pic:cNvPicPr/>
                        </pic:nvPicPr>
                        <pic:blipFill>
                          <a:blip r:embed="rId8"/>
                          <a:stretch>
                            <a:fillRect/>
                          </a:stretch>
                        </pic:blipFill>
                        <pic:spPr>
                          <a:xfrm>
                            <a:off x="0" y="0"/>
                            <a:ext cx="16510" cy="10160"/>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81472" behindDoc="0" locked="0" layoutInCell="1" allowOverlap="1">
                  <wp:simplePos x="0" y="0"/>
                  <wp:positionH relativeFrom="column">
                    <wp:posOffset>662305</wp:posOffset>
                  </wp:positionH>
                  <wp:positionV relativeFrom="paragraph">
                    <wp:posOffset>0</wp:posOffset>
                  </wp:positionV>
                  <wp:extent cx="16510" cy="10160"/>
                  <wp:effectExtent l="0" t="0" r="0" b="0"/>
                  <wp:wrapNone/>
                  <wp:docPr id="76" name="图片_5_SpCnt_22"/>
                  <wp:cNvGraphicFramePr/>
                  <a:graphic xmlns:a="http://schemas.openxmlformats.org/drawingml/2006/main">
                    <a:graphicData uri="http://schemas.openxmlformats.org/drawingml/2006/picture">
                      <pic:pic xmlns:pic="http://schemas.openxmlformats.org/drawingml/2006/picture">
                        <pic:nvPicPr>
                          <pic:cNvPr id="76" name="图片_5_SpCnt_22"/>
                          <pic:cNvPicPr/>
                        </pic:nvPicPr>
                        <pic:blipFill>
                          <a:blip r:embed="rId8"/>
                          <a:stretch>
                            <a:fillRect/>
                          </a:stretch>
                        </pic:blipFill>
                        <pic:spPr>
                          <a:xfrm>
                            <a:off x="0" y="0"/>
                            <a:ext cx="16510" cy="10160"/>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82496" behindDoc="0" locked="0" layoutInCell="1" allowOverlap="1">
                  <wp:simplePos x="0" y="0"/>
                  <wp:positionH relativeFrom="column">
                    <wp:posOffset>662305</wp:posOffset>
                  </wp:positionH>
                  <wp:positionV relativeFrom="paragraph">
                    <wp:posOffset>0</wp:posOffset>
                  </wp:positionV>
                  <wp:extent cx="16510" cy="10160"/>
                  <wp:effectExtent l="0" t="0" r="0" b="0"/>
                  <wp:wrapNone/>
                  <wp:docPr id="77" name="图片_5_SpCnt_23"/>
                  <wp:cNvGraphicFramePr/>
                  <a:graphic xmlns:a="http://schemas.openxmlformats.org/drawingml/2006/main">
                    <a:graphicData uri="http://schemas.openxmlformats.org/drawingml/2006/picture">
                      <pic:pic xmlns:pic="http://schemas.openxmlformats.org/drawingml/2006/picture">
                        <pic:nvPicPr>
                          <pic:cNvPr id="77" name="图片_5_SpCnt_23"/>
                          <pic:cNvPicPr/>
                        </pic:nvPicPr>
                        <pic:blipFill>
                          <a:blip r:embed="rId8"/>
                          <a:stretch>
                            <a:fillRect/>
                          </a:stretch>
                        </pic:blipFill>
                        <pic:spPr>
                          <a:xfrm>
                            <a:off x="0" y="0"/>
                            <a:ext cx="16510" cy="10160"/>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83520" behindDoc="0" locked="0" layoutInCell="1" allowOverlap="1">
                  <wp:simplePos x="0" y="0"/>
                  <wp:positionH relativeFrom="column">
                    <wp:posOffset>662305</wp:posOffset>
                  </wp:positionH>
                  <wp:positionV relativeFrom="paragraph">
                    <wp:posOffset>0</wp:posOffset>
                  </wp:positionV>
                  <wp:extent cx="16510" cy="10160"/>
                  <wp:effectExtent l="0" t="0" r="0" b="0"/>
                  <wp:wrapNone/>
                  <wp:docPr id="78" name="图片_5_SpCnt_24"/>
                  <wp:cNvGraphicFramePr/>
                  <a:graphic xmlns:a="http://schemas.openxmlformats.org/drawingml/2006/main">
                    <a:graphicData uri="http://schemas.openxmlformats.org/drawingml/2006/picture">
                      <pic:pic xmlns:pic="http://schemas.openxmlformats.org/drawingml/2006/picture">
                        <pic:nvPicPr>
                          <pic:cNvPr id="78" name="图片_5_SpCnt_24"/>
                          <pic:cNvPicPr/>
                        </pic:nvPicPr>
                        <pic:blipFill>
                          <a:blip r:embed="rId8"/>
                          <a:stretch>
                            <a:fillRect/>
                          </a:stretch>
                        </pic:blipFill>
                        <pic:spPr>
                          <a:xfrm>
                            <a:off x="0" y="0"/>
                            <a:ext cx="16510" cy="10160"/>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84544" behindDoc="0" locked="0" layoutInCell="1" allowOverlap="1">
                  <wp:simplePos x="0" y="0"/>
                  <wp:positionH relativeFrom="column">
                    <wp:posOffset>662305</wp:posOffset>
                  </wp:positionH>
                  <wp:positionV relativeFrom="paragraph">
                    <wp:posOffset>0</wp:posOffset>
                  </wp:positionV>
                  <wp:extent cx="16510" cy="10160"/>
                  <wp:effectExtent l="0" t="0" r="0" b="0"/>
                  <wp:wrapNone/>
                  <wp:docPr id="79" name="图片_5_SpCnt_25"/>
                  <wp:cNvGraphicFramePr/>
                  <a:graphic xmlns:a="http://schemas.openxmlformats.org/drawingml/2006/main">
                    <a:graphicData uri="http://schemas.openxmlformats.org/drawingml/2006/picture">
                      <pic:pic xmlns:pic="http://schemas.openxmlformats.org/drawingml/2006/picture">
                        <pic:nvPicPr>
                          <pic:cNvPr id="79" name="图片_5_SpCnt_25"/>
                          <pic:cNvPicPr/>
                        </pic:nvPicPr>
                        <pic:blipFill>
                          <a:blip r:embed="rId8"/>
                          <a:stretch>
                            <a:fillRect/>
                          </a:stretch>
                        </pic:blipFill>
                        <pic:spPr>
                          <a:xfrm>
                            <a:off x="0" y="0"/>
                            <a:ext cx="16510" cy="10160"/>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85568" behindDoc="0" locked="0" layoutInCell="1" allowOverlap="1">
                  <wp:simplePos x="0" y="0"/>
                  <wp:positionH relativeFrom="column">
                    <wp:posOffset>662305</wp:posOffset>
                  </wp:positionH>
                  <wp:positionV relativeFrom="paragraph">
                    <wp:posOffset>0</wp:posOffset>
                  </wp:positionV>
                  <wp:extent cx="16510" cy="10160"/>
                  <wp:effectExtent l="0" t="0" r="0" b="0"/>
                  <wp:wrapNone/>
                  <wp:docPr id="80" name="图片_5_SpCnt_26"/>
                  <wp:cNvGraphicFramePr/>
                  <a:graphic xmlns:a="http://schemas.openxmlformats.org/drawingml/2006/main">
                    <a:graphicData uri="http://schemas.openxmlformats.org/drawingml/2006/picture">
                      <pic:pic xmlns:pic="http://schemas.openxmlformats.org/drawingml/2006/picture">
                        <pic:nvPicPr>
                          <pic:cNvPr id="80" name="图片_5_SpCnt_26"/>
                          <pic:cNvPicPr/>
                        </pic:nvPicPr>
                        <pic:blipFill>
                          <a:blip r:embed="rId8"/>
                          <a:stretch>
                            <a:fillRect/>
                          </a:stretch>
                        </pic:blipFill>
                        <pic:spPr>
                          <a:xfrm>
                            <a:off x="0" y="0"/>
                            <a:ext cx="16510" cy="10160"/>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86592" behindDoc="0" locked="0" layoutInCell="1" allowOverlap="1">
                  <wp:simplePos x="0" y="0"/>
                  <wp:positionH relativeFrom="column">
                    <wp:posOffset>662305</wp:posOffset>
                  </wp:positionH>
                  <wp:positionV relativeFrom="paragraph">
                    <wp:posOffset>0</wp:posOffset>
                  </wp:positionV>
                  <wp:extent cx="16510" cy="10160"/>
                  <wp:effectExtent l="0" t="0" r="0" b="0"/>
                  <wp:wrapNone/>
                  <wp:docPr id="81" name="图片_5_SpCnt_27"/>
                  <wp:cNvGraphicFramePr/>
                  <a:graphic xmlns:a="http://schemas.openxmlformats.org/drawingml/2006/main">
                    <a:graphicData uri="http://schemas.openxmlformats.org/drawingml/2006/picture">
                      <pic:pic xmlns:pic="http://schemas.openxmlformats.org/drawingml/2006/picture">
                        <pic:nvPicPr>
                          <pic:cNvPr id="81" name="图片_5_SpCnt_27"/>
                          <pic:cNvPicPr/>
                        </pic:nvPicPr>
                        <pic:blipFill>
                          <a:blip r:embed="rId8"/>
                          <a:stretch>
                            <a:fillRect/>
                          </a:stretch>
                        </pic:blipFill>
                        <pic:spPr>
                          <a:xfrm>
                            <a:off x="0" y="0"/>
                            <a:ext cx="16510" cy="10160"/>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87616" behindDoc="0" locked="0" layoutInCell="1" allowOverlap="1">
                  <wp:simplePos x="0" y="0"/>
                  <wp:positionH relativeFrom="column">
                    <wp:posOffset>662305</wp:posOffset>
                  </wp:positionH>
                  <wp:positionV relativeFrom="paragraph">
                    <wp:posOffset>0</wp:posOffset>
                  </wp:positionV>
                  <wp:extent cx="16510" cy="10160"/>
                  <wp:effectExtent l="0" t="0" r="0" b="0"/>
                  <wp:wrapNone/>
                  <wp:docPr id="82" name="图片_5_SpCnt_28"/>
                  <wp:cNvGraphicFramePr/>
                  <a:graphic xmlns:a="http://schemas.openxmlformats.org/drawingml/2006/main">
                    <a:graphicData uri="http://schemas.openxmlformats.org/drawingml/2006/picture">
                      <pic:pic xmlns:pic="http://schemas.openxmlformats.org/drawingml/2006/picture">
                        <pic:nvPicPr>
                          <pic:cNvPr id="82" name="图片_5_SpCnt_28"/>
                          <pic:cNvPicPr/>
                        </pic:nvPicPr>
                        <pic:blipFill>
                          <a:blip r:embed="rId8"/>
                          <a:stretch>
                            <a:fillRect/>
                          </a:stretch>
                        </pic:blipFill>
                        <pic:spPr>
                          <a:xfrm>
                            <a:off x="0" y="0"/>
                            <a:ext cx="16510" cy="10160"/>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88640" behindDoc="0" locked="0" layoutInCell="1" allowOverlap="1">
                  <wp:simplePos x="0" y="0"/>
                  <wp:positionH relativeFrom="column">
                    <wp:posOffset>662305</wp:posOffset>
                  </wp:positionH>
                  <wp:positionV relativeFrom="paragraph">
                    <wp:posOffset>0</wp:posOffset>
                  </wp:positionV>
                  <wp:extent cx="16510" cy="10160"/>
                  <wp:effectExtent l="0" t="0" r="0" b="0"/>
                  <wp:wrapNone/>
                  <wp:docPr id="83" name="图片_5_SpCnt_29"/>
                  <wp:cNvGraphicFramePr/>
                  <a:graphic xmlns:a="http://schemas.openxmlformats.org/drawingml/2006/main">
                    <a:graphicData uri="http://schemas.openxmlformats.org/drawingml/2006/picture">
                      <pic:pic xmlns:pic="http://schemas.openxmlformats.org/drawingml/2006/picture">
                        <pic:nvPicPr>
                          <pic:cNvPr id="83" name="图片_5_SpCnt_29"/>
                          <pic:cNvPicPr/>
                        </pic:nvPicPr>
                        <pic:blipFill>
                          <a:blip r:embed="rId8"/>
                          <a:stretch>
                            <a:fillRect/>
                          </a:stretch>
                        </pic:blipFill>
                        <pic:spPr>
                          <a:xfrm>
                            <a:off x="0" y="0"/>
                            <a:ext cx="16510" cy="10160"/>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89664" behindDoc="0" locked="0" layoutInCell="1" allowOverlap="1">
                  <wp:simplePos x="0" y="0"/>
                  <wp:positionH relativeFrom="column">
                    <wp:posOffset>662305</wp:posOffset>
                  </wp:positionH>
                  <wp:positionV relativeFrom="paragraph">
                    <wp:posOffset>0</wp:posOffset>
                  </wp:positionV>
                  <wp:extent cx="16510" cy="10160"/>
                  <wp:effectExtent l="0" t="0" r="0" b="0"/>
                  <wp:wrapNone/>
                  <wp:docPr id="84" name="图片_5_SpCnt_30"/>
                  <wp:cNvGraphicFramePr/>
                  <a:graphic xmlns:a="http://schemas.openxmlformats.org/drawingml/2006/main">
                    <a:graphicData uri="http://schemas.openxmlformats.org/drawingml/2006/picture">
                      <pic:pic xmlns:pic="http://schemas.openxmlformats.org/drawingml/2006/picture">
                        <pic:nvPicPr>
                          <pic:cNvPr id="84" name="图片_5_SpCnt_30"/>
                          <pic:cNvPicPr/>
                        </pic:nvPicPr>
                        <pic:blipFill>
                          <a:blip r:embed="rId8"/>
                          <a:stretch>
                            <a:fillRect/>
                          </a:stretch>
                        </pic:blipFill>
                        <pic:spPr>
                          <a:xfrm>
                            <a:off x="0" y="0"/>
                            <a:ext cx="16510" cy="10160"/>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90688" behindDoc="0" locked="0" layoutInCell="1" allowOverlap="1">
                  <wp:simplePos x="0" y="0"/>
                  <wp:positionH relativeFrom="column">
                    <wp:posOffset>662305</wp:posOffset>
                  </wp:positionH>
                  <wp:positionV relativeFrom="paragraph">
                    <wp:posOffset>0</wp:posOffset>
                  </wp:positionV>
                  <wp:extent cx="16510" cy="10160"/>
                  <wp:effectExtent l="0" t="0" r="0" b="0"/>
                  <wp:wrapNone/>
                  <wp:docPr id="85" name="图片_5_SpCnt_31"/>
                  <wp:cNvGraphicFramePr/>
                  <a:graphic xmlns:a="http://schemas.openxmlformats.org/drawingml/2006/main">
                    <a:graphicData uri="http://schemas.openxmlformats.org/drawingml/2006/picture">
                      <pic:pic xmlns:pic="http://schemas.openxmlformats.org/drawingml/2006/picture">
                        <pic:nvPicPr>
                          <pic:cNvPr id="85" name="图片_5_SpCnt_31"/>
                          <pic:cNvPicPr/>
                        </pic:nvPicPr>
                        <pic:blipFill>
                          <a:blip r:embed="rId8"/>
                          <a:stretch>
                            <a:fillRect/>
                          </a:stretch>
                        </pic:blipFill>
                        <pic:spPr>
                          <a:xfrm>
                            <a:off x="0" y="0"/>
                            <a:ext cx="16510" cy="10160"/>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91712" behindDoc="0" locked="0" layoutInCell="1" allowOverlap="1">
                  <wp:simplePos x="0" y="0"/>
                  <wp:positionH relativeFrom="column">
                    <wp:posOffset>662305</wp:posOffset>
                  </wp:positionH>
                  <wp:positionV relativeFrom="paragraph">
                    <wp:posOffset>0</wp:posOffset>
                  </wp:positionV>
                  <wp:extent cx="16510" cy="10160"/>
                  <wp:effectExtent l="0" t="0" r="0" b="0"/>
                  <wp:wrapNone/>
                  <wp:docPr id="86" name="图片_5_SpCnt_32"/>
                  <wp:cNvGraphicFramePr/>
                  <a:graphic xmlns:a="http://schemas.openxmlformats.org/drawingml/2006/main">
                    <a:graphicData uri="http://schemas.openxmlformats.org/drawingml/2006/picture">
                      <pic:pic xmlns:pic="http://schemas.openxmlformats.org/drawingml/2006/picture">
                        <pic:nvPicPr>
                          <pic:cNvPr id="86" name="图片_5_SpCnt_32"/>
                          <pic:cNvPicPr/>
                        </pic:nvPicPr>
                        <pic:blipFill>
                          <a:blip r:embed="rId8"/>
                          <a:stretch>
                            <a:fillRect/>
                          </a:stretch>
                        </pic:blipFill>
                        <pic:spPr>
                          <a:xfrm>
                            <a:off x="0" y="0"/>
                            <a:ext cx="16510" cy="10160"/>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92736" behindDoc="0" locked="0" layoutInCell="1" allowOverlap="1">
                  <wp:simplePos x="0" y="0"/>
                  <wp:positionH relativeFrom="column">
                    <wp:posOffset>662305</wp:posOffset>
                  </wp:positionH>
                  <wp:positionV relativeFrom="paragraph">
                    <wp:posOffset>0</wp:posOffset>
                  </wp:positionV>
                  <wp:extent cx="16510" cy="10160"/>
                  <wp:effectExtent l="0" t="0" r="0" b="0"/>
                  <wp:wrapNone/>
                  <wp:docPr id="87" name="图片_5_SpCnt_33"/>
                  <wp:cNvGraphicFramePr/>
                  <a:graphic xmlns:a="http://schemas.openxmlformats.org/drawingml/2006/main">
                    <a:graphicData uri="http://schemas.openxmlformats.org/drawingml/2006/picture">
                      <pic:pic xmlns:pic="http://schemas.openxmlformats.org/drawingml/2006/picture">
                        <pic:nvPicPr>
                          <pic:cNvPr id="87" name="图片_5_SpCnt_33"/>
                          <pic:cNvPicPr/>
                        </pic:nvPicPr>
                        <pic:blipFill>
                          <a:blip r:embed="rId8"/>
                          <a:stretch>
                            <a:fillRect/>
                          </a:stretch>
                        </pic:blipFill>
                        <pic:spPr>
                          <a:xfrm>
                            <a:off x="0" y="0"/>
                            <a:ext cx="16510" cy="10160"/>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93760" behindDoc="0" locked="0" layoutInCell="1" allowOverlap="1">
                  <wp:simplePos x="0" y="0"/>
                  <wp:positionH relativeFrom="column">
                    <wp:posOffset>662305</wp:posOffset>
                  </wp:positionH>
                  <wp:positionV relativeFrom="paragraph">
                    <wp:posOffset>0</wp:posOffset>
                  </wp:positionV>
                  <wp:extent cx="16510" cy="10160"/>
                  <wp:effectExtent l="0" t="0" r="0" b="0"/>
                  <wp:wrapNone/>
                  <wp:docPr id="88" name="图片_5_SpCnt_34"/>
                  <wp:cNvGraphicFramePr/>
                  <a:graphic xmlns:a="http://schemas.openxmlformats.org/drawingml/2006/main">
                    <a:graphicData uri="http://schemas.openxmlformats.org/drawingml/2006/picture">
                      <pic:pic xmlns:pic="http://schemas.openxmlformats.org/drawingml/2006/picture">
                        <pic:nvPicPr>
                          <pic:cNvPr id="88" name="图片_5_SpCnt_34"/>
                          <pic:cNvPicPr/>
                        </pic:nvPicPr>
                        <pic:blipFill>
                          <a:blip r:embed="rId8"/>
                          <a:stretch>
                            <a:fillRect/>
                          </a:stretch>
                        </pic:blipFill>
                        <pic:spPr>
                          <a:xfrm>
                            <a:off x="0" y="0"/>
                            <a:ext cx="16510" cy="10160"/>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94784" behindDoc="0" locked="0" layoutInCell="1" allowOverlap="1">
                  <wp:simplePos x="0" y="0"/>
                  <wp:positionH relativeFrom="column">
                    <wp:posOffset>662305</wp:posOffset>
                  </wp:positionH>
                  <wp:positionV relativeFrom="paragraph">
                    <wp:posOffset>0</wp:posOffset>
                  </wp:positionV>
                  <wp:extent cx="16510" cy="10160"/>
                  <wp:effectExtent l="0" t="0" r="0" b="0"/>
                  <wp:wrapNone/>
                  <wp:docPr id="89" name="图片_5_SpCnt_35"/>
                  <wp:cNvGraphicFramePr/>
                  <a:graphic xmlns:a="http://schemas.openxmlformats.org/drawingml/2006/main">
                    <a:graphicData uri="http://schemas.openxmlformats.org/drawingml/2006/picture">
                      <pic:pic xmlns:pic="http://schemas.openxmlformats.org/drawingml/2006/picture">
                        <pic:nvPicPr>
                          <pic:cNvPr id="89" name="图片_5_SpCnt_35"/>
                          <pic:cNvPicPr/>
                        </pic:nvPicPr>
                        <pic:blipFill>
                          <a:blip r:embed="rId8"/>
                          <a:stretch>
                            <a:fillRect/>
                          </a:stretch>
                        </pic:blipFill>
                        <pic:spPr>
                          <a:xfrm>
                            <a:off x="0" y="0"/>
                            <a:ext cx="16510" cy="10160"/>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95808" behindDoc="0" locked="0" layoutInCell="1" allowOverlap="1">
                  <wp:simplePos x="0" y="0"/>
                  <wp:positionH relativeFrom="column">
                    <wp:posOffset>662305</wp:posOffset>
                  </wp:positionH>
                  <wp:positionV relativeFrom="paragraph">
                    <wp:posOffset>0</wp:posOffset>
                  </wp:positionV>
                  <wp:extent cx="16510" cy="10160"/>
                  <wp:effectExtent l="0" t="0" r="0" b="0"/>
                  <wp:wrapNone/>
                  <wp:docPr id="90" name="图片_5_SpCnt_36"/>
                  <wp:cNvGraphicFramePr/>
                  <a:graphic xmlns:a="http://schemas.openxmlformats.org/drawingml/2006/main">
                    <a:graphicData uri="http://schemas.openxmlformats.org/drawingml/2006/picture">
                      <pic:pic xmlns:pic="http://schemas.openxmlformats.org/drawingml/2006/picture">
                        <pic:nvPicPr>
                          <pic:cNvPr id="90" name="图片_5_SpCnt_36"/>
                          <pic:cNvPicPr/>
                        </pic:nvPicPr>
                        <pic:blipFill>
                          <a:blip r:embed="rId8"/>
                          <a:stretch>
                            <a:fillRect/>
                          </a:stretch>
                        </pic:blipFill>
                        <pic:spPr>
                          <a:xfrm>
                            <a:off x="0" y="0"/>
                            <a:ext cx="16510" cy="10160"/>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96832" behindDoc="0" locked="0" layoutInCell="1" allowOverlap="1">
                  <wp:simplePos x="0" y="0"/>
                  <wp:positionH relativeFrom="column">
                    <wp:posOffset>662305</wp:posOffset>
                  </wp:positionH>
                  <wp:positionV relativeFrom="paragraph">
                    <wp:posOffset>0</wp:posOffset>
                  </wp:positionV>
                  <wp:extent cx="16510" cy="10160"/>
                  <wp:effectExtent l="0" t="0" r="0" b="0"/>
                  <wp:wrapNone/>
                  <wp:docPr id="91" name="图片_5_SpCnt_37"/>
                  <wp:cNvGraphicFramePr/>
                  <a:graphic xmlns:a="http://schemas.openxmlformats.org/drawingml/2006/main">
                    <a:graphicData uri="http://schemas.openxmlformats.org/drawingml/2006/picture">
                      <pic:pic xmlns:pic="http://schemas.openxmlformats.org/drawingml/2006/picture">
                        <pic:nvPicPr>
                          <pic:cNvPr id="91" name="图片_5_SpCnt_37"/>
                          <pic:cNvPicPr/>
                        </pic:nvPicPr>
                        <pic:blipFill>
                          <a:blip r:embed="rId8"/>
                          <a:stretch>
                            <a:fillRect/>
                          </a:stretch>
                        </pic:blipFill>
                        <pic:spPr>
                          <a:xfrm>
                            <a:off x="0" y="0"/>
                            <a:ext cx="16510" cy="10160"/>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97856" behindDoc="0" locked="0" layoutInCell="1" allowOverlap="1">
                  <wp:simplePos x="0" y="0"/>
                  <wp:positionH relativeFrom="column">
                    <wp:posOffset>662305</wp:posOffset>
                  </wp:positionH>
                  <wp:positionV relativeFrom="paragraph">
                    <wp:posOffset>0</wp:posOffset>
                  </wp:positionV>
                  <wp:extent cx="16510" cy="10160"/>
                  <wp:effectExtent l="0" t="0" r="0" b="0"/>
                  <wp:wrapNone/>
                  <wp:docPr id="92" name="图片_5_SpCnt_38"/>
                  <wp:cNvGraphicFramePr/>
                  <a:graphic xmlns:a="http://schemas.openxmlformats.org/drawingml/2006/main">
                    <a:graphicData uri="http://schemas.openxmlformats.org/drawingml/2006/picture">
                      <pic:pic xmlns:pic="http://schemas.openxmlformats.org/drawingml/2006/picture">
                        <pic:nvPicPr>
                          <pic:cNvPr id="92" name="图片_5_SpCnt_38"/>
                          <pic:cNvPicPr/>
                        </pic:nvPicPr>
                        <pic:blipFill>
                          <a:blip r:embed="rId8"/>
                          <a:stretch>
                            <a:fillRect/>
                          </a:stretch>
                        </pic:blipFill>
                        <pic:spPr>
                          <a:xfrm>
                            <a:off x="0" y="0"/>
                            <a:ext cx="16510" cy="10160"/>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98880" behindDoc="0" locked="0" layoutInCell="1" allowOverlap="1">
                  <wp:simplePos x="0" y="0"/>
                  <wp:positionH relativeFrom="column">
                    <wp:posOffset>662305</wp:posOffset>
                  </wp:positionH>
                  <wp:positionV relativeFrom="paragraph">
                    <wp:posOffset>0</wp:posOffset>
                  </wp:positionV>
                  <wp:extent cx="16510" cy="10160"/>
                  <wp:effectExtent l="0" t="0" r="0" b="0"/>
                  <wp:wrapNone/>
                  <wp:docPr id="93" name="图片_5_SpCnt_39"/>
                  <wp:cNvGraphicFramePr/>
                  <a:graphic xmlns:a="http://schemas.openxmlformats.org/drawingml/2006/main">
                    <a:graphicData uri="http://schemas.openxmlformats.org/drawingml/2006/picture">
                      <pic:pic xmlns:pic="http://schemas.openxmlformats.org/drawingml/2006/picture">
                        <pic:nvPicPr>
                          <pic:cNvPr id="93" name="图片_5_SpCnt_39"/>
                          <pic:cNvPicPr/>
                        </pic:nvPicPr>
                        <pic:blipFill>
                          <a:blip r:embed="rId8"/>
                          <a:stretch>
                            <a:fillRect/>
                          </a:stretch>
                        </pic:blipFill>
                        <pic:spPr>
                          <a:xfrm>
                            <a:off x="0" y="0"/>
                            <a:ext cx="16510" cy="10160"/>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899904" behindDoc="0" locked="0" layoutInCell="1" allowOverlap="1">
                  <wp:simplePos x="0" y="0"/>
                  <wp:positionH relativeFrom="column">
                    <wp:posOffset>662305</wp:posOffset>
                  </wp:positionH>
                  <wp:positionV relativeFrom="paragraph">
                    <wp:posOffset>0</wp:posOffset>
                  </wp:positionV>
                  <wp:extent cx="16510" cy="10160"/>
                  <wp:effectExtent l="0" t="0" r="0" b="0"/>
                  <wp:wrapNone/>
                  <wp:docPr id="94" name="图片_5_SpCnt_40"/>
                  <wp:cNvGraphicFramePr/>
                  <a:graphic xmlns:a="http://schemas.openxmlformats.org/drawingml/2006/main">
                    <a:graphicData uri="http://schemas.openxmlformats.org/drawingml/2006/picture">
                      <pic:pic xmlns:pic="http://schemas.openxmlformats.org/drawingml/2006/picture">
                        <pic:nvPicPr>
                          <pic:cNvPr id="94" name="图片_5_SpCnt_40"/>
                          <pic:cNvPicPr/>
                        </pic:nvPicPr>
                        <pic:blipFill>
                          <a:blip r:embed="rId8"/>
                          <a:stretch>
                            <a:fillRect/>
                          </a:stretch>
                        </pic:blipFill>
                        <pic:spPr>
                          <a:xfrm>
                            <a:off x="0" y="0"/>
                            <a:ext cx="16510" cy="10160"/>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900928" behindDoc="0" locked="0" layoutInCell="1" allowOverlap="1">
                  <wp:simplePos x="0" y="0"/>
                  <wp:positionH relativeFrom="column">
                    <wp:posOffset>662305</wp:posOffset>
                  </wp:positionH>
                  <wp:positionV relativeFrom="paragraph">
                    <wp:posOffset>0</wp:posOffset>
                  </wp:positionV>
                  <wp:extent cx="16510" cy="10160"/>
                  <wp:effectExtent l="0" t="0" r="0" b="0"/>
                  <wp:wrapNone/>
                  <wp:docPr id="95" name="图片_5_SpCnt_41"/>
                  <wp:cNvGraphicFramePr/>
                  <a:graphic xmlns:a="http://schemas.openxmlformats.org/drawingml/2006/main">
                    <a:graphicData uri="http://schemas.openxmlformats.org/drawingml/2006/picture">
                      <pic:pic xmlns:pic="http://schemas.openxmlformats.org/drawingml/2006/picture">
                        <pic:nvPicPr>
                          <pic:cNvPr id="95" name="图片_5_SpCnt_41"/>
                          <pic:cNvPicPr/>
                        </pic:nvPicPr>
                        <pic:blipFill>
                          <a:blip r:embed="rId8"/>
                          <a:stretch>
                            <a:fillRect/>
                          </a:stretch>
                        </pic:blipFill>
                        <pic:spPr>
                          <a:xfrm>
                            <a:off x="0" y="0"/>
                            <a:ext cx="16510" cy="10160"/>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901952" behindDoc="0" locked="0" layoutInCell="1" allowOverlap="1">
                  <wp:simplePos x="0" y="0"/>
                  <wp:positionH relativeFrom="column">
                    <wp:posOffset>662305</wp:posOffset>
                  </wp:positionH>
                  <wp:positionV relativeFrom="paragraph">
                    <wp:posOffset>0</wp:posOffset>
                  </wp:positionV>
                  <wp:extent cx="16510" cy="10160"/>
                  <wp:effectExtent l="0" t="0" r="0" b="0"/>
                  <wp:wrapNone/>
                  <wp:docPr id="96" name="图片_5_SpCnt_42"/>
                  <wp:cNvGraphicFramePr/>
                  <a:graphic xmlns:a="http://schemas.openxmlformats.org/drawingml/2006/main">
                    <a:graphicData uri="http://schemas.openxmlformats.org/drawingml/2006/picture">
                      <pic:pic xmlns:pic="http://schemas.openxmlformats.org/drawingml/2006/picture">
                        <pic:nvPicPr>
                          <pic:cNvPr id="96" name="图片_5_SpCnt_42"/>
                          <pic:cNvPicPr/>
                        </pic:nvPicPr>
                        <pic:blipFill>
                          <a:blip r:embed="rId8"/>
                          <a:stretch>
                            <a:fillRect/>
                          </a:stretch>
                        </pic:blipFill>
                        <pic:spPr>
                          <a:xfrm>
                            <a:off x="0" y="0"/>
                            <a:ext cx="16510" cy="10160"/>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902976" behindDoc="0" locked="0" layoutInCell="1" allowOverlap="1">
                  <wp:simplePos x="0" y="0"/>
                  <wp:positionH relativeFrom="column">
                    <wp:posOffset>662305</wp:posOffset>
                  </wp:positionH>
                  <wp:positionV relativeFrom="paragraph">
                    <wp:posOffset>0</wp:posOffset>
                  </wp:positionV>
                  <wp:extent cx="16510" cy="10160"/>
                  <wp:effectExtent l="0" t="0" r="0" b="0"/>
                  <wp:wrapNone/>
                  <wp:docPr id="97" name="图片_5_SpCnt_43"/>
                  <wp:cNvGraphicFramePr/>
                  <a:graphic xmlns:a="http://schemas.openxmlformats.org/drawingml/2006/main">
                    <a:graphicData uri="http://schemas.openxmlformats.org/drawingml/2006/picture">
                      <pic:pic xmlns:pic="http://schemas.openxmlformats.org/drawingml/2006/picture">
                        <pic:nvPicPr>
                          <pic:cNvPr id="97" name="图片_5_SpCnt_43"/>
                          <pic:cNvPicPr/>
                        </pic:nvPicPr>
                        <pic:blipFill>
                          <a:blip r:embed="rId8"/>
                          <a:stretch>
                            <a:fillRect/>
                          </a:stretch>
                        </pic:blipFill>
                        <pic:spPr>
                          <a:xfrm>
                            <a:off x="0" y="0"/>
                            <a:ext cx="16510" cy="10160"/>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904000" behindDoc="0" locked="0" layoutInCell="1" allowOverlap="1">
                  <wp:simplePos x="0" y="0"/>
                  <wp:positionH relativeFrom="column">
                    <wp:posOffset>662305</wp:posOffset>
                  </wp:positionH>
                  <wp:positionV relativeFrom="paragraph">
                    <wp:posOffset>0</wp:posOffset>
                  </wp:positionV>
                  <wp:extent cx="16510" cy="10160"/>
                  <wp:effectExtent l="0" t="0" r="0" b="0"/>
                  <wp:wrapNone/>
                  <wp:docPr id="98" name="图片_5_SpCnt_44"/>
                  <wp:cNvGraphicFramePr/>
                  <a:graphic xmlns:a="http://schemas.openxmlformats.org/drawingml/2006/main">
                    <a:graphicData uri="http://schemas.openxmlformats.org/drawingml/2006/picture">
                      <pic:pic xmlns:pic="http://schemas.openxmlformats.org/drawingml/2006/picture">
                        <pic:nvPicPr>
                          <pic:cNvPr id="98" name="图片_5_SpCnt_44"/>
                          <pic:cNvPicPr/>
                        </pic:nvPicPr>
                        <pic:blipFill>
                          <a:blip r:embed="rId8"/>
                          <a:stretch>
                            <a:fillRect/>
                          </a:stretch>
                        </pic:blipFill>
                        <pic:spPr>
                          <a:xfrm>
                            <a:off x="0" y="0"/>
                            <a:ext cx="16510" cy="10160"/>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905024" behindDoc="0" locked="0" layoutInCell="1" allowOverlap="1">
                  <wp:simplePos x="0" y="0"/>
                  <wp:positionH relativeFrom="column">
                    <wp:posOffset>662305</wp:posOffset>
                  </wp:positionH>
                  <wp:positionV relativeFrom="paragraph">
                    <wp:posOffset>0</wp:posOffset>
                  </wp:positionV>
                  <wp:extent cx="16510" cy="10160"/>
                  <wp:effectExtent l="0" t="0" r="0" b="0"/>
                  <wp:wrapNone/>
                  <wp:docPr id="99" name="图片_497"/>
                  <wp:cNvGraphicFramePr/>
                  <a:graphic xmlns:a="http://schemas.openxmlformats.org/drawingml/2006/main">
                    <a:graphicData uri="http://schemas.openxmlformats.org/drawingml/2006/picture">
                      <pic:pic xmlns:pic="http://schemas.openxmlformats.org/drawingml/2006/picture">
                        <pic:nvPicPr>
                          <pic:cNvPr id="99" name="图片_497"/>
                          <pic:cNvPicPr/>
                        </pic:nvPicPr>
                        <pic:blipFill>
                          <a:blip r:embed="rId8"/>
                          <a:stretch>
                            <a:fillRect/>
                          </a:stretch>
                        </pic:blipFill>
                        <pic:spPr>
                          <a:xfrm>
                            <a:off x="0" y="0"/>
                            <a:ext cx="16510" cy="10160"/>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906048" behindDoc="0" locked="0" layoutInCell="1" allowOverlap="1">
                  <wp:simplePos x="0" y="0"/>
                  <wp:positionH relativeFrom="column">
                    <wp:posOffset>662305</wp:posOffset>
                  </wp:positionH>
                  <wp:positionV relativeFrom="paragraph">
                    <wp:posOffset>0</wp:posOffset>
                  </wp:positionV>
                  <wp:extent cx="16510" cy="10160"/>
                  <wp:effectExtent l="0" t="0" r="0" b="0"/>
                  <wp:wrapNone/>
                  <wp:docPr id="100" name="图片_5_SpCnt_45"/>
                  <wp:cNvGraphicFramePr/>
                  <a:graphic xmlns:a="http://schemas.openxmlformats.org/drawingml/2006/main">
                    <a:graphicData uri="http://schemas.openxmlformats.org/drawingml/2006/picture">
                      <pic:pic xmlns:pic="http://schemas.openxmlformats.org/drawingml/2006/picture">
                        <pic:nvPicPr>
                          <pic:cNvPr id="100" name="图片_5_SpCnt_45"/>
                          <pic:cNvPicPr/>
                        </pic:nvPicPr>
                        <pic:blipFill>
                          <a:blip r:embed="rId8"/>
                          <a:stretch>
                            <a:fillRect/>
                          </a:stretch>
                        </pic:blipFill>
                        <pic:spPr>
                          <a:xfrm>
                            <a:off x="0" y="0"/>
                            <a:ext cx="16510" cy="10160"/>
                          </a:xfrm>
                          <a:prstGeom prst="rect">
                            <a:avLst/>
                          </a:prstGeom>
                          <a:noFill/>
                          <a:ln>
                            <a:noFill/>
                          </a:ln>
                        </pic:spPr>
                      </pic:pic>
                    </a:graphicData>
                  </a:graphic>
                </wp:anchor>
              </w:drawing>
            </w:r>
            <w:r>
              <w:rPr>
                <w:rFonts w:hint="eastAsia" w:ascii="宋体" w:hAnsi="宋体" w:cs="宋体"/>
                <w:color w:val="auto"/>
                <w:kern w:val="0"/>
                <w:szCs w:val="21"/>
                <w:bdr w:val="single" w:color="000000" w:sz="4" w:space="0"/>
                <w:lang w:bidi="ar"/>
              </w:rPr>
              <w:drawing>
                <wp:anchor distT="0" distB="0" distL="114300" distR="114300" simplePos="0" relativeHeight="251907072" behindDoc="0" locked="0" layoutInCell="1" allowOverlap="1">
                  <wp:simplePos x="0" y="0"/>
                  <wp:positionH relativeFrom="column">
                    <wp:posOffset>662305</wp:posOffset>
                  </wp:positionH>
                  <wp:positionV relativeFrom="paragraph">
                    <wp:posOffset>0</wp:posOffset>
                  </wp:positionV>
                  <wp:extent cx="16510" cy="10160"/>
                  <wp:effectExtent l="0" t="0" r="0" b="0"/>
                  <wp:wrapNone/>
                  <wp:docPr id="101" name="图片_5_SpCnt_46"/>
                  <wp:cNvGraphicFramePr/>
                  <a:graphic xmlns:a="http://schemas.openxmlformats.org/drawingml/2006/main">
                    <a:graphicData uri="http://schemas.openxmlformats.org/drawingml/2006/picture">
                      <pic:pic xmlns:pic="http://schemas.openxmlformats.org/drawingml/2006/picture">
                        <pic:nvPicPr>
                          <pic:cNvPr id="101" name="图片_5_SpCnt_46"/>
                          <pic:cNvPicPr/>
                        </pic:nvPicPr>
                        <pic:blipFill>
                          <a:blip r:embed="rId8"/>
                          <a:stretch>
                            <a:fillRect/>
                          </a:stretch>
                        </pic:blipFill>
                        <pic:spPr>
                          <a:xfrm>
                            <a:off x="0" y="0"/>
                            <a:ext cx="16510" cy="10160"/>
                          </a:xfrm>
                          <a:prstGeom prst="rect">
                            <a:avLst/>
                          </a:prstGeom>
                          <a:noFill/>
                          <a:ln>
                            <a:noFill/>
                          </a:ln>
                        </pic:spPr>
                      </pic:pic>
                    </a:graphicData>
                  </a:graphic>
                </wp:anchor>
              </w:drawing>
            </w:r>
            <w:r>
              <w:rPr>
                <w:rFonts w:hint="eastAsia" w:ascii="宋体" w:hAnsi="宋体" w:cs="宋体"/>
                <w:color w:val="auto"/>
                <w:kern w:val="0"/>
                <w:szCs w:val="21"/>
                <w:lang w:bidi="ar"/>
              </w:rPr>
              <w:t>USB 7.1声道， 线长 2.2m高保真振膜喇叭，高灵敏消噪，包耳式设计不压耳。</w:t>
            </w:r>
          </w:p>
        </w:tc>
        <w:tc>
          <w:tcPr>
            <w:tcW w:w="710" w:type="dxa"/>
            <w:tcBorders>
              <w:top w:val="single" w:color="000000" w:sz="4" w:space="0"/>
              <w:left w:val="single" w:color="000000" w:sz="4" w:space="0"/>
              <w:bottom w:val="single" w:color="000000" w:sz="4" w:space="0"/>
              <w:right w:val="single" w:color="000000" w:sz="4" w:space="0"/>
            </w:tcBorders>
            <w:vAlign w:val="center"/>
          </w:tcPr>
          <w:p w14:paraId="15E74D07">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55</w:t>
            </w:r>
          </w:p>
        </w:tc>
        <w:tc>
          <w:tcPr>
            <w:tcW w:w="660" w:type="dxa"/>
            <w:tcBorders>
              <w:top w:val="single" w:color="000000" w:sz="4" w:space="0"/>
              <w:left w:val="single" w:color="000000" w:sz="4" w:space="0"/>
              <w:bottom w:val="single" w:color="000000" w:sz="4" w:space="0"/>
              <w:right w:val="single" w:color="000000" w:sz="4" w:space="0"/>
            </w:tcBorders>
            <w:vAlign w:val="center"/>
          </w:tcPr>
          <w:p w14:paraId="6582CC20">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付</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65DDC582">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185</w:t>
            </w:r>
          </w:p>
        </w:tc>
      </w:tr>
      <w:tr w14:paraId="5283DF68">
        <w:tblPrEx>
          <w:tblCellMar>
            <w:top w:w="0" w:type="dxa"/>
            <w:left w:w="108" w:type="dxa"/>
            <w:bottom w:w="0" w:type="dxa"/>
            <w:right w:w="108" w:type="dxa"/>
          </w:tblCellMar>
        </w:tblPrEx>
        <w:trPr>
          <w:trHeight w:val="508" w:hRule="atLeast"/>
        </w:trPr>
        <w:tc>
          <w:tcPr>
            <w:tcW w:w="765" w:type="dxa"/>
            <w:tcBorders>
              <w:top w:val="single" w:color="000000" w:sz="4" w:space="0"/>
              <w:left w:val="single" w:color="000000" w:sz="4" w:space="0"/>
              <w:bottom w:val="single" w:color="000000" w:sz="4" w:space="0"/>
              <w:right w:val="single" w:color="000000" w:sz="4" w:space="0"/>
            </w:tcBorders>
            <w:vAlign w:val="center"/>
          </w:tcPr>
          <w:p w14:paraId="7669A466">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5</w:t>
            </w:r>
          </w:p>
        </w:tc>
        <w:tc>
          <w:tcPr>
            <w:tcW w:w="1151" w:type="dxa"/>
            <w:tcBorders>
              <w:top w:val="single" w:color="000000" w:sz="4" w:space="0"/>
              <w:left w:val="single" w:color="000000" w:sz="4" w:space="0"/>
              <w:bottom w:val="single" w:color="000000" w:sz="4" w:space="0"/>
              <w:right w:val="single" w:color="000000" w:sz="4" w:space="0"/>
            </w:tcBorders>
            <w:vAlign w:val="center"/>
          </w:tcPr>
          <w:p w14:paraId="4DD4E5E0">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网线</w:t>
            </w:r>
          </w:p>
        </w:tc>
        <w:tc>
          <w:tcPr>
            <w:tcW w:w="6018" w:type="dxa"/>
            <w:tcBorders>
              <w:top w:val="single" w:color="000000" w:sz="4" w:space="0"/>
              <w:left w:val="single" w:color="000000" w:sz="4" w:space="0"/>
              <w:bottom w:val="single" w:color="000000" w:sz="4" w:space="0"/>
              <w:right w:val="single" w:color="000000" w:sz="4" w:space="0"/>
            </w:tcBorders>
            <w:vAlign w:val="center"/>
          </w:tcPr>
          <w:p w14:paraId="7B838FEC">
            <w:pPr>
              <w:widowControl/>
              <w:spacing w:line="360" w:lineRule="auto"/>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六类非屏蔽双绞线</w:t>
            </w:r>
          </w:p>
        </w:tc>
        <w:tc>
          <w:tcPr>
            <w:tcW w:w="710" w:type="dxa"/>
            <w:tcBorders>
              <w:top w:val="single" w:color="000000" w:sz="4" w:space="0"/>
              <w:left w:val="single" w:color="000000" w:sz="4" w:space="0"/>
              <w:bottom w:val="single" w:color="000000" w:sz="4" w:space="0"/>
              <w:right w:val="single" w:color="000000" w:sz="4" w:space="0"/>
            </w:tcBorders>
            <w:vAlign w:val="center"/>
          </w:tcPr>
          <w:p w14:paraId="013550DE">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3</w:t>
            </w:r>
          </w:p>
        </w:tc>
        <w:tc>
          <w:tcPr>
            <w:tcW w:w="660" w:type="dxa"/>
            <w:tcBorders>
              <w:top w:val="single" w:color="000000" w:sz="4" w:space="0"/>
              <w:left w:val="single" w:color="000000" w:sz="4" w:space="0"/>
              <w:bottom w:val="single" w:color="000000" w:sz="4" w:space="0"/>
              <w:right w:val="single" w:color="000000" w:sz="4" w:space="0"/>
            </w:tcBorders>
            <w:vAlign w:val="center"/>
          </w:tcPr>
          <w:p w14:paraId="756BF923">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箱</w:t>
            </w:r>
          </w:p>
        </w:tc>
        <w:tc>
          <w:tcPr>
            <w:tcW w:w="1242" w:type="dxa"/>
            <w:tcBorders>
              <w:top w:val="single" w:color="000000" w:sz="4" w:space="0"/>
              <w:left w:val="single" w:color="000000" w:sz="4" w:space="0"/>
              <w:bottom w:val="single" w:color="000000" w:sz="4" w:space="0"/>
              <w:right w:val="single" w:color="000000" w:sz="4" w:space="0"/>
            </w:tcBorders>
            <w:noWrap/>
            <w:vAlign w:val="center"/>
          </w:tcPr>
          <w:p w14:paraId="4A419F2A">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960</w:t>
            </w:r>
          </w:p>
        </w:tc>
      </w:tr>
      <w:tr w14:paraId="4C10DD36">
        <w:tblPrEx>
          <w:tblCellMar>
            <w:top w:w="0" w:type="dxa"/>
            <w:left w:w="108" w:type="dxa"/>
            <w:bottom w:w="0" w:type="dxa"/>
            <w:right w:w="108" w:type="dxa"/>
          </w:tblCellMar>
        </w:tblPrEx>
        <w:trPr>
          <w:trHeight w:val="685" w:hRule="atLeast"/>
        </w:trPr>
        <w:tc>
          <w:tcPr>
            <w:tcW w:w="765" w:type="dxa"/>
            <w:tcBorders>
              <w:top w:val="single" w:color="000000" w:sz="4" w:space="0"/>
              <w:left w:val="single" w:color="000000" w:sz="4" w:space="0"/>
              <w:bottom w:val="single" w:color="000000" w:sz="4" w:space="0"/>
              <w:right w:val="single" w:color="000000" w:sz="4" w:space="0"/>
            </w:tcBorders>
            <w:vAlign w:val="center"/>
          </w:tcPr>
          <w:p w14:paraId="281E67C2">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6</w:t>
            </w:r>
          </w:p>
        </w:tc>
        <w:tc>
          <w:tcPr>
            <w:tcW w:w="1151" w:type="dxa"/>
            <w:tcBorders>
              <w:top w:val="single" w:color="000000" w:sz="4" w:space="0"/>
              <w:left w:val="single" w:color="000000" w:sz="4" w:space="0"/>
              <w:bottom w:val="single" w:color="000000" w:sz="4" w:space="0"/>
              <w:right w:val="single" w:color="000000" w:sz="4" w:space="0"/>
            </w:tcBorders>
            <w:vAlign w:val="center"/>
          </w:tcPr>
          <w:p w14:paraId="317F4230">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电源线</w:t>
            </w:r>
          </w:p>
        </w:tc>
        <w:tc>
          <w:tcPr>
            <w:tcW w:w="6018" w:type="dxa"/>
            <w:tcBorders>
              <w:top w:val="single" w:color="000000" w:sz="4" w:space="0"/>
              <w:left w:val="single" w:color="000000" w:sz="4" w:space="0"/>
              <w:bottom w:val="single" w:color="000000" w:sz="4" w:space="0"/>
              <w:right w:val="single" w:color="000000" w:sz="4" w:space="0"/>
            </w:tcBorders>
            <w:vAlign w:val="center"/>
          </w:tcPr>
          <w:p w14:paraId="7A1AF490">
            <w:pPr>
              <w:widowControl/>
              <w:spacing w:line="360" w:lineRule="auto"/>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教室电脑、监控、门禁用电线材</w:t>
            </w:r>
          </w:p>
        </w:tc>
        <w:tc>
          <w:tcPr>
            <w:tcW w:w="710" w:type="dxa"/>
            <w:tcBorders>
              <w:top w:val="single" w:color="000000" w:sz="4" w:space="0"/>
              <w:left w:val="single" w:color="000000" w:sz="4" w:space="0"/>
              <w:bottom w:val="single" w:color="000000" w:sz="4" w:space="0"/>
              <w:right w:val="single" w:color="000000" w:sz="4" w:space="0"/>
            </w:tcBorders>
            <w:vAlign w:val="center"/>
          </w:tcPr>
          <w:p w14:paraId="7725434D">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w:t>
            </w:r>
          </w:p>
        </w:tc>
        <w:tc>
          <w:tcPr>
            <w:tcW w:w="660" w:type="dxa"/>
            <w:tcBorders>
              <w:top w:val="single" w:color="000000" w:sz="4" w:space="0"/>
              <w:left w:val="single" w:color="000000" w:sz="4" w:space="0"/>
              <w:bottom w:val="single" w:color="000000" w:sz="4" w:space="0"/>
              <w:right w:val="single" w:color="000000" w:sz="4" w:space="0"/>
            </w:tcBorders>
            <w:vAlign w:val="center"/>
          </w:tcPr>
          <w:p w14:paraId="6B93DF13">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批</w:t>
            </w:r>
          </w:p>
        </w:tc>
        <w:tc>
          <w:tcPr>
            <w:tcW w:w="1242" w:type="dxa"/>
            <w:tcBorders>
              <w:top w:val="single" w:color="000000" w:sz="4" w:space="0"/>
              <w:left w:val="single" w:color="000000" w:sz="4" w:space="0"/>
              <w:bottom w:val="single" w:color="000000" w:sz="4" w:space="0"/>
              <w:right w:val="single" w:color="000000" w:sz="4" w:space="0"/>
            </w:tcBorders>
            <w:vAlign w:val="center"/>
          </w:tcPr>
          <w:p w14:paraId="22E1D0B8">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7955</w:t>
            </w:r>
          </w:p>
        </w:tc>
      </w:tr>
      <w:tr w14:paraId="0E173510">
        <w:tblPrEx>
          <w:tblCellMar>
            <w:top w:w="0" w:type="dxa"/>
            <w:left w:w="108" w:type="dxa"/>
            <w:bottom w:w="0" w:type="dxa"/>
            <w:right w:w="108" w:type="dxa"/>
          </w:tblCellMar>
        </w:tblPrEx>
        <w:trPr>
          <w:trHeight w:val="820" w:hRule="atLeast"/>
        </w:trPr>
        <w:tc>
          <w:tcPr>
            <w:tcW w:w="765" w:type="dxa"/>
            <w:tcBorders>
              <w:top w:val="single" w:color="000000" w:sz="4" w:space="0"/>
              <w:left w:val="single" w:color="000000" w:sz="4" w:space="0"/>
              <w:bottom w:val="single" w:color="000000" w:sz="4" w:space="0"/>
              <w:right w:val="single" w:color="000000" w:sz="4" w:space="0"/>
            </w:tcBorders>
            <w:vAlign w:val="center"/>
          </w:tcPr>
          <w:p w14:paraId="3E034D90">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7</w:t>
            </w:r>
          </w:p>
        </w:tc>
        <w:tc>
          <w:tcPr>
            <w:tcW w:w="1151" w:type="dxa"/>
            <w:tcBorders>
              <w:top w:val="single" w:color="000000" w:sz="4" w:space="0"/>
              <w:left w:val="single" w:color="000000" w:sz="4" w:space="0"/>
              <w:bottom w:val="single" w:color="000000" w:sz="4" w:space="0"/>
              <w:right w:val="single" w:color="000000" w:sz="4" w:space="0"/>
            </w:tcBorders>
            <w:vAlign w:val="center"/>
          </w:tcPr>
          <w:p w14:paraId="1FC36B33">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文化墙建设</w:t>
            </w:r>
          </w:p>
        </w:tc>
        <w:tc>
          <w:tcPr>
            <w:tcW w:w="6018" w:type="dxa"/>
            <w:tcBorders>
              <w:top w:val="single" w:color="000000" w:sz="4" w:space="0"/>
              <w:left w:val="single" w:color="000000" w:sz="4" w:space="0"/>
              <w:bottom w:val="single" w:color="000000" w:sz="4" w:space="0"/>
              <w:right w:val="single" w:color="000000" w:sz="4" w:space="0"/>
            </w:tcBorders>
            <w:vAlign w:val="center"/>
          </w:tcPr>
          <w:p w14:paraId="26F44DDC">
            <w:pPr>
              <w:widowControl/>
              <w:spacing w:line="360" w:lineRule="auto"/>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左右两面墙壁的文化墙建设（按80平方建设实施，带专业学科内容文化展示，宣传专业文化的多样性和创新科技性内容，墙面基础处理采取环保涂料形式、立体造型展示采取生态木材、环保PVC板或者环保亚克力板装饰）</w:t>
            </w:r>
          </w:p>
        </w:tc>
        <w:tc>
          <w:tcPr>
            <w:tcW w:w="710" w:type="dxa"/>
            <w:tcBorders>
              <w:top w:val="single" w:color="000000" w:sz="4" w:space="0"/>
              <w:left w:val="single" w:color="000000" w:sz="4" w:space="0"/>
              <w:bottom w:val="single" w:color="000000" w:sz="4" w:space="0"/>
              <w:right w:val="single" w:color="000000" w:sz="4" w:space="0"/>
            </w:tcBorders>
            <w:vAlign w:val="center"/>
          </w:tcPr>
          <w:p w14:paraId="055BAB98">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w:t>
            </w:r>
          </w:p>
        </w:tc>
        <w:tc>
          <w:tcPr>
            <w:tcW w:w="660" w:type="dxa"/>
            <w:tcBorders>
              <w:top w:val="single" w:color="000000" w:sz="4" w:space="0"/>
              <w:left w:val="single" w:color="000000" w:sz="4" w:space="0"/>
              <w:bottom w:val="single" w:color="000000" w:sz="4" w:space="0"/>
              <w:right w:val="single" w:color="000000" w:sz="4" w:space="0"/>
            </w:tcBorders>
            <w:vAlign w:val="center"/>
          </w:tcPr>
          <w:p w14:paraId="28D2A250">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项</w:t>
            </w:r>
          </w:p>
        </w:tc>
        <w:tc>
          <w:tcPr>
            <w:tcW w:w="1242" w:type="dxa"/>
            <w:tcBorders>
              <w:top w:val="single" w:color="000000" w:sz="4" w:space="0"/>
              <w:left w:val="single" w:color="000000" w:sz="4" w:space="0"/>
              <w:bottom w:val="single" w:color="000000" w:sz="4" w:space="0"/>
              <w:right w:val="single" w:color="000000" w:sz="4" w:space="0"/>
            </w:tcBorders>
            <w:vAlign w:val="center"/>
          </w:tcPr>
          <w:p w14:paraId="33A9A477">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18500</w:t>
            </w:r>
          </w:p>
        </w:tc>
      </w:tr>
      <w:tr w14:paraId="483FD26E">
        <w:tblPrEx>
          <w:tblCellMar>
            <w:top w:w="0" w:type="dxa"/>
            <w:left w:w="108" w:type="dxa"/>
            <w:bottom w:w="0" w:type="dxa"/>
            <w:right w:w="108" w:type="dxa"/>
          </w:tblCellMar>
        </w:tblPrEx>
        <w:trPr>
          <w:trHeight w:val="2400" w:hRule="atLeast"/>
        </w:trPr>
        <w:tc>
          <w:tcPr>
            <w:tcW w:w="765" w:type="dxa"/>
            <w:tcBorders>
              <w:top w:val="single" w:color="000000" w:sz="4" w:space="0"/>
              <w:left w:val="single" w:color="000000" w:sz="4" w:space="0"/>
              <w:bottom w:val="single" w:color="000000" w:sz="4" w:space="0"/>
              <w:right w:val="single" w:color="000000" w:sz="4" w:space="0"/>
            </w:tcBorders>
            <w:vAlign w:val="center"/>
          </w:tcPr>
          <w:p w14:paraId="2B5B5365">
            <w:pPr>
              <w:widowControl/>
              <w:spacing w:line="360" w:lineRule="auto"/>
              <w:jc w:val="center"/>
              <w:textAlignment w:val="center"/>
              <w:rPr>
                <w:rFonts w:hint="eastAsia" w:ascii="宋体" w:hAnsi="宋体" w:cs="宋体"/>
                <w:color w:val="auto"/>
                <w:kern w:val="0"/>
                <w:szCs w:val="21"/>
                <w:lang w:bidi="ar"/>
              </w:rPr>
            </w:pPr>
            <w:bookmarkStart w:id="27" w:name="_Hlk201797270"/>
            <w:r>
              <w:rPr>
                <w:rFonts w:hint="eastAsia" w:ascii="宋体" w:hAnsi="宋体" w:cs="宋体"/>
                <w:color w:val="auto"/>
                <w:kern w:val="0"/>
                <w:szCs w:val="21"/>
                <w:lang w:bidi="ar"/>
              </w:rPr>
              <w:t>8</w:t>
            </w:r>
          </w:p>
        </w:tc>
        <w:tc>
          <w:tcPr>
            <w:tcW w:w="1151" w:type="dxa"/>
            <w:tcBorders>
              <w:top w:val="single" w:color="000000" w:sz="4" w:space="0"/>
              <w:left w:val="single" w:color="000000" w:sz="4" w:space="0"/>
              <w:bottom w:val="single" w:color="000000" w:sz="4" w:space="0"/>
              <w:right w:val="single" w:color="000000" w:sz="4" w:space="0"/>
            </w:tcBorders>
            <w:vAlign w:val="center"/>
          </w:tcPr>
          <w:p w14:paraId="699B2673">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管理平台</w:t>
            </w:r>
          </w:p>
        </w:tc>
        <w:tc>
          <w:tcPr>
            <w:tcW w:w="6018" w:type="dxa"/>
            <w:tcBorders>
              <w:top w:val="single" w:color="000000" w:sz="4" w:space="0"/>
              <w:left w:val="single" w:color="000000" w:sz="4" w:space="0"/>
              <w:bottom w:val="single" w:color="000000" w:sz="4" w:space="0"/>
              <w:right w:val="single" w:color="000000" w:sz="4" w:space="0"/>
            </w:tcBorders>
            <w:vAlign w:val="center"/>
          </w:tcPr>
          <w:p w14:paraId="001F050A">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管理平台：1..登录方式多样性：支持账号/密码和手机微信扫码两种登录方式。</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2.设备管理：可实现实时监控学生机画面、以及进行统一的教学管理，文件共享和回收。</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3.人员管理：学校超级管理员可以添加教师和管理员的角色，添加之后管理员能够绑定设备和进行正常的授课工作，教师只能在终端应用软件进行授课操作。</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4.教师云空间：支持老师自定义上传、存储文件内容。</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支持上传的格式有：</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文档：ppt、pptx、word、pdf;</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图片：bmp、png、jpg、jpeg、gif;</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音视频：mp3、wav、ogg、aac、mp4</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5.教师广播：不需要借助任何外接设备，支持将教师机的画面以及声音广播给全班学生。</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6.学生演示：支持老师将指定学生的屏幕画面广播给其他所有学生，同时老师也能看到该指定学生的屏幕图像。</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▲7.下发课堂活动：在开启授课时支持教师发起不低于4种课堂活动，支持学生拖动答案进行作答，系统将自动判断是否正确。（提供国家认可的第三方检测机构出具的关于该功能检测报告复印件）</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8.课堂活动作答：支持学生在完成教师下发的课堂活动时，查看自己的排名、耗时以及答题情况。</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9.学生未进入课堂通知：支持在管理后台录入学生名单后，教师选择授课班级，学生在开课后输入个人姓名即可完成班级点名签到，当未签到人数低于6人时会自动显示未进入课堂的学生名单。</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10.切换课堂通知：当课堂通知大于或等于2条时，支持用户手动切换查看。</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▲11.教学白板课件同步：支持同步教学白板软件的课件内容，支持按照大小、更新时间进行排序，支持按照按照文件类型进行筛选。（提供国家认可的第三方检测机构出具的关于该功能检测报告复印件）</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12.文件上传：支持上传“本地文件”到终端应用软件的教师云空间。</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13.文件共享：支持教师把云空间的文件批量共享给指定的多个授课班级，资料被删除后文件仍可重新下载。支持教师把已共享的资料进行取消共享。（提供国家认可的第三方检测机构出具的关于该功能检测报告复印件）</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14.授课班级状态：当作业空间存在多个班级的时候，支持显示当前正在授课班级。</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15.文件查看：当开启需输入姓名进入课堂功能时，系统支持按照班级学生的姓名归档查看学生提交的作业文件。</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▲16.导入文件共享：支持教师直接把“我的文件”内容导入共享给班级学生。（提供国家认可的第三方检测机构出具的关于该功能检测报告复印件）</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17.黑屏管控：教师可以选定学生执行黑屏操作。</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 xml:space="preserve">18.离线自动黑屏：支持教师统一配置授课是否开启离线黑屏；                                                  19.三年有限保修免费上门，可选30分钟电话响应，第二日上门，365天全年无休。 </w:t>
            </w:r>
          </w:p>
        </w:tc>
        <w:tc>
          <w:tcPr>
            <w:tcW w:w="710" w:type="dxa"/>
            <w:tcBorders>
              <w:top w:val="single" w:color="000000" w:sz="4" w:space="0"/>
              <w:left w:val="single" w:color="000000" w:sz="4" w:space="0"/>
              <w:bottom w:val="single" w:color="000000" w:sz="4" w:space="0"/>
              <w:right w:val="single" w:color="000000" w:sz="4" w:space="0"/>
            </w:tcBorders>
            <w:vAlign w:val="center"/>
          </w:tcPr>
          <w:p w14:paraId="4110FC64">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55</w:t>
            </w:r>
          </w:p>
        </w:tc>
        <w:tc>
          <w:tcPr>
            <w:tcW w:w="660" w:type="dxa"/>
            <w:tcBorders>
              <w:top w:val="single" w:color="000000" w:sz="4" w:space="0"/>
              <w:left w:val="single" w:color="000000" w:sz="4" w:space="0"/>
              <w:bottom w:val="single" w:color="000000" w:sz="4" w:space="0"/>
              <w:right w:val="single" w:color="000000" w:sz="4" w:space="0"/>
            </w:tcBorders>
            <w:vAlign w:val="center"/>
          </w:tcPr>
          <w:p w14:paraId="43AF652A">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套</w:t>
            </w:r>
          </w:p>
        </w:tc>
        <w:tc>
          <w:tcPr>
            <w:tcW w:w="1242" w:type="dxa"/>
            <w:tcBorders>
              <w:top w:val="single" w:color="000000" w:sz="4" w:space="0"/>
              <w:left w:val="single" w:color="000000" w:sz="4" w:space="0"/>
              <w:bottom w:val="single" w:color="000000" w:sz="4" w:space="0"/>
              <w:right w:val="single" w:color="000000" w:sz="4" w:space="0"/>
            </w:tcBorders>
            <w:vAlign w:val="center"/>
          </w:tcPr>
          <w:p w14:paraId="3AC8E682">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155</w:t>
            </w:r>
          </w:p>
        </w:tc>
      </w:tr>
      <w:bookmarkEnd w:id="27"/>
      <w:tr w14:paraId="282817E0">
        <w:tblPrEx>
          <w:tblCellMar>
            <w:top w:w="0" w:type="dxa"/>
            <w:left w:w="108" w:type="dxa"/>
            <w:bottom w:w="0" w:type="dxa"/>
            <w:right w:w="108" w:type="dxa"/>
          </w:tblCellMar>
        </w:tblPrEx>
        <w:trPr>
          <w:trHeight w:val="820" w:hRule="atLeast"/>
        </w:trPr>
        <w:tc>
          <w:tcPr>
            <w:tcW w:w="765" w:type="dxa"/>
            <w:tcBorders>
              <w:top w:val="single" w:color="000000" w:sz="4" w:space="0"/>
              <w:left w:val="single" w:color="000000" w:sz="4" w:space="0"/>
              <w:bottom w:val="single" w:color="000000" w:sz="4" w:space="0"/>
              <w:right w:val="single" w:color="000000" w:sz="4" w:space="0"/>
            </w:tcBorders>
            <w:vAlign w:val="center"/>
          </w:tcPr>
          <w:p w14:paraId="5378B18F">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9</w:t>
            </w:r>
          </w:p>
        </w:tc>
        <w:tc>
          <w:tcPr>
            <w:tcW w:w="1151" w:type="dxa"/>
            <w:tcBorders>
              <w:top w:val="single" w:color="000000" w:sz="4" w:space="0"/>
              <w:left w:val="single" w:color="000000" w:sz="4" w:space="0"/>
              <w:bottom w:val="single" w:color="000000" w:sz="4" w:space="0"/>
              <w:right w:val="single" w:color="000000" w:sz="4" w:space="0"/>
            </w:tcBorders>
            <w:vAlign w:val="center"/>
          </w:tcPr>
          <w:p w14:paraId="58408E7E">
            <w:pPr>
              <w:widowControl/>
              <w:spacing w:line="360" w:lineRule="auto"/>
              <w:jc w:val="left"/>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门禁安装</w:t>
            </w:r>
          </w:p>
        </w:tc>
        <w:tc>
          <w:tcPr>
            <w:tcW w:w="6018" w:type="dxa"/>
            <w:tcBorders>
              <w:top w:val="single" w:color="000000" w:sz="4" w:space="0"/>
              <w:left w:val="single" w:color="000000" w:sz="4" w:space="0"/>
              <w:bottom w:val="single" w:color="000000" w:sz="4" w:space="0"/>
              <w:right w:val="single" w:color="000000" w:sz="4" w:space="0"/>
            </w:tcBorders>
          </w:tcPr>
          <w:p w14:paraId="3FA765EB">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性能参数：读卡类型：无声音提示：一个蜂鸣器，一个扬声器</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按键：机械式按键指纹容量：3000枚</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工作电压：DC 12VUSB接口：USB2.0</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液晶显示器：2.4寸 LCLED指示灯：电源/状态</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外形体积：205mm*76.5mm*37mm（长*宽*厚）工作电流：1A(max)（无负载状态）合法卡存储：3000刷卡记录容量：10万</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指纹类型：光学式指纹</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通讯方式：TCP/IP;WIFI门铃：1防拆：1开门按钮：1门磁：1报警输入：1</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电锁输出：1环境参数工作温度：-10℃～55℃</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工作湿度：10%至90%(在不凝结水滴状态下)防水等级：室内，不防水</w:t>
            </w:r>
          </w:p>
        </w:tc>
        <w:tc>
          <w:tcPr>
            <w:tcW w:w="710" w:type="dxa"/>
            <w:tcBorders>
              <w:top w:val="single" w:color="000000" w:sz="4" w:space="0"/>
              <w:left w:val="single" w:color="000000" w:sz="4" w:space="0"/>
              <w:bottom w:val="single" w:color="000000" w:sz="4" w:space="0"/>
              <w:right w:val="single" w:color="000000" w:sz="4" w:space="0"/>
            </w:tcBorders>
            <w:vAlign w:val="center"/>
          </w:tcPr>
          <w:p w14:paraId="13FDC2AA">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w:t>
            </w:r>
          </w:p>
        </w:tc>
        <w:tc>
          <w:tcPr>
            <w:tcW w:w="660" w:type="dxa"/>
            <w:tcBorders>
              <w:top w:val="single" w:color="000000" w:sz="4" w:space="0"/>
              <w:left w:val="single" w:color="000000" w:sz="4" w:space="0"/>
              <w:bottom w:val="single" w:color="000000" w:sz="4" w:space="0"/>
              <w:right w:val="single" w:color="000000" w:sz="4" w:space="0"/>
            </w:tcBorders>
            <w:vAlign w:val="center"/>
          </w:tcPr>
          <w:p w14:paraId="0921A284">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项</w:t>
            </w:r>
          </w:p>
        </w:tc>
        <w:tc>
          <w:tcPr>
            <w:tcW w:w="1242" w:type="dxa"/>
            <w:tcBorders>
              <w:top w:val="single" w:color="000000" w:sz="4" w:space="0"/>
              <w:left w:val="single" w:color="000000" w:sz="4" w:space="0"/>
              <w:bottom w:val="single" w:color="000000" w:sz="4" w:space="0"/>
              <w:right w:val="single" w:color="000000" w:sz="4" w:space="0"/>
            </w:tcBorders>
            <w:vAlign w:val="center"/>
          </w:tcPr>
          <w:p w14:paraId="6A64629D">
            <w:pPr>
              <w:widowControl/>
              <w:spacing w:line="360" w:lineRule="auto"/>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1970</w:t>
            </w:r>
          </w:p>
        </w:tc>
      </w:tr>
      <w:tr w14:paraId="2301FA70">
        <w:tblPrEx>
          <w:tblCellMar>
            <w:top w:w="0" w:type="dxa"/>
            <w:left w:w="108" w:type="dxa"/>
            <w:bottom w:w="0" w:type="dxa"/>
            <w:right w:w="108" w:type="dxa"/>
          </w:tblCellMar>
        </w:tblPrEx>
        <w:trPr>
          <w:trHeight w:val="728" w:hRule="atLeast"/>
        </w:trPr>
        <w:tc>
          <w:tcPr>
            <w:tcW w:w="10546" w:type="dxa"/>
            <w:gridSpan w:val="6"/>
            <w:tcBorders>
              <w:top w:val="single" w:color="000000" w:sz="4" w:space="0"/>
              <w:left w:val="single" w:color="000000" w:sz="4" w:space="0"/>
              <w:bottom w:val="single" w:color="000000" w:sz="4" w:space="0"/>
              <w:right w:val="single" w:color="000000" w:sz="4" w:space="0"/>
            </w:tcBorders>
            <w:vAlign w:val="center"/>
          </w:tcPr>
          <w:p w14:paraId="2528A300">
            <w:pPr>
              <w:widowControl/>
              <w:spacing w:line="360" w:lineRule="auto"/>
              <w:ind w:firstLine="422"/>
              <w:jc w:val="left"/>
              <w:textAlignment w:val="center"/>
              <w:rPr>
                <w:rFonts w:hint="eastAsia" w:ascii="宋体" w:hAnsi="宋体" w:cs="宋体"/>
                <w:b/>
                <w:color w:val="auto"/>
                <w:szCs w:val="21"/>
              </w:rPr>
            </w:pPr>
            <w:r>
              <w:rPr>
                <w:rFonts w:hint="eastAsia" w:ascii="宋体" w:hAnsi="宋体" w:cs="宋体"/>
                <w:b/>
                <w:bCs/>
                <w:color w:val="auto"/>
                <w:szCs w:val="21"/>
              </w:rPr>
              <w:t>二、</w:t>
            </w:r>
            <w:r>
              <w:rPr>
                <w:rFonts w:hint="eastAsia" w:ascii="宋体" w:hAnsi="宋体" w:cs="宋体"/>
                <w:b/>
                <w:color w:val="auto"/>
                <w:kern w:val="0"/>
                <w:szCs w:val="21"/>
              </w:rPr>
              <w:t>本项目核心产品为第</w:t>
            </w:r>
            <w:r>
              <w:rPr>
                <w:rFonts w:hint="eastAsia" w:ascii="宋体" w:hAnsi="宋体" w:cs="宋体"/>
                <w:b/>
                <w:color w:val="auto"/>
                <w:kern w:val="0"/>
                <w:szCs w:val="21"/>
                <w:u w:val="single"/>
              </w:rPr>
              <w:t xml:space="preserve"> 6 </w:t>
            </w:r>
            <w:r>
              <w:rPr>
                <w:rFonts w:hint="eastAsia" w:ascii="宋体" w:hAnsi="宋体" w:cs="宋体"/>
                <w:b/>
                <w:color w:val="auto"/>
                <w:kern w:val="0"/>
                <w:szCs w:val="21"/>
              </w:rPr>
              <w:t>项号“</w:t>
            </w:r>
            <w:r>
              <w:rPr>
                <w:rFonts w:hint="eastAsia" w:ascii="宋体" w:hAnsi="宋体" w:cs="宋体"/>
                <w:b/>
                <w:color w:val="auto"/>
                <w:kern w:val="0"/>
                <w:szCs w:val="21"/>
                <w:u w:val="single"/>
              </w:rPr>
              <w:t xml:space="preserve"> 老年人能力综合评估实训系统  </w:t>
            </w:r>
            <w:r>
              <w:rPr>
                <w:rFonts w:hint="eastAsia" w:ascii="宋体" w:hAnsi="宋体" w:cs="宋体"/>
                <w:b/>
                <w:color w:val="auto"/>
                <w:kern w:val="0"/>
                <w:szCs w:val="21"/>
              </w:rPr>
              <w:t>”。</w:t>
            </w:r>
          </w:p>
        </w:tc>
      </w:tr>
      <w:tr w14:paraId="500DD360">
        <w:tblPrEx>
          <w:tblCellMar>
            <w:top w:w="0" w:type="dxa"/>
            <w:left w:w="108" w:type="dxa"/>
            <w:bottom w:w="0" w:type="dxa"/>
            <w:right w:w="108" w:type="dxa"/>
          </w:tblCellMar>
        </w:tblPrEx>
        <w:trPr>
          <w:trHeight w:val="496" w:hRule="atLeast"/>
        </w:trPr>
        <w:tc>
          <w:tcPr>
            <w:tcW w:w="10546" w:type="dxa"/>
            <w:gridSpan w:val="6"/>
            <w:tcBorders>
              <w:top w:val="single" w:color="000000" w:sz="4" w:space="0"/>
              <w:left w:val="single" w:color="000000" w:sz="4" w:space="0"/>
              <w:bottom w:val="single" w:color="000000" w:sz="4" w:space="0"/>
              <w:right w:val="single" w:color="000000" w:sz="4" w:space="0"/>
            </w:tcBorders>
            <w:vAlign w:val="center"/>
          </w:tcPr>
          <w:p w14:paraId="1DF16073">
            <w:pPr>
              <w:widowControl/>
              <w:spacing w:line="360" w:lineRule="auto"/>
              <w:ind w:firstLine="422"/>
              <w:jc w:val="left"/>
              <w:textAlignment w:val="center"/>
              <w:rPr>
                <w:rFonts w:hint="eastAsia" w:ascii="宋体" w:hAnsi="宋体" w:cs="宋体"/>
                <w:color w:val="auto"/>
                <w:kern w:val="0"/>
                <w:szCs w:val="21"/>
                <w:lang w:bidi="ar"/>
              </w:rPr>
            </w:pPr>
            <w:r>
              <w:rPr>
                <w:rFonts w:hint="eastAsia" w:ascii="宋体" w:hAnsi="宋体" w:cs="宋体"/>
                <w:b/>
                <w:color w:val="auto"/>
                <w:kern w:val="0"/>
                <w:szCs w:val="21"/>
              </w:rPr>
              <w:t>三、商务要求</w:t>
            </w:r>
          </w:p>
        </w:tc>
      </w:tr>
      <w:tr w14:paraId="1CC82A8E">
        <w:tblPrEx>
          <w:tblCellMar>
            <w:top w:w="0" w:type="dxa"/>
            <w:left w:w="108" w:type="dxa"/>
            <w:bottom w:w="0" w:type="dxa"/>
            <w:right w:w="108" w:type="dxa"/>
          </w:tblCellMar>
        </w:tblPrEx>
        <w:trPr>
          <w:trHeight w:val="1273" w:hRule="atLeast"/>
        </w:trPr>
        <w:tc>
          <w:tcPr>
            <w:tcW w:w="1916" w:type="dxa"/>
            <w:gridSpan w:val="2"/>
            <w:tcBorders>
              <w:top w:val="single" w:color="000000" w:sz="4" w:space="0"/>
              <w:left w:val="single" w:color="000000" w:sz="4" w:space="0"/>
              <w:bottom w:val="single" w:color="000000" w:sz="4" w:space="0"/>
              <w:right w:val="single" w:color="000000" w:sz="4" w:space="0"/>
            </w:tcBorders>
            <w:vAlign w:val="center"/>
          </w:tcPr>
          <w:p w14:paraId="3D72DB2C">
            <w:pPr>
              <w:widowControl/>
              <w:tabs>
                <w:tab w:val="left" w:pos="180"/>
                <w:tab w:val="left" w:pos="1620"/>
              </w:tabs>
              <w:adjustRightInd w:val="0"/>
              <w:snapToGrid w:val="0"/>
              <w:spacing w:line="360" w:lineRule="auto"/>
              <w:ind w:firstLine="422"/>
              <w:jc w:val="center"/>
              <w:rPr>
                <w:rFonts w:hint="eastAsia" w:ascii="宋体" w:hAnsi="宋体" w:cs="宋体"/>
                <w:b/>
                <w:color w:val="auto"/>
                <w:szCs w:val="21"/>
              </w:rPr>
            </w:pPr>
            <w:r>
              <w:rPr>
                <w:rFonts w:hint="eastAsia" w:ascii="宋体" w:hAnsi="宋体" w:cs="宋体"/>
                <w:b/>
                <w:color w:val="auto"/>
                <w:szCs w:val="21"/>
              </w:rPr>
              <w:t>★（一）</w:t>
            </w:r>
            <w:r>
              <w:rPr>
                <w:rFonts w:hint="eastAsia" w:ascii="宋体" w:hAnsi="宋体" w:cs="宋体"/>
                <w:b/>
                <w:color w:val="auto"/>
                <w:kern w:val="0"/>
                <w:szCs w:val="21"/>
              </w:rPr>
              <w:t>售后服务</w:t>
            </w:r>
          </w:p>
        </w:tc>
        <w:tc>
          <w:tcPr>
            <w:tcW w:w="8630" w:type="dxa"/>
            <w:gridSpan w:val="4"/>
            <w:tcBorders>
              <w:top w:val="single" w:color="000000" w:sz="4" w:space="0"/>
              <w:left w:val="single" w:color="000000" w:sz="4" w:space="0"/>
              <w:bottom w:val="single" w:color="000000" w:sz="4" w:space="0"/>
              <w:right w:val="single" w:color="000000" w:sz="4" w:space="0"/>
            </w:tcBorders>
          </w:tcPr>
          <w:p w14:paraId="7A4F03E4">
            <w:pPr>
              <w:widowControl/>
              <w:spacing w:line="360" w:lineRule="auto"/>
              <w:jc w:val="left"/>
              <w:textAlignment w:val="top"/>
              <w:rPr>
                <w:color w:val="auto"/>
                <w:kern w:val="0"/>
              </w:rPr>
            </w:pPr>
            <w:r>
              <w:rPr>
                <w:color w:val="auto"/>
                <w:kern w:val="0"/>
              </w:rPr>
              <w:t>1.免费质保期：按国家有关产品“三包”规定执行“三包”，免费质保期最短不得少于1年（属于实行国家强制保修政策的除外）（采购需求有单独要求的按其执行），自交货并验收合格之日起计。免费质保期内上门维修免收维修费、元器件费和上门费，并提供终身维修服务。免费质保期结束后零配件若损坏，中标人只收取成本费用。</w:t>
            </w:r>
          </w:p>
          <w:p w14:paraId="44554B06">
            <w:pPr>
              <w:widowControl/>
              <w:spacing w:line="360" w:lineRule="auto"/>
              <w:jc w:val="left"/>
              <w:textAlignment w:val="top"/>
              <w:rPr>
                <w:color w:val="auto"/>
                <w:kern w:val="0"/>
              </w:rPr>
            </w:pPr>
            <w:r>
              <w:rPr>
                <w:color w:val="auto"/>
                <w:kern w:val="0"/>
              </w:rPr>
              <w:t>2.包装和运输：应在货物发运前对其进行满足运输距离、防潮、防震、防锈和防破损装卸等要求包装，以保证货物安全运达采购人指定地点，免费送货上门。</w:t>
            </w:r>
          </w:p>
          <w:p w14:paraId="172BEF23">
            <w:pPr>
              <w:widowControl/>
              <w:spacing w:line="360" w:lineRule="auto"/>
              <w:jc w:val="left"/>
              <w:textAlignment w:val="top"/>
              <w:rPr>
                <w:color w:val="auto"/>
                <w:kern w:val="0"/>
              </w:rPr>
            </w:pPr>
            <w:r>
              <w:rPr>
                <w:color w:val="auto"/>
                <w:kern w:val="0"/>
              </w:rPr>
              <w:t>3.免费安装、免费调试，免费提供现场技术培训，保证使用人员正常操作设备的各种功能；其余按供应商承诺进行。</w:t>
            </w:r>
          </w:p>
          <w:p w14:paraId="0B81CFE9">
            <w:pPr>
              <w:widowControl/>
              <w:spacing w:line="360" w:lineRule="auto"/>
              <w:jc w:val="left"/>
              <w:textAlignment w:val="top"/>
              <w:rPr>
                <w:color w:val="auto"/>
                <w:kern w:val="0"/>
              </w:rPr>
            </w:pPr>
            <w:r>
              <w:rPr>
                <w:color w:val="auto"/>
                <w:kern w:val="0"/>
              </w:rPr>
              <w:t>4.在免费质保期内，非使用原因致使设备质量问题造成设备损坏，其全部费用由中标人负责；</w:t>
            </w:r>
          </w:p>
          <w:p w14:paraId="0E11C7FB">
            <w:pPr>
              <w:widowControl/>
              <w:spacing w:line="360" w:lineRule="auto"/>
              <w:jc w:val="left"/>
              <w:textAlignment w:val="top"/>
              <w:rPr>
                <w:color w:val="auto"/>
                <w:kern w:val="0"/>
              </w:rPr>
            </w:pPr>
            <w:r>
              <w:rPr>
                <w:color w:val="auto"/>
                <w:kern w:val="0"/>
              </w:rPr>
              <w:t>5.中标人在接到采购人故障报修通知后30分钟内作出响应，中标产品厂商指定的售后服务机构所派技术人员必须2小时内到达故障现场，24小时内排除故障，若24小时内无法排除故障应提供备件保证实训室正常运行。</w:t>
            </w:r>
          </w:p>
          <w:p w14:paraId="5B31B3B6">
            <w:pPr>
              <w:widowControl/>
              <w:spacing w:line="360" w:lineRule="auto"/>
              <w:jc w:val="left"/>
              <w:textAlignment w:val="top"/>
              <w:rPr>
                <w:rFonts w:hint="eastAsia" w:ascii="宋体" w:hAnsi="宋体" w:cs="宋体"/>
                <w:color w:val="auto"/>
                <w:kern w:val="0"/>
                <w:szCs w:val="21"/>
                <w:lang w:bidi="ar"/>
              </w:rPr>
            </w:pPr>
            <w:r>
              <w:rPr>
                <w:color w:val="auto"/>
                <w:kern w:val="0"/>
              </w:rPr>
              <w:t>6.免费质保期内，如果需要更换配件的，要求更换的配件应跟被更换的品牌、类型相一致或者是同类同档次的替代品，后者需征得用户方管理人员同意。</w:t>
            </w:r>
          </w:p>
        </w:tc>
      </w:tr>
      <w:tr w14:paraId="36B1116E">
        <w:tblPrEx>
          <w:tblCellMar>
            <w:top w:w="0" w:type="dxa"/>
            <w:left w:w="108" w:type="dxa"/>
            <w:bottom w:w="0" w:type="dxa"/>
            <w:right w:w="108" w:type="dxa"/>
          </w:tblCellMar>
        </w:tblPrEx>
        <w:trPr>
          <w:trHeight w:val="820" w:hRule="atLeast"/>
        </w:trPr>
        <w:tc>
          <w:tcPr>
            <w:tcW w:w="1916" w:type="dxa"/>
            <w:gridSpan w:val="2"/>
            <w:tcBorders>
              <w:top w:val="single" w:color="000000" w:sz="4" w:space="0"/>
              <w:left w:val="single" w:color="000000" w:sz="4" w:space="0"/>
              <w:bottom w:val="single" w:color="000000" w:sz="4" w:space="0"/>
              <w:right w:val="single" w:color="000000" w:sz="4" w:space="0"/>
            </w:tcBorders>
            <w:vAlign w:val="center"/>
          </w:tcPr>
          <w:p w14:paraId="46155078">
            <w:pPr>
              <w:widowControl/>
              <w:adjustRightInd w:val="0"/>
              <w:snapToGrid w:val="0"/>
              <w:spacing w:line="360" w:lineRule="auto"/>
              <w:ind w:firstLine="422"/>
              <w:jc w:val="center"/>
              <w:rPr>
                <w:rFonts w:hint="eastAsia" w:ascii="宋体" w:hAnsi="宋体" w:cs="宋体"/>
                <w:b/>
                <w:color w:val="auto"/>
                <w:kern w:val="0"/>
                <w:szCs w:val="21"/>
              </w:rPr>
            </w:pPr>
            <w:r>
              <w:rPr>
                <w:rFonts w:hint="eastAsia" w:ascii="宋体" w:hAnsi="宋体" w:cs="宋体"/>
                <w:b/>
                <w:color w:val="auto"/>
                <w:szCs w:val="21"/>
              </w:rPr>
              <w:t>★</w:t>
            </w:r>
            <w:r>
              <w:rPr>
                <w:rFonts w:hint="eastAsia" w:ascii="宋体" w:hAnsi="宋体" w:cs="宋体"/>
                <w:b/>
                <w:color w:val="auto"/>
                <w:kern w:val="0"/>
                <w:szCs w:val="21"/>
              </w:rPr>
              <w:t>（二）标的交付</w:t>
            </w:r>
          </w:p>
        </w:tc>
        <w:tc>
          <w:tcPr>
            <w:tcW w:w="8630" w:type="dxa"/>
            <w:gridSpan w:val="4"/>
            <w:tcBorders>
              <w:top w:val="single" w:color="000000" w:sz="4" w:space="0"/>
              <w:left w:val="single" w:color="000000" w:sz="4" w:space="0"/>
              <w:bottom w:val="single" w:color="000000" w:sz="4" w:space="0"/>
              <w:right w:val="single" w:color="000000" w:sz="4" w:space="0"/>
            </w:tcBorders>
            <w:vAlign w:val="center"/>
          </w:tcPr>
          <w:p w14:paraId="3ABCDEFD">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1、交付使用期：自签订合同之日起20个日历日内全部安装调试合格并交付使用。</w:t>
            </w:r>
          </w:p>
          <w:p w14:paraId="7AC3701D">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2、交付地点：广西桂林市内采购人指定地点。</w:t>
            </w:r>
          </w:p>
        </w:tc>
      </w:tr>
      <w:tr w14:paraId="33AE6302">
        <w:tblPrEx>
          <w:tblCellMar>
            <w:top w:w="0" w:type="dxa"/>
            <w:left w:w="108" w:type="dxa"/>
            <w:bottom w:w="0" w:type="dxa"/>
            <w:right w:w="108" w:type="dxa"/>
          </w:tblCellMar>
        </w:tblPrEx>
        <w:trPr>
          <w:trHeight w:val="820" w:hRule="atLeast"/>
        </w:trPr>
        <w:tc>
          <w:tcPr>
            <w:tcW w:w="1916" w:type="dxa"/>
            <w:gridSpan w:val="2"/>
            <w:tcBorders>
              <w:top w:val="single" w:color="000000" w:sz="4" w:space="0"/>
              <w:left w:val="single" w:color="000000" w:sz="4" w:space="0"/>
              <w:bottom w:val="single" w:color="000000" w:sz="4" w:space="0"/>
              <w:right w:val="single" w:color="000000" w:sz="4" w:space="0"/>
            </w:tcBorders>
            <w:vAlign w:val="center"/>
          </w:tcPr>
          <w:p w14:paraId="41F67D68">
            <w:pPr>
              <w:widowControl/>
              <w:tabs>
                <w:tab w:val="left" w:pos="180"/>
                <w:tab w:val="left" w:pos="1620"/>
              </w:tabs>
              <w:adjustRightInd w:val="0"/>
              <w:snapToGrid w:val="0"/>
              <w:spacing w:line="360" w:lineRule="auto"/>
              <w:ind w:firstLine="422"/>
              <w:jc w:val="center"/>
              <w:rPr>
                <w:rFonts w:hint="eastAsia" w:ascii="宋体" w:hAnsi="宋体" w:cs="宋体"/>
                <w:b/>
                <w:color w:val="auto"/>
                <w:spacing w:val="-2"/>
                <w:szCs w:val="21"/>
              </w:rPr>
            </w:pPr>
            <w:r>
              <w:rPr>
                <w:rFonts w:hint="eastAsia" w:ascii="宋体" w:hAnsi="宋体" w:cs="宋体"/>
                <w:b/>
                <w:color w:val="auto"/>
                <w:szCs w:val="21"/>
              </w:rPr>
              <w:t>★</w:t>
            </w:r>
            <w:r>
              <w:rPr>
                <w:rFonts w:hint="eastAsia" w:ascii="宋体" w:hAnsi="宋体" w:cs="宋体"/>
                <w:b/>
                <w:color w:val="auto"/>
                <w:kern w:val="0"/>
                <w:szCs w:val="21"/>
              </w:rPr>
              <w:t>（三）付款方式</w:t>
            </w:r>
          </w:p>
        </w:tc>
        <w:tc>
          <w:tcPr>
            <w:tcW w:w="8630" w:type="dxa"/>
            <w:gridSpan w:val="4"/>
            <w:tcBorders>
              <w:top w:val="single" w:color="000000" w:sz="4" w:space="0"/>
              <w:left w:val="single" w:color="000000" w:sz="4" w:space="0"/>
              <w:bottom w:val="single" w:color="000000" w:sz="4" w:space="0"/>
              <w:right w:val="single" w:color="000000" w:sz="4" w:space="0"/>
            </w:tcBorders>
            <w:vAlign w:val="center"/>
          </w:tcPr>
          <w:p w14:paraId="2835CD75">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1、全部货物安装调试完毕并验收合格后，中标供应商提供相应的增值税专用发票后30个工作日内支付合同价款的100%。</w:t>
            </w:r>
          </w:p>
          <w:p w14:paraId="3317D0B4">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2、采购人付款前，投标人应向采购人开具等额有效的发票，采购人未收到发票的，有权不予支付相应款项直至投标人提供合格发票，并不承担延迟付款责任。发票认证通过是付款的必要前提之一。</w:t>
            </w:r>
          </w:p>
        </w:tc>
      </w:tr>
      <w:tr w14:paraId="17315F5A">
        <w:tblPrEx>
          <w:tblCellMar>
            <w:top w:w="0" w:type="dxa"/>
            <w:left w:w="108" w:type="dxa"/>
            <w:bottom w:w="0" w:type="dxa"/>
            <w:right w:w="108" w:type="dxa"/>
          </w:tblCellMar>
        </w:tblPrEx>
        <w:trPr>
          <w:trHeight w:val="820" w:hRule="atLeast"/>
        </w:trPr>
        <w:tc>
          <w:tcPr>
            <w:tcW w:w="1916" w:type="dxa"/>
            <w:gridSpan w:val="2"/>
            <w:tcBorders>
              <w:top w:val="single" w:color="000000" w:sz="4" w:space="0"/>
              <w:left w:val="single" w:color="000000" w:sz="4" w:space="0"/>
              <w:bottom w:val="single" w:color="000000" w:sz="4" w:space="0"/>
              <w:right w:val="single" w:color="000000" w:sz="4" w:space="0"/>
            </w:tcBorders>
            <w:vAlign w:val="center"/>
          </w:tcPr>
          <w:p w14:paraId="4419007E">
            <w:pPr>
              <w:widowControl/>
              <w:adjustRightInd w:val="0"/>
              <w:snapToGrid w:val="0"/>
              <w:spacing w:line="360" w:lineRule="auto"/>
              <w:ind w:firstLine="422"/>
              <w:jc w:val="center"/>
              <w:rPr>
                <w:rFonts w:hint="eastAsia" w:ascii="宋体" w:hAnsi="宋体" w:cs="宋体"/>
                <w:b/>
                <w:color w:val="auto"/>
                <w:kern w:val="0"/>
                <w:szCs w:val="21"/>
              </w:rPr>
            </w:pPr>
            <w:r>
              <w:rPr>
                <w:rFonts w:hint="eastAsia" w:ascii="宋体" w:hAnsi="宋体" w:cs="宋体"/>
                <w:b/>
                <w:color w:val="auto"/>
                <w:szCs w:val="21"/>
              </w:rPr>
              <w:t>★</w:t>
            </w:r>
            <w:r>
              <w:rPr>
                <w:rFonts w:hint="eastAsia" w:ascii="宋体" w:hAnsi="宋体" w:cs="宋体"/>
                <w:b/>
                <w:color w:val="auto"/>
                <w:kern w:val="0"/>
                <w:szCs w:val="21"/>
              </w:rPr>
              <w:t>（四）验收要求</w:t>
            </w:r>
          </w:p>
        </w:tc>
        <w:tc>
          <w:tcPr>
            <w:tcW w:w="8630" w:type="dxa"/>
            <w:gridSpan w:val="4"/>
            <w:tcBorders>
              <w:top w:val="single" w:color="000000" w:sz="4" w:space="0"/>
              <w:left w:val="single" w:color="000000" w:sz="4" w:space="0"/>
              <w:bottom w:val="single" w:color="000000" w:sz="4" w:space="0"/>
              <w:right w:val="single" w:color="000000" w:sz="4" w:space="0"/>
            </w:tcBorders>
          </w:tcPr>
          <w:p w14:paraId="0E34C788">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1、投标人向采购人提供的货物必须是全新的原装产品。</w:t>
            </w:r>
          </w:p>
          <w:p w14:paraId="19D75326">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2、验收过程中所产生的一切费用均由投标人承担，报价时应考虑相关费用。</w:t>
            </w:r>
          </w:p>
          <w:p w14:paraId="749D88C2">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3、投标人在货物验收时由采购人对照采购文件的功能目标及技术指标全面核对检验，对所有要求出具的证明文件的原件进行核查，如不符合采购文件的技术需求及要求以及提供虚假承诺的，按相关规定做退货处理及违约处理，投标人承担所有责任和费用，采购人保留进一步追究责任的权利。</w:t>
            </w:r>
          </w:p>
          <w:p w14:paraId="5A945DE8">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4、本采购文件的相关要求。</w:t>
            </w:r>
          </w:p>
          <w:p w14:paraId="08E3689F">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5、国家相关法律、法规、标准和规范等。</w:t>
            </w:r>
          </w:p>
        </w:tc>
      </w:tr>
      <w:tr w14:paraId="2523B66A">
        <w:tblPrEx>
          <w:tblCellMar>
            <w:top w:w="0" w:type="dxa"/>
            <w:left w:w="108" w:type="dxa"/>
            <w:bottom w:w="0" w:type="dxa"/>
            <w:right w:w="108" w:type="dxa"/>
          </w:tblCellMar>
        </w:tblPrEx>
        <w:trPr>
          <w:trHeight w:val="820" w:hRule="atLeast"/>
        </w:trPr>
        <w:tc>
          <w:tcPr>
            <w:tcW w:w="1916" w:type="dxa"/>
            <w:gridSpan w:val="2"/>
            <w:tcBorders>
              <w:top w:val="single" w:color="000000" w:sz="4" w:space="0"/>
              <w:left w:val="single" w:color="000000" w:sz="4" w:space="0"/>
              <w:bottom w:val="single" w:color="000000" w:sz="4" w:space="0"/>
              <w:right w:val="single" w:color="000000" w:sz="4" w:space="0"/>
            </w:tcBorders>
            <w:vAlign w:val="center"/>
          </w:tcPr>
          <w:p w14:paraId="5C23AD07">
            <w:pPr>
              <w:widowControl/>
              <w:adjustRightInd w:val="0"/>
              <w:snapToGrid w:val="0"/>
              <w:spacing w:line="360" w:lineRule="auto"/>
              <w:ind w:firstLine="422"/>
              <w:jc w:val="center"/>
              <w:rPr>
                <w:rFonts w:hint="eastAsia" w:ascii="宋体" w:hAnsi="宋体" w:cs="宋体"/>
                <w:b/>
                <w:color w:val="auto"/>
                <w:kern w:val="0"/>
                <w:szCs w:val="21"/>
              </w:rPr>
            </w:pPr>
            <w:r>
              <w:rPr>
                <w:rFonts w:hint="eastAsia" w:ascii="宋体" w:hAnsi="宋体" w:cs="宋体"/>
                <w:b/>
                <w:color w:val="auto"/>
                <w:szCs w:val="21"/>
              </w:rPr>
              <w:t>★</w:t>
            </w:r>
            <w:r>
              <w:rPr>
                <w:rFonts w:hint="eastAsia" w:ascii="宋体" w:hAnsi="宋体" w:cs="宋体"/>
                <w:b/>
                <w:color w:val="auto"/>
                <w:kern w:val="0"/>
                <w:szCs w:val="21"/>
              </w:rPr>
              <w:t>（五）包装和运输</w:t>
            </w:r>
          </w:p>
        </w:tc>
        <w:tc>
          <w:tcPr>
            <w:tcW w:w="8630" w:type="dxa"/>
            <w:gridSpan w:val="4"/>
            <w:tcBorders>
              <w:top w:val="single" w:color="000000" w:sz="4" w:space="0"/>
              <w:left w:val="single" w:color="000000" w:sz="4" w:space="0"/>
              <w:bottom w:val="single" w:color="000000" w:sz="4" w:space="0"/>
              <w:right w:val="single" w:color="000000" w:sz="4" w:space="0"/>
            </w:tcBorders>
            <w:vAlign w:val="center"/>
          </w:tcPr>
          <w:p w14:paraId="5FB1BB42">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1.原厂原包装，包装完好、完整无破损、未开封。</w:t>
            </w:r>
          </w:p>
          <w:p w14:paraId="4069CB63">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2.包装及运输方式应综合考虑运输距离、防潮、防震、防锈和防破损装卸等要求。</w:t>
            </w:r>
          </w:p>
          <w:p w14:paraId="35AC6AD5">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3.国家对包装及运输有相关强制性标准或要求的，投标人应当执行。</w:t>
            </w:r>
          </w:p>
          <w:p w14:paraId="328B4D5D">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4.产品（含包装）运抵采购人指定交付地点前发生损坏的，相关损失由投标人自行承担。</w:t>
            </w:r>
          </w:p>
        </w:tc>
      </w:tr>
      <w:tr w14:paraId="5035F7AC">
        <w:tblPrEx>
          <w:tblCellMar>
            <w:top w:w="0" w:type="dxa"/>
            <w:left w:w="108" w:type="dxa"/>
            <w:bottom w:w="0" w:type="dxa"/>
            <w:right w:w="108" w:type="dxa"/>
          </w:tblCellMar>
        </w:tblPrEx>
        <w:trPr>
          <w:trHeight w:val="820" w:hRule="atLeast"/>
        </w:trPr>
        <w:tc>
          <w:tcPr>
            <w:tcW w:w="1916" w:type="dxa"/>
            <w:gridSpan w:val="2"/>
            <w:tcBorders>
              <w:top w:val="single" w:color="000000" w:sz="4" w:space="0"/>
              <w:left w:val="single" w:color="000000" w:sz="4" w:space="0"/>
              <w:bottom w:val="single" w:color="000000" w:sz="4" w:space="0"/>
              <w:right w:val="single" w:color="000000" w:sz="4" w:space="0"/>
            </w:tcBorders>
            <w:vAlign w:val="center"/>
          </w:tcPr>
          <w:p w14:paraId="6619BAE0">
            <w:pPr>
              <w:widowControl/>
              <w:adjustRightInd w:val="0"/>
              <w:snapToGrid w:val="0"/>
              <w:spacing w:line="360" w:lineRule="auto"/>
              <w:ind w:firstLine="422"/>
              <w:jc w:val="center"/>
              <w:rPr>
                <w:rFonts w:hint="eastAsia" w:ascii="宋体" w:hAnsi="宋体" w:cs="宋体"/>
                <w:b/>
                <w:color w:val="auto"/>
                <w:kern w:val="0"/>
                <w:szCs w:val="21"/>
              </w:rPr>
            </w:pPr>
            <w:r>
              <w:rPr>
                <w:rFonts w:hint="eastAsia" w:ascii="宋体" w:hAnsi="宋体" w:cs="宋体"/>
                <w:b/>
                <w:color w:val="auto"/>
                <w:szCs w:val="21"/>
              </w:rPr>
              <w:t>★</w:t>
            </w:r>
            <w:r>
              <w:rPr>
                <w:rFonts w:hint="eastAsia" w:ascii="宋体" w:hAnsi="宋体" w:cs="宋体"/>
                <w:b/>
                <w:color w:val="auto"/>
                <w:kern w:val="0"/>
                <w:szCs w:val="21"/>
              </w:rPr>
              <w:t>（六）保险</w:t>
            </w:r>
          </w:p>
        </w:tc>
        <w:tc>
          <w:tcPr>
            <w:tcW w:w="8630" w:type="dxa"/>
            <w:gridSpan w:val="4"/>
            <w:tcBorders>
              <w:top w:val="single" w:color="000000" w:sz="4" w:space="0"/>
              <w:left w:val="single" w:color="000000" w:sz="4" w:space="0"/>
              <w:bottom w:val="single" w:color="000000" w:sz="4" w:space="0"/>
              <w:right w:val="single" w:color="000000" w:sz="4" w:space="0"/>
            </w:tcBorders>
            <w:vAlign w:val="center"/>
          </w:tcPr>
          <w:p w14:paraId="04231053">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若投标人为所投标的及标的涉及的相关材料、设备、人员、运输等投保的，保险相关费用由投标人自行承担。</w:t>
            </w:r>
          </w:p>
        </w:tc>
      </w:tr>
      <w:tr w14:paraId="52080961">
        <w:tblPrEx>
          <w:tblCellMar>
            <w:top w:w="0" w:type="dxa"/>
            <w:left w:w="108" w:type="dxa"/>
            <w:bottom w:w="0" w:type="dxa"/>
            <w:right w:w="108" w:type="dxa"/>
          </w:tblCellMar>
        </w:tblPrEx>
        <w:trPr>
          <w:trHeight w:val="606" w:hRule="atLeast"/>
        </w:trPr>
        <w:tc>
          <w:tcPr>
            <w:tcW w:w="10546" w:type="dxa"/>
            <w:gridSpan w:val="6"/>
            <w:tcBorders>
              <w:top w:val="single" w:color="000000" w:sz="4" w:space="0"/>
              <w:left w:val="single" w:color="000000" w:sz="4" w:space="0"/>
              <w:bottom w:val="single" w:color="000000" w:sz="4" w:space="0"/>
              <w:right w:val="single" w:color="000000" w:sz="4" w:space="0"/>
            </w:tcBorders>
            <w:vAlign w:val="center"/>
          </w:tcPr>
          <w:p w14:paraId="416B722D">
            <w:pPr>
              <w:widowControl/>
              <w:spacing w:line="360" w:lineRule="auto"/>
              <w:ind w:left="422"/>
              <w:jc w:val="left"/>
              <w:textAlignment w:val="center"/>
              <w:rPr>
                <w:rFonts w:hint="eastAsia" w:ascii="宋体" w:hAnsi="宋体" w:cs="宋体"/>
                <w:color w:val="auto"/>
                <w:kern w:val="0"/>
                <w:szCs w:val="21"/>
                <w:lang w:bidi="ar"/>
              </w:rPr>
            </w:pPr>
            <w:r>
              <w:rPr>
                <w:rFonts w:hint="eastAsia" w:ascii="宋体" w:hAnsi="宋体" w:cs="宋体"/>
                <w:b/>
                <w:bCs/>
                <w:color w:val="auto"/>
                <w:kern w:val="0"/>
                <w:szCs w:val="21"/>
              </w:rPr>
              <w:t>四、其他要求</w:t>
            </w:r>
          </w:p>
        </w:tc>
      </w:tr>
      <w:tr w14:paraId="2C102B4F">
        <w:tblPrEx>
          <w:tblCellMar>
            <w:top w:w="0" w:type="dxa"/>
            <w:left w:w="108" w:type="dxa"/>
            <w:bottom w:w="0" w:type="dxa"/>
            <w:right w:w="108" w:type="dxa"/>
          </w:tblCellMar>
        </w:tblPrEx>
        <w:trPr>
          <w:trHeight w:val="3207" w:hRule="atLeast"/>
        </w:trPr>
        <w:tc>
          <w:tcPr>
            <w:tcW w:w="10546" w:type="dxa"/>
            <w:gridSpan w:val="6"/>
            <w:tcBorders>
              <w:top w:val="single" w:color="000000" w:sz="4" w:space="0"/>
              <w:left w:val="single" w:color="000000" w:sz="4" w:space="0"/>
              <w:bottom w:val="single" w:color="000000" w:sz="4" w:space="0"/>
              <w:right w:val="single" w:color="000000" w:sz="4" w:space="0"/>
            </w:tcBorders>
            <w:vAlign w:val="center"/>
          </w:tcPr>
          <w:p w14:paraId="195CB0B2">
            <w:pPr>
              <w:widowControl/>
              <w:tabs>
                <w:tab w:val="left" w:pos="312"/>
              </w:tabs>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1.本项目政府采购预算金额为人民币壹佰零壹万叁仟肆佰壹拾伍元整（￥1013415.00），报价超出采购预算金额的按响应无效处理。</w:t>
            </w:r>
          </w:p>
          <w:p w14:paraId="13F36A11">
            <w:pPr>
              <w:widowControl/>
              <w:tabs>
                <w:tab w:val="left" w:pos="312"/>
              </w:tabs>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2.本项目货物不接受进口产品（即通过中国海关报关验放进入中国境内且产自关境外的产品），如有此类产品参与投标的，按响应无效处理。</w:t>
            </w:r>
          </w:p>
          <w:p w14:paraId="7C38DA00">
            <w:pPr>
              <w:widowControl/>
              <w:spacing w:line="360" w:lineRule="auto"/>
              <w:jc w:val="left"/>
              <w:textAlignment w:val="top"/>
              <w:rPr>
                <w:rFonts w:hint="eastAsia" w:ascii="宋体" w:hAnsi="宋体" w:cs="宋体"/>
                <w:color w:val="auto"/>
                <w:kern w:val="0"/>
                <w:szCs w:val="21"/>
                <w:lang w:bidi="ar"/>
              </w:rPr>
            </w:pPr>
            <w:r>
              <w:rPr>
                <w:rFonts w:hint="eastAsia" w:ascii="宋体" w:hAnsi="宋体" w:cs="宋体"/>
                <w:color w:val="auto"/>
                <w:kern w:val="0"/>
                <w:szCs w:val="21"/>
                <w:lang w:bidi="ar"/>
              </w:rPr>
              <w:t>3.投标报价应包括本次采购范围内货物货款、货物标准附件、备品备件、专用工具、包装、运输、装卸、保险、税金、货到就位以及安装、安装所需辅材、调试、培训、保修和采购文件要求提供的所有伴随服务、工程等费用和税费。</w:t>
            </w:r>
          </w:p>
        </w:tc>
      </w:tr>
    </w:tbl>
    <w:p w14:paraId="035A528A">
      <w:pPr>
        <w:ind w:firstLine="643"/>
        <w:rPr>
          <w:rFonts w:hint="eastAsia" w:ascii="宋体" w:hAnsi="宋体"/>
          <w:b/>
          <w:color w:val="auto"/>
          <w:sz w:val="32"/>
          <w:szCs w:val="32"/>
        </w:rPr>
      </w:pPr>
      <w:r>
        <w:rPr>
          <w:rFonts w:hint="eastAsia" w:ascii="宋体" w:hAnsi="宋体"/>
          <w:b/>
          <w:color w:val="auto"/>
          <w:sz w:val="32"/>
          <w:szCs w:val="32"/>
        </w:rPr>
        <w:br w:type="page"/>
      </w:r>
    </w:p>
    <w:p w14:paraId="3B1D2DA2">
      <w:pPr>
        <w:rPr>
          <w:rFonts w:hint="eastAsia" w:ascii="宋体" w:hAnsi="宋体"/>
          <w:b/>
          <w:color w:val="auto"/>
          <w:sz w:val="32"/>
          <w:szCs w:val="32"/>
        </w:rPr>
      </w:pPr>
    </w:p>
    <w:p w14:paraId="696C6DDA">
      <w:pPr>
        <w:spacing w:line="396" w:lineRule="exact"/>
        <w:jc w:val="center"/>
        <w:outlineLvl w:val="0"/>
        <w:rPr>
          <w:rFonts w:hint="eastAsia" w:ascii="宋体" w:hAnsi="宋体"/>
          <w:b/>
          <w:color w:val="auto"/>
          <w:highlight w:val="yellow"/>
        </w:rPr>
      </w:pPr>
      <w:r>
        <w:rPr>
          <w:rFonts w:hint="eastAsia" w:ascii="宋体" w:hAnsi="宋体"/>
          <w:b/>
          <w:color w:val="auto"/>
          <w:sz w:val="32"/>
          <w:szCs w:val="32"/>
        </w:rPr>
        <w:t>第四章  评标办法</w:t>
      </w:r>
      <w:bookmarkEnd w:id="11"/>
    </w:p>
    <w:p w14:paraId="7FBF2167">
      <w:pPr>
        <w:spacing w:line="400" w:lineRule="exact"/>
        <w:jc w:val="center"/>
        <w:rPr>
          <w:rFonts w:hint="eastAsia" w:ascii="宋体" w:hAnsi="宋体"/>
          <w:b/>
          <w:color w:val="auto"/>
          <w:sz w:val="32"/>
          <w:szCs w:val="32"/>
        </w:rPr>
      </w:pPr>
    </w:p>
    <w:p w14:paraId="62716B1F">
      <w:pPr>
        <w:spacing w:line="360" w:lineRule="exact"/>
        <w:ind w:firstLine="424" w:firstLineChars="176"/>
        <w:rPr>
          <w:rFonts w:hint="eastAsia" w:ascii="宋体" w:hAnsi="宋体"/>
          <w:b/>
          <w:color w:val="auto"/>
          <w:kern w:val="0"/>
          <w:sz w:val="24"/>
          <w:szCs w:val="21"/>
        </w:rPr>
      </w:pPr>
      <w:r>
        <w:rPr>
          <w:rFonts w:hint="eastAsia" w:ascii="宋体" w:hAnsi="宋体"/>
          <w:b/>
          <w:color w:val="auto"/>
          <w:kern w:val="0"/>
          <w:sz w:val="24"/>
          <w:szCs w:val="21"/>
        </w:rPr>
        <w:t xml:space="preserve">一、投标文件评审（初步评审） </w:t>
      </w:r>
    </w:p>
    <w:p w14:paraId="34276419">
      <w:pPr>
        <w:spacing w:line="360" w:lineRule="exact"/>
        <w:ind w:firstLine="369" w:firstLineChars="176"/>
        <w:rPr>
          <w:rFonts w:hint="eastAsia" w:ascii="宋体" w:hAnsi="宋体"/>
          <w:color w:val="auto"/>
          <w:szCs w:val="21"/>
        </w:rPr>
      </w:pPr>
      <w:r>
        <w:rPr>
          <w:rFonts w:hint="eastAsia" w:ascii="宋体" w:hAnsi="宋体"/>
          <w:color w:val="auto"/>
          <w:szCs w:val="21"/>
        </w:rPr>
        <w:t>1.采购人依据法律法规和招标文件的规定，对投标文件中的资格证明进行资格性审查，以确定投标投标人是否具备投标资格。</w:t>
      </w:r>
    </w:p>
    <w:p w14:paraId="6637D2C5">
      <w:pPr>
        <w:spacing w:line="360" w:lineRule="exact"/>
        <w:ind w:firstLine="369" w:firstLineChars="176"/>
        <w:rPr>
          <w:rFonts w:hint="eastAsia" w:ascii="宋体" w:hAnsi="宋体"/>
          <w:color w:val="auto"/>
          <w:szCs w:val="21"/>
        </w:rPr>
      </w:pPr>
      <w:r>
        <w:rPr>
          <w:rFonts w:hint="eastAsia" w:ascii="宋体" w:hAnsi="宋体"/>
          <w:color w:val="auto"/>
          <w:szCs w:val="21"/>
        </w:rPr>
        <w:t>2.评标委员会依据招标文件的规定，从投标文件的有效性、完整性和对招标文件的响应程度进行符合性审查，以确定是否对招标文件的实质性要求作出响应。</w:t>
      </w:r>
    </w:p>
    <w:p w14:paraId="069DB88B">
      <w:pPr>
        <w:spacing w:line="360" w:lineRule="exact"/>
        <w:ind w:firstLine="424" w:firstLineChars="176"/>
        <w:rPr>
          <w:rFonts w:hint="eastAsia" w:ascii="宋体" w:hAnsi="宋体"/>
          <w:b/>
          <w:bCs/>
          <w:color w:val="auto"/>
          <w:sz w:val="24"/>
          <w:szCs w:val="21"/>
        </w:rPr>
      </w:pPr>
      <w:r>
        <w:rPr>
          <w:rFonts w:hint="eastAsia" w:ascii="宋体" w:hAnsi="宋体"/>
          <w:b/>
          <w:color w:val="auto"/>
          <w:sz w:val="24"/>
          <w:szCs w:val="21"/>
        </w:rPr>
        <w:t>二、</w:t>
      </w:r>
      <w:r>
        <w:rPr>
          <w:rFonts w:hint="eastAsia" w:ascii="宋体" w:hAnsi="宋体"/>
          <w:b/>
          <w:bCs/>
          <w:color w:val="auto"/>
          <w:sz w:val="24"/>
          <w:szCs w:val="21"/>
        </w:rPr>
        <w:t>投标文件评审（详细评审）</w:t>
      </w:r>
    </w:p>
    <w:p w14:paraId="6BBD7254">
      <w:pPr>
        <w:spacing w:line="360" w:lineRule="exact"/>
        <w:ind w:firstLine="369" w:firstLineChars="176"/>
        <w:rPr>
          <w:rFonts w:hint="eastAsia" w:ascii="宋体" w:hAnsi="宋体"/>
          <w:color w:val="auto"/>
          <w:szCs w:val="21"/>
        </w:rPr>
      </w:pPr>
      <w:r>
        <w:rPr>
          <w:rFonts w:hint="eastAsia" w:ascii="宋体" w:hAnsi="宋体"/>
          <w:color w:val="auto"/>
          <w:szCs w:val="21"/>
        </w:rPr>
        <w:t>（一）评标依据：评标委员会以招标文件和投标文件为评标依据，对投标人的投标报价、技术、</w:t>
      </w:r>
      <w:r>
        <w:rPr>
          <w:rFonts w:hint="eastAsia" w:ascii="宋体" w:hAnsi="宋体" w:cs="宋体"/>
          <w:color w:val="auto"/>
          <w:szCs w:val="21"/>
        </w:rPr>
        <w:t>商务</w:t>
      </w:r>
      <w:r>
        <w:rPr>
          <w:rFonts w:hint="eastAsia" w:ascii="宋体" w:hAnsi="宋体"/>
          <w:color w:val="auto"/>
          <w:szCs w:val="21"/>
        </w:rPr>
        <w:t>等方面内容按百分制打分。</w:t>
      </w:r>
    </w:p>
    <w:p w14:paraId="5DD7E571">
      <w:pPr>
        <w:spacing w:line="360" w:lineRule="exact"/>
        <w:ind w:firstLine="369" w:firstLineChars="176"/>
        <w:rPr>
          <w:rFonts w:hint="eastAsia" w:ascii="宋体" w:hAnsi="宋体"/>
          <w:color w:val="auto"/>
          <w:szCs w:val="21"/>
        </w:rPr>
      </w:pPr>
      <w:r>
        <w:rPr>
          <w:rFonts w:hint="eastAsia" w:ascii="宋体" w:hAnsi="宋体"/>
          <w:color w:val="auto"/>
          <w:szCs w:val="21"/>
        </w:rPr>
        <w:t>（二）评标方式：以封闭方式进行评标。</w:t>
      </w:r>
    </w:p>
    <w:p w14:paraId="3E8A13AA">
      <w:pPr>
        <w:spacing w:line="360" w:lineRule="exact"/>
        <w:ind w:firstLine="369" w:firstLineChars="176"/>
        <w:rPr>
          <w:rFonts w:hint="eastAsia" w:ascii="宋体" w:hAnsi="宋体"/>
          <w:color w:val="auto"/>
          <w:szCs w:val="21"/>
        </w:rPr>
      </w:pPr>
      <w:r>
        <w:rPr>
          <w:rFonts w:hint="eastAsia" w:ascii="宋体" w:hAnsi="宋体"/>
          <w:color w:val="auto"/>
          <w:szCs w:val="21"/>
        </w:rPr>
        <w:t>（三）根据财库〔2012〕69号文规定，采购人和采购代理机构、评标委员会成员要严格遵守政府采购相关法律制度，依法履行各自职责，公正、客观、审慎地组织和参与评审工作。</w:t>
      </w:r>
    </w:p>
    <w:p w14:paraId="52214503">
      <w:pPr>
        <w:spacing w:line="360" w:lineRule="exact"/>
        <w:ind w:firstLine="369" w:firstLineChars="176"/>
        <w:rPr>
          <w:rFonts w:hint="eastAsia" w:ascii="宋体" w:hAnsi="宋体"/>
          <w:color w:val="auto"/>
          <w:szCs w:val="21"/>
        </w:rPr>
      </w:pPr>
      <w:r>
        <w:rPr>
          <w:rFonts w:hint="eastAsia" w:ascii="宋体" w:hAnsi="宋体"/>
          <w:color w:val="auto"/>
          <w:szCs w:val="21"/>
        </w:rPr>
        <w:t>（四）评标方法：对进入详评的，采用百分制综合评分法。</w:t>
      </w:r>
    </w:p>
    <w:p w14:paraId="61615F47">
      <w:pPr>
        <w:spacing w:line="360" w:lineRule="exact"/>
        <w:ind w:firstLine="369" w:firstLineChars="176"/>
        <w:rPr>
          <w:rFonts w:hint="eastAsia" w:ascii="宋体" w:hAnsi="宋体"/>
          <w:b/>
          <w:bCs/>
          <w:color w:val="auto"/>
          <w:szCs w:val="21"/>
        </w:rPr>
      </w:pPr>
      <w:r>
        <w:rPr>
          <w:rFonts w:hint="eastAsia" w:ascii="宋体" w:hAnsi="宋体"/>
          <w:color w:val="auto"/>
          <w:szCs w:val="21"/>
        </w:rPr>
        <w:t>（五）计分办法（按四舍五入取至小数点后二位）：</w:t>
      </w:r>
    </w:p>
    <w:p w14:paraId="6F9102CD">
      <w:pPr>
        <w:spacing w:line="360" w:lineRule="exact"/>
        <w:jc w:val="left"/>
        <w:rPr>
          <w:rFonts w:hint="eastAsia" w:ascii="宋体" w:hAnsi="宋体" w:cs="宋体"/>
          <w:b/>
          <w:color w:val="auto"/>
          <w:szCs w:val="21"/>
        </w:rPr>
      </w:pPr>
      <w:r>
        <w:rPr>
          <w:rFonts w:hint="eastAsia" w:ascii="宋体" w:hAnsi="宋体" w:cs="宋体"/>
          <w:b/>
          <w:color w:val="auto"/>
          <w:szCs w:val="21"/>
        </w:rPr>
        <w:t>1、价格分………………………………………………………………………………………30分</w:t>
      </w:r>
    </w:p>
    <w:p w14:paraId="292574C6">
      <w:pPr>
        <w:spacing w:line="440" w:lineRule="exact"/>
        <w:ind w:firstLine="420" w:firstLineChars="200"/>
        <w:rPr>
          <w:rFonts w:hint="eastAsia" w:ascii="宋体" w:hAnsi="宋体" w:cs="宋体"/>
          <w:bCs/>
          <w:color w:val="auto"/>
          <w:kern w:val="0"/>
          <w:szCs w:val="21"/>
        </w:rPr>
      </w:pPr>
      <w:r>
        <w:rPr>
          <w:rFonts w:hint="eastAsia" w:ascii="宋体" w:hAnsi="宋体" w:cs="宋体"/>
          <w:bCs/>
          <w:color w:val="auto"/>
          <w:kern w:val="0"/>
          <w:szCs w:val="21"/>
        </w:rPr>
        <w:t>（1）</w:t>
      </w:r>
      <w:r>
        <w:rPr>
          <w:rFonts w:hint="eastAsia" w:ascii="宋体" w:hAnsi="宋体" w:cs="宋体"/>
          <w:color w:val="auto"/>
          <w:kern w:val="0"/>
          <w:szCs w:val="21"/>
        </w:rPr>
        <w:t>按照《政府采购促进中小企业发展暂行办法》（财库[2020]46号）规定：</w:t>
      </w:r>
    </w:p>
    <w:p w14:paraId="1CFDA4FA">
      <w:pPr>
        <w:spacing w:line="440" w:lineRule="exact"/>
        <w:ind w:firstLine="420" w:firstLineChars="200"/>
        <w:rPr>
          <w:rFonts w:hint="eastAsia" w:ascii="宋体" w:hAnsi="宋体" w:cs="宋体"/>
          <w:color w:val="auto"/>
          <w:kern w:val="0"/>
          <w:szCs w:val="21"/>
        </w:rPr>
      </w:pPr>
      <w:r>
        <w:rPr>
          <w:rFonts w:hint="eastAsia" w:ascii="宋体" w:hAnsi="宋体" w:cs="宋体"/>
          <w:color w:val="auto"/>
          <w:kern w:val="0"/>
          <w:szCs w:val="21"/>
        </w:rPr>
        <w:t>投标人提供的货物由中小企业制造，即货物由中小企业生产且使用该中小企业商号或者注册商标的，且投标人按照本招标文件中规定的格式提供了《中小企业声明函》的，对小型和微型企业报价给予20%的扣除，扣除后的价格为评审报价，即评审报价=投标报价×（1-10%）；</w:t>
      </w:r>
    </w:p>
    <w:p w14:paraId="49AEC484">
      <w:pPr>
        <w:spacing w:line="440" w:lineRule="exact"/>
        <w:ind w:firstLine="420"/>
        <w:rPr>
          <w:rFonts w:hint="eastAsia" w:ascii="宋体" w:hAnsi="宋体" w:cs="宋体"/>
          <w:color w:val="auto"/>
          <w:kern w:val="0"/>
          <w:szCs w:val="21"/>
        </w:rPr>
      </w:pPr>
      <w:r>
        <w:rPr>
          <w:rFonts w:hint="eastAsia" w:ascii="宋体" w:hAnsi="宋体" w:cs="宋体"/>
          <w:color w:val="auto"/>
          <w:kern w:val="0"/>
          <w:szCs w:val="21"/>
        </w:rPr>
        <w:t>（2）根据《关于政府采购支持监狱企业发展有关问题的通知》（财库[2014]68号）和《关于促进残疾人就业政府采购政策的通知》（财库[2017]141号），监狱企业和符合条件的残疾人企业视同小型、微型企业，享受小型、微型企业评审中价格扣除的政府采购政策。</w:t>
      </w:r>
    </w:p>
    <w:p w14:paraId="50B5D08C">
      <w:pPr>
        <w:spacing w:line="440" w:lineRule="exact"/>
        <w:ind w:firstLine="420" w:firstLineChars="200"/>
        <w:rPr>
          <w:rFonts w:hint="eastAsia" w:ascii="宋体" w:hAnsi="宋体" w:cs="宋体"/>
          <w:color w:val="auto"/>
          <w:kern w:val="0"/>
          <w:szCs w:val="21"/>
        </w:rPr>
      </w:pPr>
      <w:r>
        <w:rPr>
          <w:rFonts w:hint="eastAsia" w:ascii="宋体" w:hAnsi="宋体" w:cs="宋体"/>
          <w:color w:val="auto"/>
          <w:kern w:val="0"/>
          <w:szCs w:val="21"/>
        </w:rPr>
        <w:t>（3）除上述情况外，评审报价=投标报价。</w:t>
      </w:r>
    </w:p>
    <w:p w14:paraId="6A0E6778">
      <w:pPr>
        <w:spacing w:line="440" w:lineRule="exact"/>
        <w:ind w:firstLine="420"/>
        <w:rPr>
          <w:rFonts w:hint="eastAsia" w:ascii="宋体" w:hAnsi="宋体" w:cs="宋体"/>
          <w:b/>
          <w:color w:val="auto"/>
          <w:kern w:val="0"/>
          <w:szCs w:val="21"/>
        </w:rPr>
      </w:pPr>
      <w:r>
        <w:rPr>
          <w:rFonts w:hint="eastAsia" w:ascii="宋体" w:hAnsi="宋体" w:cs="宋体"/>
          <w:b/>
          <w:color w:val="auto"/>
          <w:kern w:val="0"/>
          <w:szCs w:val="21"/>
        </w:rPr>
        <w:t>注：①小型、微型企业提供中型企业制造的货物的，视同为中型企业。</w:t>
      </w:r>
    </w:p>
    <w:p w14:paraId="45A453EA">
      <w:pPr>
        <w:spacing w:line="440" w:lineRule="exact"/>
        <w:ind w:firstLine="422" w:firstLineChars="200"/>
        <w:rPr>
          <w:rFonts w:hint="eastAsia" w:ascii="宋体" w:hAnsi="宋体" w:cs="宋体"/>
          <w:b/>
          <w:color w:val="auto"/>
          <w:kern w:val="0"/>
          <w:szCs w:val="21"/>
        </w:rPr>
      </w:pPr>
      <w:r>
        <w:rPr>
          <w:rFonts w:hint="eastAsia" w:ascii="宋体" w:hAnsi="宋体" w:cs="宋体"/>
          <w:b/>
          <w:color w:val="auto"/>
          <w:kern w:val="0"/>
          <w:szCs w:val="21"/>
        </w:rPr>
        <w:t>②中小微型企业划分标准按照《国家统计局关于印发《统计上大中小微型企业划分办法〔2017〕》的通知》（国统字〔2017〕213号）执行，具体划分标准见《统计上大中小微型企业划分标准》。</w:t>
      </w:r>
    </w:p>
    <w:p w14:paraId="4C34125F">
      <w:pPr>
        <w:spacing w:line="440" w:lineRule="exact"/>
        <w:ind w:firstLine="422" w:firstLineChars="200"/>
        <w:rPr>
          <w:rFonts w:hint="eastAsia" w:ascii="宋体" w:hAnsi="宋体" w:cs="宋体"/>
          <w:b/>
          <w:color w:val="auto"/>
          <w:kern w:val="0"/>
          <w:szCs w:val="21"/>
        </w:rPr>
      </w:pPr>
      <w:r>
        <w:rPr>
          <w:rFonts w:hint="eastAsia" w:ascii="宋体" w:hAnsi="宋体" w:cs="宋体"/>
          <w:b/>
          <w:color w:val="auto"/>
          <w:kern w:val="0"/>
          <w:szCs w:val="21"/>
        </w:rPr>
        <w:t>③在货物采购项目中，投标人提供的货物既有中小企业制造货物，也有大型企业制造货物的，不享受《政府采购促进中小企业发展暂行办法》（财库[2020]46号）规定的中小企业扶持政策。</w:t>
      </w:r>
    </w:p>
    <w:p w14:paraId="04B1A29A">
      <w:pPr>
        <w:spacing w:line="440" w:lineRule="exact"/>
        <w:ind w:firstLine="315" w:firstLineChars="150"/>
        <w:rPr>
          <w:rFonts w:hint="eastAsia" w:ascii="宋体" w:hAnsi="宋体" w:cs="宋体"/>
          <w:color w:val="auto"/>
          <w:kern w:val="0"/>
          <w:szCs w:val="21"/>
        </w:rPr>
      </w:pPr>
      <w:r>
        <w:rPr>
          <w:rFonts w:hint="eastAsia" w:ascii="宋体" w:hAnsi="宋体" w:cs="宋体"/>
          <w:color w:val="auto"/>
          <w:kern w:val="0"/>
          <w:szCs w:val="21"/>
        </w:rPr>
        <w:t>（4）价格分应当采用低价优先法计算，即满足招标文件要求且投标价格最低的投标报价为评标基准价，其价格分为满分。进入详评投标人的价格分统一按照下列公式计算：</w:t>
      </w:r>
    </w:p>
    <w:p w14:paraId="2DB7AA7D">
      <w:pPr>
        <w:spacing w:line="440" w:lineRule="exact"/>
        <w:ind w:firstLine="630" w:firstLineChars="300"/>
        <w:rPr>
          <w:rFonts w:hint="eastAsia" w:ascii="宋体" w:hAnsi="宋体" w:cs="宋体"/>
          <w:bCs/>
          <w:color w:val="auto"/>
          <w:kern w:val="0"/>
          <w:szCs w:val="21"/>
        </w:rPr>
      </w:pPr>
      <w:r>
        <w:rPr>
          <w:rFonts w:hint="eastAsia" w:ascii="宋体" w:hAnsi="宋体" w:cs="宋体"/>
          <w:color w:val="auto"/>
          <w:kern w:val="0"/>
          <w:szCs w:val="21"/>
        </w:rPr>
        <w:t>以进入评标的最低的评标报价为30分。</w:t>
      </w:r>
    </w:p>
    <w:p w14:paraId="7A144E41">
      <w:pPr>
        <w:rPr>
          <w:rFonts w:hint="eastAsia" w:ascii="宋体" w:hAnsi="宋体" w:cs="宋体"/>
          <w:bCs/>
          <w:color w:val="auto"/>
          <w:kern w:val="0"/>
          <w:szCs w:val="21"/>
        </w:rPr>
      </w:pPr>
      <w:r>
        <w:rPr>
          <w:rFonts w:hint="eastAsia" w:ascii="宋体" w:hAnsi="宋体" w:cs="宋体"/>
          <w:bCs/>
          <w:color w:val="auto"/>
          <w:kern w:val="0"/>
          <w:szCs w:val="21"/>
        </w:rPr>
        <w:br w:type="page"/>
      </w:r>
    </w:p>
    <w:p w14:paraId="780B1370">
      <w:pPr>
        <w:spacing w:line="440" w:lineRule="exact"/>
        <w:ind w:firstLine="3927" w:firstLineChars="1870"/>
        <w:rPr>
          <w:rFonts w:hint="eastAsia" w:ascii="宋体" w:hAnsi="宋体" w:cs="宋体"/>
          <w:bCs/>
          <w:color w:val="auto"/>
          <w:kern w:val="0"/>
          <w:szCs w:val="21"/>
        </w:rPr>
      </w:pPr>
      <w:r>
        <w:rPr>
          <w:rFonts w:hint="eastAsia" w:ascii="宋体" w:hAnsi="宋体" w:cs="宋体"/>
          <w:bCs/>
          <w:color w:val="auto"/>
          <w:kern w:val="0"/>
          <w:szCs w:val="21"/>
        </w:rPr>
        <w:t>评标基准价</w:t>
      </w:r>
    </w:p>
    <w:p w14:paraId="5BF5AB65">
      <w:pPr>
        <w:rPr>
          <w:rFonts w:hint="eastAsia" w:ascii="宋体" w:hAnsi="宋体" w:cs="宋体"/>
          <w:bCs/>
          <w:color w:val="auto"/>
          <w:kern w:val="0"/>
          <w:szCs w:val="21"/>
        </w:rPr>
      </w:pPr>
      <w:r>
        <w:rPr>
          <w:rFonts w:hint="eastAsia" w:ascii="宋体" w:hAnsi="宋体" w:cs="宋体"/>
          <w:bCs/>
          <w:color w:val="auto"/>
          <w:kern w:val="0"/>
          <w:szCs w:val="21"/>
        </w:rPr>
        <mc:AlternateContent>
          <mc:Choice Requires="wps">
            <w:drawing>
              <wp:anchor distT="0" distB="0" distL="114300" distR="114300" simplePos="0" relativeHeight="251661312" behindDoc="0" locked="0" layoutInCell="1" allowOverlap="1">
                <wp:simplePos x="0" y="0"/>
                <wp:positionH relativeFrom="column">
                  <wp:posOffset>1828800</wp:posOffset>
                </wp:positionH>
                <wp:positionV relativeFrom="paragraph">
                  <wp:posOffset>196850</wp:posOffset>
                </wp:positionV>
                <wp:extent cx="2200275" cy="0"/>
                <wp:effectExtent l="0" t="4445" r="0" b="5080"/>
                <wp:wrapNone/>
                <wp:docPr id="3" name="直接连接符 3"/>
                <wp:cNvGraphicFramePr/>
                <a:graphic xmlns:a="http://schemas.openxmlformats.org/drawingml/2006/main">
                  <a:graphicData uri="http://schemas.microsoft.com/office/word/2010/wordprocessingShape">
                    <wps:wsp>
                      <wps:cNvCnPr>
                        <a:cxnSpLocks noChangeShapeType="1"/>
                      </wps:cNvCnPr>
                      <wps:spPr bwMode="auto">
                        <a:xfrm>
                          <a:off x="0" y="0"/>
                          <a:ext cx="2200275"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44pt;margin-top:15.5pt;height:0pt;width:173.25pt;z-index:251661312;mso-width-relative:page;mso-height-relative:page;" filled="f" stroked="t" coordsize="21600,21600" o:gfxdata="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1CqQ6&#10;1wAAAAkBAAAPAAAAAAAAAAEAIAAAACIAAABkcnMvZG93bnJldi54bWxQSwECFAAUAAAACACHTuJA&#10;qCZcq+kBAAC4AwAADgAAAAAAAAABACAAAAAmAQAAZHJzL2Uyb0RvYy54bWxQSwUGAAAAAAYABgBZ&#10;AQAAgQUAAAAA&#10;">
                <v:fill on="f" focussize="0,0"/>
                <v:stroke color="#000000" joinstyle="round"/>
                <v:imagedata o:title=""/>
                <o:lock v:ext="edit" aspectratio="f"/>
              </v:line>
            </w:pict>
          </mc:Fallback>
        </mc:AlternateContent>
      </w:r>
      <w:r>
        <w:rPr>
          <w:rFonts w:hint="eastAsia" w:ascii="宋体" w:hAnsi="宋体" w:cs="宋体"/>
          <w:bCs/>
          <w:color w:val="auto"/>
          <w:kern w:val="0"/>
          <w:szCs w:val="21"/>
        </w:rPr>
        <w:t>（5）投标人价格分 =                                    　　×30分</w:t>
      </w:r>
    </w:p>
    <w:p w14:paraId="7ABD1755">
      <w:pPr>
        <w:spacing w:line="440" w:lineRule="exact"/>
        <w:ind w:firstLine="315" w:firstLineChars="150"/>
        <w:rPr>
          <w:rFonts w:hint="eastAsia" w:ascii="宋体" w:hAnsi="宋体" w:cs="宋体"/>
          <w:color w:val="auto"/>
          <w:kern w:val="0"/>
          <w:szCs w:val="21"/>
        </w:rPr>
      </w:pPr>
      <w:r>
        <w:rPr>
          <w:rFonts w:hint="eastAsia" w:ascii="宋体" w:hAnsi="宋体" w:cs="宋体"/>
          <w:bCs/>
          <w:color w:val="auto"/>
          <w:kern w:val="0"/>
          <w:szCs w:val="21"/>
        </w:rPr>
        <w:t xml:space="preserve">                                  投标人</w:t>
      </w:r>
      <w:r>
        <w:rPr>
          <w:rFonts w:hint="eastAsia" w:ascii="宋体" w:hAnsi="宋体" w:cs="宋体"/>
          <w:color w:val="auto"/>
          <w:kern w:val="0"/>
          <w:szCs w:val="21"/>
        </w:rPr>
        <w:t>评标报价</w:t>
      </w:r>
    </w:p>
    <w:p w14:paraId="43350952">
      <w:pPr>
        <w:spacing w:line="360" w:lineRule="exact"/>
        <w:ind w:firstLine="422" w:firstLineChars="200"/>
        <w:jc w:val="left"/>
        <w:rPr>
          <w:rFonts w:hint="eastAsia" w:ascii="宋体" w:hAnsi="宋体" w:cs="宋体"/>
          <w:b/>
          <w:bCs/>
          <w:color w:val="auto"/>
          <w:szCs w:val="21"/>
        </w:rPr>
      </w:pPr>
    </w:p>
    <w:p w14:paraId="64B368ED">
      <w:pPr>
        <w:spacing w:line="360" w:lineRule="exact"/>
        <w:ind w:firstLine="422" w:firstLineChars="200"/>
        <w:jc w:val="left"/>
        <w:rPr>
          <w:rFonts w:hint="eastAsia" w:ascii="宋体" w:hAnsi="宋体" w:cs="宋体"/>
          <w:b/>
          <w:bCs/>
          <w:color w:val="auto"/>
          <w:szCs w:val="21"/>
        </w:rPr>
      </w:pPr>
      <w:r>
        <w:rPr>
          <w:rFonts w:hint="eastAsia" w:ascii="宋体" w:hAnsi="宋体" w:cs="宋体"/>
          <w:b/>
          <w:bCs/>
          <w:color w:val="auto"/>
          <w:szCs w:val="21"/>
        </w:rPr>
        <w:t>注：评标委员会认为投标人的报价明显低于其它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1CD39A4">
      <w:pPr>
        <w:spacing w:line="440" w:lineRule="exact"/>
        <w:ind w:firstLine="422" w:firstLineChars="200"/>
        <w:rPr>
          <w:rFonts w:hint="eastAsia" w:ascii="宋体" w:hAnsi="宋体" w:cs="宋体"/>
          <w:b/>
          <w:bCs/>
          <w:color w:val="auto"/>
          <w:kern w:val="0"/>
          <w:szCs w:val="21"/>
        </w:rPr>
      </w:pPr>
      <w:r>
        <w:rPr>
          <w:rFonts w:hint="eastAsia" w:ascii="宋体" w:hAnsi="宋体" w:cs="宋体"/>
          <w:b/>
          <w:bCs/>
          <w:color w:val="auto"/>
          <w:kern w:val="0"/>
          <w:szCs w:val="21"/>
        </w:rPr>
        <w:t>2.货物性能分……………………………………………………………………………………满分30分</w:t>
      </w:r>
    </w:p>
    <w:p w14:paraId="492937D9">
      <w:pPr>
        <w:spacing w:line="440" w:lineRule="exact"/>
        <w:ind w:firstLine="420" w:firstLineChars="200"/>
        <w:rPr>
          <w:rFonts w:hint="eastAsia" w:ascii="宋体" w:hAnsi="宋体" w:cs="宋体"/>
          <w:color w:val="auto"/>
          <w:kern w:val="0"/>
          <w:szCs w:val="21"/>
        </w:rPr>
      </w:pPr>
      <w:r>
        <w:rPr>
          <w:rFonts w:hint="eastAsia" w:ascii="宋体" w:hAnsi="宋体" w:cs="宋体"/>
          <w:color w:val="auto"/>
          <w:kern w:val="0"/>
          <w:szCs w:val="21"/>
        </w:rPr>
        <w:t>供应商拟投入的产品完全满足或优于磋商文件技术参数要求的得30分，标注▲号的非实质性技术参数条款未能按要求提供相关证明材料的视为不满足要求，一项扣2分，扣完为止，不计负分。</w:t>
      </w:r>
    </w:p>
    <w:p w14:paraId="4D504F8E">
      <w:pPr>
        <w:spacing w:line="440" w:lineRule="exact"/>
        <w:ind w:firstLine="422" w:firstLineChars="200"/>
        <w:rPr>
          <w:rFonts w:hint="eastAsia" w:ascii="宋体" w:hAnsi="宋体" w:cs="宋体"/>
          <w:b/>
          <w:bCs/>
          <w:color w:val="auto"/>
          <w:kern w:val="0"/>
          <w:szCs w:val="21"/>
        </w:rPr>
      </w:pPr>
      <w:r>
        <w:rPr>
          <w:rFonts w:hint="eastAsia" w:ascii="宋体" w:hAnsi="宋体" w:cs="宋体"/>
          <w:b/>
          <w:bCs/>
          <w:color w:val="auto"/>
          <w:kern w:val="0"/>
          <w:szCs w:val="21"/>
        </w:rPr>
        <w:t>3、项目实施方案分……………………………………………………………………………满分13分</w:t>
      </w:r>
    </w:p>
    <w:p w14:paraId="1D08DE9E">
      <w:pPr>
        <w:spacing w:line="440" w:lineRule="exact"/>
        <w:ind w:firstLine="420" w:firstLineChars="200"/>
        <w:rPr>
          <w:rFonts w:hint="eastAsia" w:ascii="宋体" w:hAnsi="宋体" w:cs="宋体"/>
          <w:color w:val="auto"/>
          <w:szCs w:val="21"/>
        </w:rPr>
      </w:pPr>
      <w:r>
        <w:rPr>
          <w:rFonts w:hint="eastAsia" w:ascii="宋体" w:hAnsi="宋体" w:cs="宋体"/>
          <w:color w:val="auto"/>
          <w:szCs w:val="21"/>
        </w:rPr>
        <w:t>评委根据各投标人所提供的项目实施方案进行比较后，进行独立打分。</w:t>
      </w:r>
    </w:p>
    <w:p w14:paraId="785119AE">
      <w:pPr>
        <w:pStyle w:val="27"/>
        <w:spacing w:line="400" w:lineRule="exact"/>
        <w:ind w:firstLine="210" w:firstLineChars="100"/>
        <w:rPr>
          <w:rFonts w:hint="eastAsia" w:hAnsi="宋体" w:cs="宋体"/>
          <w:bCs/>
          <w:color w:val="auto"/>
          <w:szCs w:val="21"/>
        </w:rPr>
      </w:pPr>
      <w:r>
        <w:rPr>
          <w:rFonts w:hint="eastAsia" w:hAnsi="宋体" w:cs="宋体"/>
          <w:bCs/>
          <w:color w:val="auto"/>
          <w:szCs w:val="21"/>
        </w:rPr>
        <w:t>一档（4分）：项目实施和管理方案基本可行，管理控制手段、项目人员配置等内容基本满足项目需求；</w:t>
      </w:r>
    </w:p>
    <w:p w14:paraId="5A531096">
      <w:pPr>
        <w:pStyle w:val="27"/>
        <w:spacing w:line="400" w:lineRule="exact"/>
        <w:ind w:firstLine="210" w:firstLineChars="100"/>
        <w:rPr>
          <w:rFonts w:hint="eastAsia" w:hAnsi="宋体" w:cs="宋体"/>
          <w:bCs/>
          <w:color w:val="auto"/>
          <w:szCs w:val="21"/>
        </w:rPr>
      </w:pPr>
      <w:r>
        <w:rPr>
          <w:rFonts w:hint="eastAsia" w:hAnsi="宋体" w:cs="宋体"/>
          <w:bCs/>
          <w:color w:val="auto"/>
          <w:szCs w:val="21"/>
        </w:rPr>
        <w:t>二档（8分）：项目实施和管理方案可行，管理控制手段、项目人员配置等内容满足项目需求，表述清晰、完整，措施具体有效，有人员安排。</w:t>
      </w:r>
    </w:p>
    <w:p w14:paraId="3FB02561">
      <w:pPr>
        <w:spacing w:line="440" w:lineRule="exact"/>
        <w:ind w:firstLine="420" w:firstLineChars="200"/>
        <w:rPr>
          <w:rFonts w:hint="eastAsia" w:ascii="宋体" w:hAnsi="宋体" w:cs="宋体"/>
          <w:color w:val="auto"/>
          <w:szCs w:val="21"/>
        </w:rPr>
      </w:pPr>
      <w:r>
        <w:rPr>
          <w:rFonts w:hint="eastAsia" w:ascii="宋体" w:hAnsi="宋体" w:cs="宋体"/>
          <w:bCs/>
          <w:color w:val="auto"/>
          <w:szCs w:val="21"/>
        </w:rPr>
        <w:t>三档（13分）：项目实施和管理方案合理可行，提供有针对性的实施内容，合理的开发策略与计划，科学详细的实施进度安排；有着完善、严格规范的项目过程管理与质量控制、进度控制等方案；项目人员组成合理，表述清晰、完整、严谨、合理，措施先进、具体、有效、成熟，人员安排细致、组织周密。</w:t>
      </w:r>
      <w:r>
        <w:rPr>
          <w:rFonts w:hint="eastAsia" w:ascii="宋体" w:hAnsi="宋体" w:cs="宋体"/>
          <w:color w:val="auto"/>
          <w:szCs w:val="21"/>
        </w:rPr>
        <w:t>提供有针对性的项目风险管理及应对措施、安装调试方案和验收方案、项目文档管理方案等，对实施重点、难点有先进、合理化的建议。</w:t>
      </w:r>
    </w:p>
    <w:p w14:paraId="6396E0BD">
      <w:pPr>
        <w:spacing w:line="440" w:lineRule="exact"/>
        <w:ind w:firstLine="420" w:firstLineChars="200"/>
        <w:rPr>
          <w:rFonts w:hint="eastAsia" w:ascii="宋体" w:hAnsi="宋体" w:cs="宋体"/>
          <w:color w:val="auto"/>
          <w:kern w:val="0"/>
          <w:szCs w:val="21"/>
        </w:rPr>
      </w:pPr>
      <w:r>
        <w:rPr>
          <w:rFonts w:hint="eastAsia" w:ascii="宋体" w:hAnsi="宋体" w:cs="宋体"/>
          <w:color w:val="auto"/>
          <w:szCs w:val="21"/>
        </w:rPr>
        <w:t>注：未提供方案的不得分。</w:t>
      </w:r>
    </w:p>
    <w:p w14:paraId="2E389F15">
      <w:pPr>
        <w:spacing w:line="440" w:lineRule="exact"/>
        <w:ind w:firstLine="422" w:firstLineChars="200"/>
        <w:rPr>
          <w:rFonts w:hint="eastAsia" w:ascii="宋体" w:hAnsi="宋体" w:cs="宋体"/>
          <w:b/>
          <w:bCs/>
          <w:color w:val="auto"/>
          <w:kern w:val="0"/>
          <w:szCs w:val="21"/>
        </w:rPr>
      </w:pPr>
      <w:r>
        <w:rPr>
          <w:rFonts w:hint="eastAsia" w:ascii="宋体" w:hAnsi="宋体" w:cs="宋体"/>
          <w:b/>
          <w:bCs/>
          <w:color w:val="auto"/>
          <w:kern w:val="0"/>
          <w:szCs w:val="21"/>
        </w:rPr>
        <w:t>4、内涵建设方案分……………………………………………………………………………满分12分</w:t>
      </w:r>
    </w:p>
    <w:p w14:paraId="4D3BBC19">
      <w:pPr>
        <w:spacing w:line="440" w:lineRule="exact"/>
        <w:ind w:firstLine="420" w:firstLineChars="200"/>
        <w:rPr>
          <w:rFonts w:hint="eastAsia" w:ascii="宋体" w:hAnsi="宋体" w:cs="宋体"/>
          <w:color w:val="auto"/>
          <w:szCs w:val="21"/>
        </w:rPr>
      </w:pPr>
      <w:r>
        <w:rPr>
          <w:rFonts w:hint="eastAsia" w:ascii="宋体" w:hAnsi="宋体" w:cs="宋体"/>
          <w:color w:val="auto"/>
          <w:szCs w:val="21"/>
        </w:rPr>
        <w:t>评委根据各投标人所提供的内涵建设方案进行比较后，进行独立打分。</w:t>
      </w:r>
    </w:p>
    <w:p w14:paraId="07ABF243">
      <w:pPr>
        <w:pStyle w:val="27"/>
        <w:spacing w:line="400" w:lineRule="exact"/>
        <w:ind w:firstLine="420" w:firstLineChars="200"/>
        <w:rPr>
          <w:rFonts w:hint="eastAsia" w:hAnsi="宋体" w:cs="宋体"/>
          <w:bCs/>
          <w:color w:val="auto"/>
          <w:szCs w:val="21"/>
        </w:rPr>
      </w:pPr>
      <w:r>
        <w:rPr>
          <w:rFonts w:hint="eastAsia" w:hAnsi="宋体" w:cs="宋体"/>
          <w:bCs/>
          <w:color w:val="auto"/>
          <w:szCs w:val="21"/>
        </w:rPr>
        <w:t>一档（4分）：内涵建设方案基本可行，对高技能人才培训基地的项目组织与管理改革、创新人才培养模式、课程改革、校企合作提升培训能力、师资队伍建设、过程性材料整理汇编等主要内容提出建设思路，基本满足项目需求；</w:t>
      </w:r>
    </w:p>
    <w:p w14:paraId="6A79AC62">
      <w:pPr>
        <w:pStyle w:val="27"/>
        <w:spacing w:line="400" w:lineRule="exact"/>
        <w:ind w:firstLine="420" w:firstLineChars="200"/>
        <w:rPr>
          <w:rFonts w:hint="eastAsia" w:hAnsi="宋体" w:cs="宋体"/>
          <w:bCs/>
          <w:color w:val="auto"/>
          <w:szCs w:val="21"/>
        </w:rPr>
      </w:pPr>
      <w:r>
        <w:rPr>
          <w:rFonts w:hint="eastAsia" w:hAnsi="宋体" w:cs="宋体"/>
          <w:bCs/>
          <w:color w:val="auto"/>
          <w:szCs w:val="21"/>
        </w:rPr>
        <w:t>二档（8分）：内涵建设方案可行，对高技能人才培训基地的项目组织与管理改革、创新人才培养模式、课程改革、校企合作提升培训能力、师资队伍建设、过程性材料整理汇编等主要内容提出建设思路，表述清晰、完整，步骤措施具体有效，驻场人员安排≥2人，较好满足项目需求。</w:t>
      </w:r>
    </w:p>
    <w:p w14:paraId="58D726B5">
      <w:pPr>
        <w:spacing w:line="440" w:lineRule="exact"/>
        <w:ind w:firstLine="420" w:firstLineChars="200"/>
        <w:rPr>
          <w:rFonts w:hint="eastAsia" w:ascii="宋体" w:hAnsi="宋体" w:cs="宋体"/>
          <w:color w:val="auto"/>
          <w:szCs w:val="21"/>
        </w:rPr>
      </w:pPr>
      <w:r>
        <w:rPr>
          <w:rFonts w:hint="eastAsia" w:ascii="宋体" w:hAnsi="宋体" w:cs="宋体"/>
          <w:bCs/>
          <w:color w:val="auto"/>
          <w:szCs w:val="21"/>
        </w:rPr>
        <w:t>三档（12分）：内涵建设方案合理可行，对高技能人才培训基地的项目组织与管理改革、创新人才培养模式、课程改革、校企合作提升培训能力、师资队伍建设、过程性材料整理汇编等主要内容提出建设思路，表述清晰、完整，步骤措施具体有效，驻场人员安排≥4人，完全满足项目需求。</w:t>
      </w:r>
      <w:r>
        <w:rPr>
          <w:rFonts w:hint="eastAsia" w:ascii="宋体" w:hAnsi="宋体" w:cs="宋体"/>
          <w:color w:val="auto"/>
          <w:szCs w:val="21"/>
        </w:rPr>
        <w:t>提供有针对性的项目风险管理及应对措施、验收方案、项目文档管理方案等，对实施重点、难点有先进、合理化的建议。</w:t>
      </w:r>
      <w:r>
        <w:rPr>
          <w:rFonts w:ascii="Arial" w:hAnsi="Arial" w:cs="Arial"/>
          <w:color w:val="auto"/>
          <w:szCs w:val="21"/>
          <w:shd w:val="clear" w:color="auto" w:fill="FFFFFF"/>
        </w:rPr>
        <w:t>具有本土化的内涵建设经验且针进行提炼、设计</w:t>
      </w:r>
      <w:r>
        <w:rPr>
          <w:rFonts w:hint="eastAsia" w:ascii="宋体" w:hAnsi="宋体" w:cs="宋体"/>
          <w:bCs/>
          <w:color w:val="auto"/>
          <w:szCs w:val="21"/>
        </w:rPr>
        <w:t>≥</w:t>
      </w:r>
      <w:r>
        <w:rPr>
          <w:rFonts w:ascii="Arial" w:hAnsi="Arial" w:cs="Arial"/>
          <w:color w:val="auto"/>
          <w:szCs w:val="21"/>
          <w:shd w:val="clear" w:color="auto" w:fill="FFFFFF"/>
        </w:rPr>
        <w:t>3项教学成果，引领青年教师成长。</w:t>
      </w:r>
    </w:p>
    <w:p w14:paraId="50F4D84D">
      <w:pPr>
        <w:spacing w:line="440" w:lineRule="exact"/>
        <w:ind w:firstLine="420" w:firstLineChars="200"/>
        <w:rPr>
          <w:rFonts w:hint="eastAsia" w:ascii="宋体" w:hAnsi="宋体" w:cs="宋体"/>
          <w:b/>
          <w:bCs/>
          <w:color w:val="auto"/>
          <w:kern w:val="0"/>
          <w:szCs w:val="21"/>
        </w:rPr>
      </w:pPr>
      <w:r>
        <w:rPr>
          <w:rFonts w:hint="eastAsia" w:ascii="宋体" w:hAnsi="宋体" w:cs="宋体"/>
          <w:color w:val="auto"/>
          <w:szCs w:val="21"/>
        </w:rPr>
        <w:t>注：未提供方案的不得分。</w:t>
      </w:r>
    </w:p>
    <w:p w14:paraId="5C1AE70D">
      <w:pPr>
        <w:spacing w:line="360" w:lineRule="auto"/>
        <w:ind w:firstLine="422" w:firstLineChars="200"/>
        <w:rPr>
          <w:rFonts w:hint="eastAsia" w:ascii="宋体" w:hAnsi="宋体" w:cs="宋体"/>
          <w:b/>
          <w:bCs/>
          <w:color w:val="auto"/>
          <w:kern w:val="0"/>
          <w:szCs w:val="21"/>
        </w:rPr>
      </w:pPr>
      <w:r>
        <w:rPr>
          <w:rFonts w:hint="eastAsia" w:ascii="宋体" w:hAnsi="宋体" w:cs="宋体"/>
          <w:b/>
          <w:bCs/>
          <w:color w:val="auto"/>
          <w:kern w:val="0"/>
          <w:szCs w:val="21"/>
        </w:rPr>
        <w:t>5、售后服务方案分……………………………………………………………………………满分12分</w:t>
      </w:r>
    </w:p>
    <w:p w14:paraId="0F1EB8D7">
      <w:pPr>
        <w:pStyle w:val="27"/>
        <w:spacing w:line="360" w:lineRule="auto"/>
        <w:ind w:firstLine="420" w:firstLineChars="200"/>
        <w:rPr>
          <w:rFonts w:hint="eastAsia" w:hAnsi="宋体" w:cs="宋体"/>
          <w:color w:val="auto"/>
          <w:szCs w:val="21"/>
        </w:rPr>
      </w:pPr>
      <w:r>
        <w:rPr>
          <w:rFonts w:hint="eastAsia" w:hAnsi="宋体" w:cs="宋体"/>
          <w:color w:val="auto"/>
          <w:szCs w:val="21"/>
        </w:rPr>
        <w:t>评委对各投标人的投标文件中售后服务承诺书内容，即：从免费保修期、到达故障现场时间、故障出现解决方案，定期维护、免费技术培训方案、免费保修期（免费软件升级期）外维修方案、其它优惠方案等方面情况进行综合评比，确定所属档次并独立打分。</w:t>
      </w:r>
    </w:p>
    <w:p w14:paraId="28A5BECA">
      <w:pPr>
        <w:pStyle w:val="27"/>
        <w:spacing w:line="360" w:lineRule="auto"/>
        <w:ind w:firstLine="420" w:firstLineChars="200"/>
        <w:rPr>
          <w:rFonts w:hint="eastAsia" w:hAnsi="宋体" w:cs="宋体"/>
          <w:color w:val="auto"/>
          <w:szCs w:val="21"/>
        </w:rPr>
      </w:pPr>
      <w:r>
        <w:rPr>
          <w:rFonts w:hint="eastAsia" w:hAnsi="宋体" w:cs="宋体"/>
          <w:color w:val="auto"/>
          <w:szCs w:val="21"/>
        </w:rPr>
        <w:t>一档（4分）：售后服务方案</w:t>
      </w:r>
      <w:bookmarkStart w:id="28" w:name="OLE_LINK5"/>
      <w:r>
        <w:rPr>
          <w:rFonts w:hint="eastAsia" w:hAnsi="宋体" w:cs="宋体"/>
          <w:color w:val="auto"/>
          <w:szCs w:val="21"/>
        </w:rPr>
        <w:t>满足招标文件要求</w:t>
      </w:r>
      <w:bookmarkEnd w:id="28"/>
      <w:r>
        <w:rPr>
          <w:rFonts w:hint="eastAsia" w:hAnsi="宋体" w:cs="宋体"/>
          <w:color w:val="auto"/>
          <w:szCs w:val="21"/>
        </w:rPr>
        <w:t>，服务内容包括但不限于免费保修期、到达故障现场时间、故障出现解决方案的；</w:t>
      </w:r>
    </w:p>
    <w:p w14:paraId="79950513">
      <w:pPr>
        <w:pStyle w:val="27"/>
        <w:spacing w:line="360" w:lineRule="auto"/>
        <w:ind w:firstLine="420" w:firstLineChars="200"/>
        <w:rPr>
          <w:rFonts w:hint="eastAsia" w:hAnsi="宋体" w:cs="宋体"/>
          <w:color w:val="auto"/>
          <w:szCs w:val="21"/>
        </w:rPr>
      </w:pPr>
      <w:r>
        <w:rPr>
          <w:rFonts w:hint="eastAsia" w:hAnsi="宋体" w:cs="宋体"/>
          <w:color w:val="auto"/>
          <w:szCs w:val="21"/>
        </w:rPr>
        <w:t>二档（8分）：在第一档的基础上，服务内容增加但不限于定期维护、免费技术培训方案的；</w:t>
      </w:r>
    </w:p>
    <w:p w14:paraId="64F0A4DC">
      <w:pPr>
        <w:spacing w:line="440" w:lineRule="exact"/>
        <w:ind w:firstLine="420" w:firstLineChars="200"/>
        <w:rPr>
          <w:rFonts w:hint="eastAsia" w:hAnsi="宋体" w:cs="宋体"/>
          <w:color w:val="auto"/>
          <w:szCs w:val="21"/>
        </w:rPr>
      </w:pPr>
      <w:r>
        <w:rPr>
          <w:rFonts w:hint="eastAsia" w:hAnsi="宋体" w:cs="宋体"/>
          <w:color w:val="auto"/>
          <w:szCs w:val="21"/>
        </w:rPr>
        <w:t>三档（</w:t>
      </w:r>
      <w:r>
        <w:rPr>
          <w:rFonts w:hint="eastAsia" w:ascii="宋体" w:hAnsi="宋体" w:cs="宋体"/>
          <w:color w:val="auto"/>
          <w:szCs w:val="21"/>
        </w:rPr>
        <w:t>12</w:t>
      </w:r>
      <w:r>
        <w:rPr>
          <w:rFonts w:hint="eastAsia" w:hAnsi="宋体" w:cs="宋体"/>
          <w:color w:val="auto"/>
          <w:szCs w:val="21"/>
        </w:rPr>
        <w:t>分）：在第二档的基础上，服务内容增加但不限于提供针对性的应急保障方案，定期维护计划（注明时间）考虑周全，替代品方案、免费保修期（免费软件升级期）外维修方案、其它优惠方案等。</w:t>
      </w:r>
    </w:p>
    <w:p w14:paraId="7EF1689B">
      <w:pPr>
        <w:spacing w:line="440" w:lineRule="exact"/>
        <w:ind w:firstLine="420" w:firstLineChars="200"/>
        <w:rPr>
          <w:rFonts w:hint="eastAsia" w:ascii="宋体" w:hAnsi="宋体" w:cs="宋体"/>
          <w:color w:val="auto"/>
          <w:kern w:val="0"/>
          <w:szCs w:val="21"/>
        </w:rPr>
      </w:pPr>
      <w:r>
        <w:rPr>
          <w:rFonts w:hint="eastAsia" w:ascii="宋体" w:hAnsi="宋体" w:cs="宋体"/>
          <w:color w:val="auto"/>
          <w:kern w:val="0"/>
          <w:szCs w:val="21"/>
        </w:rPr>
        <w:t>注：未提供售后服务方案不得分。</w:t>
      </w:r>
    </w:p>
    <w:p w14:paraId="0E46F69A">
      <w:pPr>
        <w:spacing w:line="440" w:lineRule="exact"/>
        <w:ind w:firstLine="422" w:firstLineChars="200"/>
        <w:rPr>
          <w:rFonts w:hint="eastAsia" w:ascii="宋体" w:hAnsi="宋体" w:cs="宋体"/>
          <w:b/>
          <w:bCs/>
          <w:color w:val="auto"/>
          <w:kern w:val="0"/>
          <w:szCs w:val="21"/>
        </w:rPr>
      </w:pPr>
      <w:r>
        <w:rPr>
          <w:rFonts w:hint="eastAsia" w:ascii="宋体" w:hAnsi="宋体" w:cs="宋体"/>
          <w:b/>
          <w:bCs/>
          <w:color w:val="auto"/>
          <w:kern w:val="0"/>
          <w:szCs w:val="21"/>
        </w:rPr>
        <w:t>6、业绩分……………………………………………………………………………………满分1分</w:t>
      </w:r>
    </w:p>
    <w:p w14:paraId="536F21D3">
      <w:pPr>
        <w:spacing w:line="440" w:lineRule="exact"/>
        <w:ind w:firstLine="420" w:firstLineChars="200"/>
        <w:rPr>
          <w:rFonts w:hint="eastAsia" w:ascii="宋体" w:hAnsi="宋体" w:cs="宋体"/>
          <w:bCs/>
          <w:color w:val="auto"/>
          <w:szCs w:val="21"/>
          <w:shd w:val="clear" w:color="auto" w:fill="FFFFFF"/>
        </w:rPr>
      </w:pPr>
      <w:r>
        <w:rPr>
          <w:rFonts w:hint="eastAsia" w:ascii="宋体" w:hAnsi="宋体" w:cs="宋体"/>
          <w:bCs/>
          <w:color w:val="auto"/>
          <w:szCs w:val="21"/>
          <w:shd w:val="clear" w:color="auto" w:fill="FFFFFF"/>
        </w:rPr>
        <w:t>投标人2022年以来具有类似项目业绩的，每个得0.5分，此项满分1分。（以中标（成交）通知书和签订的销售合同复印件为准，须附有采购货物清单及金额，并能清晰反映所销售的货物名称、种类、时间等内容）；</w:t>
      </w:r>
    </w:p>
    <w:p w14:paraId="6971781D">
      <w:pPr>
        <w:spacing w:line="440" w:lineRule="exact"/>
        <w:ind w:firstLine="422" w:firstLineChars="200"/>
        <w:rPr>
          <w:rFonts w:hint="eastAsia" w:ascii="宋体" w:hAnsi="宋体" w:cs="宋体"/>
          <w:b/>
          <w:bCs/>
          <w:color w:val="auto"/>
          <w:kern w:val="0"/>
          <w:szCs w:val="21"/>
        </w:rPr>
      </w:pPr>
      <w:r>
        <w:rPr>
          <w:rFonts w:hint="eastAsia" w:ascii="宋体" w:hAnsi="宋体" w:cs="宋体"/>
          <w:b/>
          <w:bCs/>
          <w:color w:val="auto"/>
          <w:kern w:val="0"/>
          <w:szCs w:val="21"/>
        </w:rPr>
        <w:t>7、政策功能分………………………………………………………………………………满分2分</w:t>
      </w:r>
    </w:p>
    <w:p w14:paraId="4119CFEB">
      <w:pPr>
        <w:snapToGrid w:val="0"/>
        <w:spacing w:line="440" w:lineRule="exact"/>
        <w:ind w:firstLine="420" w:firstLineChars="200"/>
        <w:rPr>
          <w:rFonts w:hint="eastAsia" w:ascii="宋体" w:hAnsi="宋体" w:cs="宋体"/>
          <w:color w:val="auto"/>
          <w:szCs w:val="21"/>
        </w:rPr>
      </w:pPr>
      <w:r>
        <w:rPr>
          <w:rFonts w:hint="eastAsia" w:ascii="宋体" w:hAnsi="宋体" w:cs="宋体"/>
          <w:color w:val="auto"/>
          <w:szCs w:val="21"/>
        </w:rPr>
        <w:t>（1）节能产品分：属于财政部《节能产品政府采购品目清单》内优先采购（清单内未标注“★”的品目）的产品[投标文件中提供有效的认证证书复印件及品目清单（标注投标产品在品目清单中所属的品目），并加盖投标人公章]，每提供一项得0.5分，满分1分。非节能产品的不得分。</w:t>
      </w:r>
    </w:p>
    <w:p w14:paraId="164A4CFB">
      <w:pPr>
        <w:spacing w:line="440" w:lineRule="exact"/>
        <w:ind w:firstLine="420" w:firstLineChars="200"/>
        <w:rPr>
          <w:rFonts w:hint="eastAsia" w:ascii="宋体" w:hAnsi="宋体" w:cs="宋体"/>
          <w:b/>
          <w:bCs/>
          <w:color w:val="auto"/>
          <w:szCs w:val="21"/>
        </w:rPr>
      </w:pPr>
      <w:r>
        <w:rPr>
          <w:rFonts w:hint="eastAsia" w:ascii="宋体" w:hAnsi="宋体" w:cs="宋体"/>
          <w:color w:val="auto"/>
          <w:szCs w:val="21"/>
        </w:rPr>
        <w:t>（2）环境标志产品分：属于财政部《环境标志产品政府采购品目清单》内的产品[投标文件中提供有效的认证证书复印件及品目清单（标注投标产品在品目清单中所属的品目），并加盖投标人公章]，每提供一项得0.5分，满分1分。</w:t>
      </w:r>
    </w:p>
    <w:p w14:paraId="3B77EE29">
      <w:pPr>
        <w:snapToGrid w:val="0"/>
        <w:spacing w:line="440" w:lineRule="exact"/>
        <w:ind w:firstLine="525"/>
        <w:rPr>
          <w:rFonts w:hint="eastAsia" w:ascii="宋体" w:hAnsi="宋体" w:cs="宋体"/>
          <w:b/>
          <w:bCs/>
          <w:color w:val="auto"/>
          <w:szCs w:val="21"/>
        </w:rPr>
      </w:pPr>
      <w:r>
        <w:rPr>
          <w:rFonts w:hint="eastAsia" w:ascii="宋体" w:hAnsi="宋体" w:cs="宋体"/>
          <w:b/>
          <w:bCs/>
          <w:color w:val="auto"/>
          <w:szCs w:val="21"/>
        </w:rPr>
        <w:t>（六）总得分＝1+2+3+4+5+6+7</w:t>
      </w:r>
    </w:p>
    <w:p w14:paraId="02F85E7C">
      <w:pPr>
        <w:snapToGrid w:val="0"/>
        <w:spacing w:line="360" w:lineRule="auto"/>
        <w:ind w:firstLine="105"/>
        <w:rPr>
          <w:rFonts w:hint="eastAsia" w:ascii="宋体" w:hAnsi="宋体"/>
          <w:b/>
          <w:color w:val="auto"/>
          <w:sz w:val="24"/>
        </w:rPr>
      </w:pPr>
      <w:r>
        <w:rPr>
          <w:rFonts w:hint="eastAsia" w:ascii="宋体" w:hAnsi="宋体"/>
          <w:b/>
          <w:color w:val="auto"/>
          <w:sz w:val="24"/>
        </w:rPr>
        <w:t>三、中标候选人推荐原则</w:t>
      </w:r>
    </w:p>
    <w:p w14:paraId="0D4D6862">
      <w:pPr>
        <w:pStyle w:val="27"/>
        <w:tabs>
          <w:tab w:val="left" w:pos="4214"/>
        </w:tabs>
        <w:spacing w:line="360" w:lineRule="auto"/>
        <w:ind w:firstLine="420" w:firstLineChars="200"/>
        <w:rPr>
          <w:rFonts w:hint="eastAsia" w:hAnsi="宋体"/>
          <w:color w:val="auto"/>
          <w:szCs w:val="21"/>
        </w:rPr>
      </w:pPr>
      <w:r>
        <w:rPr>
          <w:rFonts w:hint="eastAsia" w:hAnsi="宋体"/>
          <w:color w:val="auto"/>
          <w:szCs w:val="21"/>
        </w:rPr>
        <w:t>（1）评标委员会将根据得分由高到低排列次序（得分相同时，以投标报价由低到高顺序排列；得分相同且投标报价相同的，则依次按</w:t>
      </w:r>
      <w:r>
        <w:rPr>
          <w:rFonts w:hint="eastAsia" w:hAnsi="宋体" w:cs="宋体"/>
          <w:color w:val="auto"/>
          <w:szCs w:val="21"/>
        </w:rPr>
        <w:t>货物性能、项目实施方案、售后服务方案、履约能力得分</w:t>
      </w:r>
      <w:r>
        <w:rPr>
          <w:rFonts w:hint="eastAsia" w:hAnsi="宋体"/>
          <w:color w:val="auto"/>
          <w:szCs w:val="21"/>
        </w:rPr>
        <w:t>由高到低的顺序排列）并推荐前三名为中标候选人。</w:t>
      </w:r>
    </w:p>
    <w:p w14:paraId="6DAA26F5">
      <w:pPr>
        <w:pStyle w:val="27"/>
        <w:tabs>
          <w:tab w:val="left" w:pos="4214"/>
        </w:tabs>
        <w:spacing w:line="360" w:lineRule="auto"/>
        <w:ind w:firstLine="420" w:firstLineChars="200"/>
        <w:rPr>
          <w:rFonts w:hint="eastAsia" w:hAnsi="宋体"/>
          <w:color w:val="auto"/>
          <w:szCs w:val="21"/>
        </w:rPr>
      </w:pPr>
      <w:r>
        <w:rPr>
          <w:rFonts w:hint="eastAsia" w:hAnsi="宋体"/>
          <w:color w:val="auto"/>
          <w:szCs w:val="21"/>
        </w:rPr>
        <w:t>（2）评标委员会可推荐前三名为中标候选人，采购人应当确定评标委员会推荐排名第一的中标候选人为中标人。</w:t>
      </w:r>
    </w:p>
    <w:p w14:paraId="33A56E0C">
      <w:pPr>
        <w:pStyle w:val="27"/>
        <w:spacing w:line="360" w:lineRule="auto"/>
        <w:ind w:firstLine="447" w:firstLineChars="213"/>
        <w:rPr>
          <w:rFonts w:hint="eastAsia" w:hAnsi="宋体"/>
          <w:color w:val="auto"/>
          <w:szCs w:val="21"/>
        </w:rPr>
      </w:pPr>
      <w:r>
        <w:rPr>
          <w:rFonts w:hint="eastAsia" w:hAnsi="宋体"/>
          <w:color w:val="auto"/>
          <w:szCs w:val="21"/>
        </w:rPr>
        <w:t>（3）排名第一的中标候选人放弃中标、因不可抗力提出不能履行合同，或者招标文件规定应当提交履约保证金而在规定的期限内未能提交的，或因失信行为被取消中标候选人资格的，采购人可以确定排名第二的中标候选人为中标人或重新招标，并依此类推。</w:t>
      </w:r>
    </w:p>
    <w:p w14:paraId="6C7B8006">
      <w:pPr>
        <w:snapToGrid w:val="0"/>
        <w:spacing w:line="360" w:lineRule="auto"/>
        <w:ind w:firstLine="422"/>
        <w:rPr>
          <w:color w:val="auto"/>
        </w:rPr>
      </w:pPr>
      <w:r>
        <w:rPr>
          <w:rFonts w:hint="eastAsia"/>
          <w:color w:val="auto"/>
        </w:rPr>
        <w:t xml:space="preserve">                 </w:t>
      </w:r>
    </w:p>
    <w:p w14:paraId="58EB52D3">
      <w:pPr>
        <w:pStyle w:val="27"/>
        <w:spacing w:line="400" w:lineRule="exact"/>
        <w:jc w:val="center"/>
        <w:outlineLvl w:val="0"/>
        <w:rPr>
          <w:rFonts w:hint="eastAsia" w:hAnsi="宋体"/>
          <w:b/>
          <w:color w:val="auto"/>
          <w:sz w:val="32"/>
          <w:szCs w:val="32"/>
        </w:rPr>
      </w:pPr>
      <w:bookmarkStart w:id="29" w:name="_Toc90288708"/>
      <w:r>
        <w:rPr>
          <w:rFonts w:hint="eastAsia" w:hAnsi="宋体"/>
          <w:b/>
          <w:color w:val="auto"/>
          <w:sz w:val="32"/>
          <w:szCs w:val="32"/>
        </w:rPr>
        <w:br w:type="page"/>
      </w:r>
      <w:r>
        <w:rPr>
          <w:rFonts w:hint="eastAsia" w:hAnsi="宋体"/>
          <w:b/>
          <w:color w:val="auto"/>
          <w:sz w:val="32"/>
          <w:szCs w:val="32"/>
        </w:rPr>
        <w:t>第五章  合同主要条款及格式</w:t>
      </w:r>
      <w:bookmarkEnd w:id="29"/>
    </w:p>
    <w:p w14:paraId="56D5512D">
      <w:pPr>
        <w:spacing w:line="400" w:lineRule="exact"/>
        <w:rPr>
          <w:rFonts w:hint="eastAsia" w:ascii="宋体" w:hAnsi="宋体"/>
          <w:color w:val="auto"/>
        </w:rPr>
      </w:pPr>
    </w:p>
    <w:p w14:paraId="50981419">
      <w:pPr>
        <w:spacing w:line="360" w:lineRule="auto"/>
        <w:rPr>
          <w:rFonts w:hint="eastAsia" w:ascii="宋体" w:hAnsi="宋体"/>
          <w:color w:val="auto"/>
          <w:u w:val="single"/>
        </w:rPr>
      </w:pPr>
      <w:r>
        <w:rPr>
          <w:rFonts w:hint="eastAsia" w:ascii="宋体" w:hAnsi="宋体"/>
          <w:color w:val="auto"/>
        </w:rPr>
        <w:t>项目名称：</w:t>
      </w:r>
      <w:r>
        <w:rPr>
          <w:rFonts w:hint="eastAsia" w:ascii="宋体" w:hAnsi="宋体"/>
          <w:color w:val="auto"/>
          <w:u w:val="single"/>
        </w:rPr>
        <w:t xml:space="preserve">     </w:t>
      </w:r>
    </w:p>
    <w:p w14:paraId="7547DA5F">
      <w:pPr>
        <w:spacing w:line="360" w:lineRule="auto"/>
        <w:rPr>
          <w:rFonts w:hint="eastAsia" w:ascii="宋体" w:hAnsi="宋体"/>
          <w:color w:val="auto"/>
        </w:rPr>
      </w:pPr>
      <w:r>
        <w:rPr>
          <w:rFonts w:hint="eastAsia" w:ascii="宋体" w:hAnsi="宋体"/>
          <w:color w:val="auto"/>
        </w:rPr>
        <w:t>项目编号：</w:t>
      </w:r>
    </w:p>
    <w:p w14:paraId="60915FCD">
      <w:pPr>
        <w:spacing w:line="360" w:lineRule="auto"/>
        <w:rPr>
          <w:rFonts w:hint="eastAsia" w:ascii="宋体" w:hAnsi="宋体"/>
          <w:color w:val="auto"/>
        </w:rPr>
      </w:pPr>
    </w:p>
    <w:p w14:paraId="44152DE3">
      <w:pPr>
        <w:spacing w:line="360" w:lineRule="auto"/>
        <w:rPr>
          <w:rFonts w:hint="eastAsia" w:ascii="宋体" w:hAnsi="宋体"/>
          <w:color w:val="auto"/>
        </w:rPr>
      </w:pPr>
      <w:r>
        <w:rPr>
          <w:rFonts w:hint="eastAsia" w:ascii="宋体" w:hAnsi="宋体"/>
          <w:color w:val="auto"/>
        </w:rPr>
        <w:t>甲方：</w:t>
      </w:r>
      <w:r>
        <w:rPr>
          <w:rFonts w:hint="eastAsia" w:ascii="宋体" w:hAnsi="宋体"/>
          <w:color w:val="auto"/>
          <w:szCs w:val="21"/>
          <w:u w:val="single"/>
        </w:rPr>
        <w:t xml:space="preserve">                   </w:t>
      </w:r>
      <w:r>
        <w:rPr>
          <w:rFonts w:hint="eastAsia" w:ascii="宋体" w:hAnsi="宋体"/>
          <w:color w:val="auto"/>
        </w:rPr>
        <w:t>（采购人）</w:t>
      </w:r>
    </w:p>
    <w:p w14:paraId="7B8E4550">
      <w:pPr>
        <w:spacing w:line="360" w:lineRule="auto"/>
        <w:rPr>
          <w:rFonts w:hint="eastAsia" w:ascii="宋体" w:hAnsi="宋体"/>
          <w:color w:val="auto"/>
        </w:rPr>
      </w:pPr>
      <w:r>
        <w:rPr>
          <w:rFonts w:hint="eastAsia" w:ascii="宋体" w:hAnsi="宋体"/>
          <w:color w:val="auto"/>
        </w:rPr>
        <w:t>乙方：</w:t>
      </w:r>
      <w:r>
        <w:rPr>
          <w:rFonts w:hint="eastAsia" w:ascii="宋体" w:hAnsi="宋体"/>
          <w:color w:val="auto"/>
          <w:szCs w:val="21"/>
          <w:u w:val="single"/>
        </w:rPr>
        <w:t xml:space="preserve">                  </w:t>
      </w:r>
      <w:r>
        <w:rPr>
          <w:rFonts w:hint="eastAsia" w:ascii="宋体" w:hAnsi="宋体"/>
          <w:color w:val="auto"/>
        </w:rPr>
        <w:t>（中标投标人）</w:t>
      </w:r>
    </w:p>
    <w:p w14:paraId="1C0604D4">
      <w:pPr>
        <w:spacing w:line="360" w:lineRule="auto"/>
        <w:ind w:firstLine="420" w:firstLineChars="200"/>
        <w:rPr>
          <w:rFonts w:hint="eastAsia" w:ascii="宋体" w:hAnsi="宋体"/>
          <w:color w:val="auto"/>
        </w:rPr>
      </w:pPr>
      <w:r>
        <w:rPr>
          <w:rFonts w:hint="eastAsia" w:ascii="宋体" w:hAnsi="宋体"/>
          <w:color w:val="auto"/>
        </w:rPr>
        <w:t>根据《中华人民共和国政府采购法》、《中华人民共和国政府采购法实施条例》、《中华人民共和国</w:t>
      </w:r>
      <w:r>
        <w:rPr>
          <w:rFonts w:hint="eastAsia" w:ascii="宋体" w:hAnsi="宋体"/>
          <w:color w:val="auto"/>
          <w:szCs w:val="21"/>
        </w:rPr>
        <w:t>民法典</w:t>
      </w:r>
      <w:r>
        <w:rPr>
          <w:rFonts w:hint="eastAsia" w:ascii="宋体" w:hAnsi="宋体"/>
          <w:color w:val="auto"/>
        </w:rPr>
        <w:t>》等法律、法规规定，按照招投标文件规定条款和中标投标人承诺、甲乙双方签订本合同。</w:t>
      </w:r>
    </w:p>
    <w:p w14:paraId="2DF3E8BF">
      <w:pPr>
        <w:numPr>
          <w:ilvl w:val="0"/>
          <w:numId w:val="2"/>
        </w:numPr>
        <w:spacing w:line="360" w:lineRule="auto"/>
        <w:rPr>
          <w:rFonts w:hint="eastAsia" w:ascii="宋体" w:hAnsi="宋体"/>
          <w:b/>
          <w:color w:val="auto"/>
          <w:szCs w:val="21"/>
        </w:rPr>
      </w:pPr>
      <w:r>
        <w:rPr>
          <w:rFonts w:hint="eastAsia" w:ascii="宋体" w:hAnsi="宋体"/>
          <w:b/>
          <w:color w:val="auto"/>
          <w:szCs w:val="21"/>
        </w:rPr>
        <w:t>合同标的及合同金额</w:t>
      </w:r>
    </w:p>
    <w:p w14:paraId="0134B5EA">
      <w:pPr>
        <w:spacing w:line="360" w:lineRule="auto"/>
        <w:ind w:left="413"/>
        <w:rPr>
          <w:rFonts w:hint="eastAsia" w:ascii="宋体" w:hAnsi="宋体"/>
          <w:b/>
          <w:color w:val="auto"/>
          <w:szCs w:val="21"/>
        </w:rPr>
      </w:pPr>
      <w:r>
        <w:rPr>
          <w:rFonts w:hint="eastAsia" w:ascii="宋体" w:hAnsi="宋体"/>
          <w:b/>
          <w:color w:val="auto"/>
          <w:szCs w:val="21"/>
        </w:rPr>
        <w:t>1.合同标的</w:t>
      </w:r>
    </w:p>
    <w:tbl>
      <w:tblPr>
        <w:tblStyle w:val="50"/>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32"/>
        <w:gridCol w:w="1445"/>
        <w:gridCol w:w="1483"/>
        <w:gridCol w:w="698"/>
        <w:gridCol w:w="714"/>
        <w:gridCol w:w="1412"/>
        <w:gridCol w:w="1575"/>
      </w:tblGrid>
      <w:tr w14:paraId="1D141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709" w:type="dxa"/>
            <w:vAlign w:val="center"/>
          </w:tcPr>
          <w:p w14:paraId="5E339345">
            <w:pPr>
              <w:snapToGrid w:val="0"/>
              <w:spacing w:line="360" w:lineRule="auto"/>
              <w:jc w:val="center"/>
              <w:rPr>
                <w:rFonts w:hint="eastAsia" w:ascii="宋体" w:hAnsi="宋体"/>
                <w:color w:val="auto"/>
                <w:szCs w:val="21"/>
              </w:rPr>
            </w:pPr>
            <w:r>
              <w:rPr>
                <w:rFonts w:hint="eastAsia" w:ascii="宋体" w:hAnsi="宋体"/>
                <w:color w:val="auto"/>
                <w:szCs w:val="21"/>
              </w:rPr>
              <w:t>项号</w:t>
            </w:r>
          </w:p>
        </w:tc>
        <w:tc>
          <w:tcPr>
            <w:tcW w:w="1232" w:type="dxa"/>
            <w:vAlign w:val="center"/>
          </w:tcPr>
          <w:p w14:paraId="7BA59FEC">
            <w:pPr>
              <w:snapToGrid w:val="0"/>
              <w:spacing w:line="360" w:lineRule="auto"/>
              <w:jc w:val="center"/>
              <w:rPr>
                <w:rFonts w:hint="eastAsia" w:ascii="宋体" w:hAnsi="宋体"/>
                <w:color w:val="auto"/>
                <w:szCs w:val="21"/>
              </w:rPr>
            </w:pPr>
            <w:r>
              <w:rPr>
                <w:rFonts w:hint="eastAsia" w:ascii="宋体" w:hAnsi="宋体"/>
                <w:color w:val="auto"/>
                <w:szCs w:val="21"/>
              </w:rPr>
              <w:t>货物名称</w:t>
            </w:r>
          </w:p>
        </w:tc>
        <w:tc>
          <w:tcPr>
            <w:tcW w:w="1445" w:type="dxa"/>
            <w:vAlign w:val="center"/>
          </w:tcPr>
          <w:p w14:paraId="1BF50E95">
            <w:pPr>
              <w:snapToGrid w:val="0"/>
              <w:spacing w:line="360" w:lineRule="auto"/>
              <w:jc w:val="center"/>
              <w:rPr>
                <w:rFonts w:hint="eastAsia" w:ascii="宋体" w:hAnsi="宋体"/>
                <w:color w:val="auto"/>
                <w:szCs w:val="21"/>
              </w:rPr>
            </w:pPr>
            <w:r>
              <w:rPr>
                <w:rFonts w:hint="eastAsia" w:ascii="宋体" w:hAnsi="宋体"/>
                <w:color w:val="auto"/>
                <w:szCs w:val="30"/>
              </w:rPr>
              <w:t>厂家、品牌、规格型号</w:t>
            </w:r>
          </w:p>
        </w:tc>
        <w:tc>
          <w:tcPr>
            <w:tcW w:w="1483" w:type="dxa"/>
            <w:vAlign w:val="center"/>
          </w:tcPr>
          <w:p w14:paraId="233D28B2">
            <w:pPr>
              <w:snapToGrid w:val="0"/>
              <w:spacing w:line="360" w:lineRule="auto"/>
              <w:jc w:val="center"/>
              <w:rPr>
                <w:rFonts w:hint="eastAsia" w:ascii="宋体" w:hAnsi="宋体"/>
                <w:color w:val="auto"/>
                <w:szCs w:val="21"/>
              </w:rPr>
            </w:pPr>
            <w:r>
              <w:rPr>
                <w:rFonts w:hint="eastAsia" w:ascii="宋体" w:hAnsi="宋体"/>
                <w:color w:val="auto"/>
                <w:szCs w:val="21"/>
              </w:rPr>
              <w:t>技术参数、性能、配置</w:t>
            </w:r>
          </w:p>
        </w:tc>
        <w:tc>
          <w:tcPr>
            <w:tcW w:w="698" w:type="dxa"/>
            <w:vAlign w:val="center"/>
          </w:tcPr>
          <w:p w14:paraId="7C4F01D6">
            <w:pPr>
              <w:snapToGrid w:val="0"/>
              <w:spacing w:line="360" w:lineRule="auto"/>
              <w:jc w:val="center"/>
              <w:rPr>
                <w:rFonts w:hint="eastAsia" w:ascii="宋体" w:hAnsi="宋体"/>
                <w:color w:val="auto"/>
                <w:szCs w:val="21"/>
              </w:rPr>
            </w:pPr>
            <w:r>
              <w:rPr>
                <w:rFonts w:hint="eastAsia" w:ascii="宋体" w:hAnsi="宋体"/>
                <w:color w:val="auto"/>
                <w:szCs w:val="21"/>
              </w:rPr>
              <w:t>数量</w:t>
            </w:r>
          </w:p>
          <w:p w14:paraId="7E067263">
            <w:pPr>
              <w:snapToGrid w:val="0"/>
              <w:spacing w:line="360" w:lineRule="auto"/>
              <w:jc w:val="center"/>
              <w:rPr>
                <w:rFonts w:hint="eastAsia" w:ascii="宋体" w:hAnsi="宋体"/>
                <w:color w:val="auto"/>
                <w:szCs w:val="21"/>
              </w:rPr>
            </w:pPr>
            <w:r>
              <w:rPr>
                <w:rFonts w:hint="eastAsia" w:ascii="宋体" w:hAnsi="宋体"/>
                <w:color w:val="auto"/>
                <w:szCs w:val="21"/>
              </w:rPr>
              <w:t>①</w:t>
            </w:r>
          </w:p>
        </w:tc>
        <w:tc>
          <w:tcPr>
            <w:tcW w:w="714" w:type="dxa"/>
            <w:vAlign w:val="center"/>
          </w:tcPr>
          <w:p w14:paraId="585F45B6">
            <w:pPr>
              <w:snapToGrid w:val="0"/>
              <w:spacing w:line="360" w:lineRule="auto"/>
              <w:jc w:val="center"/>
              <w:rPr>
                <w:rFonts w:hint="eastAsia" w:ascii="宋体" w:hAnsi="宋体"/>
                <w:color w:val="auto"/>
                <w:szCs w:val="21"/>
              </w:rPr>
            </w:pPr>
            <w:r>
              <w:rPr>
                <w:rFonts w:hint="eastAsia" w:ascii="宋体" w:hAnsi="宋体"/>
                <w:color w:val="auto"/>
                <w:szCs w:val="21"/>
              </w:rPr>
              <w:t>单位</w:t>
            </w:r>
          </w:p>
        </w:tc>
        <w:tc>
          <w:tcPr>
            <w:tcW w:w="1412" w:type="dxa"/>
            <w:vAlign w:val="center"/>
          </w:tcPr>
          <w:p w14:paraId="5A0239CC">
            <w:pPr>
              <w:snapToGrid w:val="0"/>
              <w:spacing w:line="360" w:lineRule="auto"/>
              <w:jc w:val="center"/>
              <w:rPr>
                <w:rFonts w:hint="eastAsia" w:ascii="宋体" w:hAnsi="宋体"/>
                <w:color w:val="auto"/>
                <w:szCs w:val="21"/>
              </w:rPr>
            </w:pPr>
            <w:r>
              <w:rPr>
                <w:rFonts w:hint="eastAsia" w:ascii="宋体" w:hAnsi="宋体"/>
                <w:color w:val="auto"/>
                <w:szCs w:val="21"/>
              </w:rPr>
              <w:t>单价（元）</w:t>
            </w:r>
          </w:p>
          <w:p w14:paraId="2270296B">
            <w:pPr>
              <w:snapToGrid w:val="0"/>
              <w:spacing w:line="360" w:lineRule="auto"/>
              <w:jc w:val="center"/>
              <w:rPr>
                <w:rFonts w:hint="eastAsia" w:ascii="宋体" w:hAnsi="宋体"/>
                <w:color w:val="auto"/>
                <w:szCs w:val="21"/>
              </w:rPr>
            </w:pPr>
            <w:r>
              <w:rPr>
                <w:rFonts w:hint="eastAsia" w:ascii="宋体" w:hAnsi="宋体"/>
                <w:color w:val="auto"/>
                <w:szCs w:val="21"/>
              </w:rPr>
              <w:t>②</w:t>
            </w:r>
          </w:p>
        </w:tc>
        <w:tc>
          <w:tcPr>
            <w:tcW w:w="1575" w:type="dxa"/>
            <w:vAlign w:val="center"/>
          </w:tcPr>
          <w:p w14:paraId="43F1AD56">
            <w:pPr>
              <w:snapToGrid w:val="0"/>
              <w:spacing w:line="360" w:lineRule="auto"/>
              <w:jc w:val="center"/>
              <w:rPr>
                <w:rFonts w:hint="eastAsia" w:ascii="宋体" w:hAnsi="宋体"/>
                <w:color w:val="auto"/>
                <w:szCs w:val="21"/>
              </w:rPr>
            </w:pPr>
            <w:r>
              <w:rPr>
                <w:rFonts w:hint="eastAsia" w:ascii="宋体" w:hAnsi="宋体"/>
                <w:b/>
                <w:color w:val="auto"/>
                <w:szCs w:val="21"/>
              </w:rPr>
              <w:t>单项合计金额</w:t>
            </w:r>
            <w:r>
              <w:rPr>
                <w:rFonts w:hint="eastAsia" w:ascii="宋体" w:hAnsi="宋体"/>
                <w:color w:val="auto"/>
                <w:szCs w:val="21"/>
              </w:rPr>
              <w:t>（元）</w:t>
            </w:r>
          </w:p>
          <w:p w14:paraId="29939050">
            <w:pPr>
              <w:snapToGrid w:val="0"/>
              <w:spacing w:line="360" w:lineRule="auto"/>
              <w:jc w:val="center"/>
              <w:rPr>
                <w:rFonts w:hint="eastAsia" w:ascii="宋体" w:hAnsi="宋体"/>
                <w:color w:val="auto"/>
                <w:szCs w:val="21"/>
              </w:rPr>
            </w:pPr>
            <w:r>
              <w:rPr>
                <w:rFonts w:hint="eastAsia" w:ascii="宋体" w:hAnsi="宋体"/>
                <w:color w:val="auto"/>
                <w:szCs w:val="21"/>
              </w:rPr>
              <w:t>③＝①×②</w:t>
            </w:r>
          </w:p>
        </w:tc>
      </w:tr>
      <w:tr w14:paraId="56A80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709" w:type="dxa"/>
            <w:vAlign w:val="center"/>
          </w:tcPr>
          <w:p w14:paraId="28000AC8">
            <w:pPr>
              <w:spacing w:line="360" w:lineRule="auto"/>
              <w:jc w:val="center"/>
              <w:rPr>
                <w:rFonts w:hint="eastAsia" w:ascii="宋体" w:hAnsi="宋体" w:cs="宋体"/>
                <w:color w:val="auto"/>
                <w:szCs w:val="21"/>
              </w:rPr>
            </w:pPr>
            <w:r>
              <w:rPr>
                <w:rFonts w:hint="eastAsia" w:ascii="宋体" w:hAnsi="宋体" w:cs="宋体"/>
                <w:color w:val="auto"/>
                <w:szCs w:val="21"/>
              </w:rPr>
              <w:t>1</w:t>
            </w:r>
          </w:p>
        </w:tc>
        <w:tc>
          <w:tcPr>
            <w:tcW w:w="1232" w:type="dxa"/>
            <w:vAlign w:val="center"/>
          </w:tcPr>
          <w:p w14:paraId="24AA7266">
            <w:pPr>
              <w:spacing w:line="360" w:lineRule="auto"/>
              <w:jc w:val="center"/>
              <w:rPr>
                <w:rFonts w:hint="eastAsia" w:ascii="宋体" w:hAnsi="宋体" w:cs="宋体"/>
                <w:color w:val="auto"/>
                <w:szCs w:val="21"/>
              </w:rPr>
            </w:pPr>
          </w:p>
        </w:tc>
        <w:tc>
          <w:tcPr>
            <w:tcW w:w="1445" w:type="dxa"/>
            <w:vAlign w:val="center"/>
          </w:tcPr>
          <w:p w14:paraId="39F3816E">
            <w:pPr>
              <w:snapToGrid w:val="0"/>
              <w:spacing w:line="360" w:lineRule="auto"/>
              <w:rPr>
                <w:rFonts w:hint="eastAsia" w:ascii="宋体" w:hAnsi="宋体"/>
                <w:color w:val="auto"/>
                <w:szCs w:val="21"/>
              </w:rPr>
            </w:pPr>
          </w:p>
        </w:tc>
        <w:tc>
          <w:tcPr>
            <w:tcW w:w="1483" w:type="dxa"/>
            <w:vAlign w:val="center"/>
          </w:tcPr>
          <w:p w14:paraId="4DB932A6">
            <w:pPr>
              <w:snapToGrid w:val="0"/>
              <w:spacing w:line="360" w:lineRule="auto"/>
              <w:rPr>
                <w:rFonts w:hint="eastAsia" w:ascii="宋体" w:hAnsi="宋体"/>
                <w:color w:val="auto"/>
                <w:szCs w:val="21"/>
              </w:rPr>
            </w:pPr>
          </w:p>
        </w:tc>
        <w:tc>
          <w:tcPr>
            <w:tcW w:w="698" w:type="dxa"/>
            <w:vAlign w:val="center"/>
          </w:tcPr>
          <w:p w14:paraId="54D8F467">
            <w:pPr>
              <w:spacing w:line="360" w:lineRule="auto"/>
              <w:jc w:val="center"/>
              <w:rPr>
                <w:rFonts w:hint="eastAsia" w:ascii="宋体" w:hAnsi="宋体" w:cs="宋体"/>
                <w:color w:val="auto"/>
                <w:szCs w:val="21"/>
              </w:rPr>
            </w:pPr>
          </w:p>
        </w:tc>
        <w:tc>
          <w:tcPr>
            <w:tcW w:w="714" w:type="dxa"/>
            <w:vAlign w:val="center"/>
          </w:tcPr>
          <w:p w14:paraId="2224F50D">
            <w:pPr>
              <w:spacing w:line="360" w:lineRule="auto"/>
              <w:jc w:val="center"/>
              <w:rPr>
                <w:rFonts w:hint="eastAsia" w:ascii="宋体" w:hAnsi="宋体" w:cs="宋体"/>
                <w:color w:val="auto"/>
                <w:szCs w:val="21"/>
              </w:rPr>
            </w:pPr>
          </w:p>
        </w:tc>
        <w:tc>
          <w:tcPr>
            <w:tcW w:w="1412" w:type="dxa"/>
            <w:vAlign w:val="center"/>
          </w:tcPr>
          <w:p w14:paraId="7ED9C132">
            <w:pPr>
              <w:snapToGrid w:val="0"/>
              <w:spacing w:line="360" w:lineRule="auto"/>
              <w:rPr>
                <w:rFonts w:hint="eastAsia" w:ascii="宋体" w:hAnsi="宋体"/>
                <w:color w:val="auto"/>
                <w:szCs w:val="21"/>
              </w:rPr>
            </w:pPr>
          </w:p>
        </w:tc>
        <w:tc>
          <w:tcPr>
            <w:tcW w:w="1575" w:type="dxa"/>
            <w:vAlign w:val="center"/>
          </w:tcPr>
          <w:p w14:paraId="02D59454">
            <w:pPr>
              <w:snapToGrid w:val="0"/>
              <w:spacing w:line="360" w:lineRule="auto"/>
              <w:rPr>
                <w:rFonts w:hint="eastAsia" w:ascii="宋体" w:hAnsi="宋体"/>
                <w:color w:val="auto"/>
                <w:szCs w:val="21"/>
              </w:rPr>
            </w:pPr>
          </w:p>
        </w:tc>
      </w:tr>
      <w:tr w14:paraId="042EF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709" w:type="dxa"/>
            <w:vAlign w:val="center"/>
          </w:tcPr>
          <w:p w14:paraId="0689EDD5">
            <w:pPr>
              <w:spacing w:line="360" w:lineRule="auto"/>
              <w:jc w:val="center"/>
              <w:rPr>
                <w:rFonts w:hint="eastAsia" w:ascii="宋体" w:hAnsi="宋体" w:cs="宋体"/>
                <w:color w:val="auto"/>
                <w:szCs w:val="21"/>
              </w:rPr>
            </w:pPr>
            <w:r>
              <w:rPr>
                <w:rFonts w:hint="eastAsia" w:ascii="宋体" w:hAnsi="宋体" w:cs="宋体"/>
                <w:color w:val="auto"/>
                <w:szCs w:val="21"/>
              </w:rPr>
              <w:t>2</w:t>
            </w:r>
          </w:p>
        </w:tc>
        <w:tc>
          <w:tcPr>
            <w:tcW w:w="1232" w:type="dxa"/>
            <w:vAlign w:val="center"/>
          </w:tcPr>
          <w:p w14:paraId="7475C244">
            <w:pPr>
              <w:spacing w:line="360" w:lineRule="auto"/>
              <w:jc w:val="center"/>
              <w:rPr>
                <w:rFonts w:hint="eastAsia" w:ascii="宋体" w:hAnsi="宋体" w:cs="宋体"/>
                <w:color w:val="auto"/>
                <w:szCs w:val="21"/>
              </w:rPr>
            </w:pPr>
          </w:p>
        </w:tc>
        <w:tc>
          <w:tcPr>
            <w:tcW w:w="1445" w:type="dxa"/>
            <w:vAlign w:val="center"/>
          </w:tcPr>
          <w:p w14:paraId="64AAAC41">
            <w:pPr>
              <w:snapToGrid w:val="0"/>
              <w:spacing w:line="360" w:lineRule="auto"/>
              <w:rPr>
                <w:rFonts w:hint="eastAsia" w:ascii="宋体" w:hAnsi="宋体"/>
                <w:color w:val="auto"/>
                <w:szCs w:val="21"/>
              </w:rPr>
            </w:pPr>
          </w:p>
        </w:tc>
        <w:tc>
          <w:tcPr>
            <w:tcW w:w="1483" w:type="dxa"/>
            <w:vAlign w:val="center"/>
          </w:tcPr>
          <w:p w14:paraId="029F15B4">
            <w:pPr>
              <w:snapToGrid w:val="0"/>
              <w:spacing w:line="360" w:lineRule="auto"/>
              <w:rPr>
                <w:rFonts w:hint="eastAsia" w:ascii="宋体" w:hAnsi="宋体"/>
                <w:color w:val="auto"/>
                <w:szCs w:val="21"/>
              </w:rPr>
            </w:pPr>
          </w:p>
        </w:tc>
        <w:tc>
          <w:tcPr>
            <w:tcW w:w="698" w:type="dxa"/>
            <w:vAlign w:val="center"/>
          </w:tcPr>
          <w:p w14:paraId="2C1056EF">
            <w:pPr>
              <w:spacing w:line="360" w:lineRule="auto"/>
              <w:jc w:val="center"/>
              <w:rPr>
                <w:rFonts w:hint="eastAsia" w:ascii="宋体" w:hAnsi="宋体" w:cs="宋体"/>
                <w:color w:val="auto"/>
                <w:szCs w:val="21"/>
              </w:rPr>
            </w:pPr>
          </w:p>
        </w:tc>
        <w:tc>
          <w:tcPr>
            <w:tcW w:w="714" w:type="dxa"/>
            <w:vAlign w:val="center"/>
          </w:tcPr>
          <w:p w14:paraId="09E3DFAE">
            <w:pPr>
              <w:spacing w:line="360" w:lineRule="auto"/>
              <w:jc w:val="center"/>
              <w:rPr>
                <w:rFonts w:hint="eastAsia" w:ascii="宋体" w:hAnsi="宋体" w:cs="宋体"/>
                <w:color w:val="auto"/>
                <w:szCs w:val="21"/>
              </w:rPr>
            </w:pPr>
          </w:p>
        </w:tc>
        <w:tc>
          <w:tcPr>
            <w:tcW w:w="1412" w:type="dxa"/>
            <w:vAlign w:val="center"/>
          </w:tcPr>
          <w:p w14:paraId="0608B9F5">
            <w:pPr>
              <w:snapToGrid w:val="0"/>
              <w:spacing w:line="360" w:lineRule="auto"/>
              <w:rPr>
                <w:rFonts w:hint="eastAsia" w:ascii="宋体" w:hAnsi="宋体"/>
                <w:color w:val="auto"/>
                <w:szCs w:val="21"/>
              </w:rPr>
            </w:pPr>
          </w:p>
        </w:tc>
        <w:tc>
          <w:tcPr>
            <w:tcW w:w="1575" w:type="dxa"/>
            <w:vAlign w:val="center"/>
          </w:tcPr>
          <w:p w14:paraId="17D291C5">
            <w:pPr>
              <w:snapToGrid w:val="0"/>
              <w:spacing w:line="360" w:lineRule="auto"/>
              <w:rPr>
                <w:rFonts w:hint="eastAsia" w:ascii="宋体" w:hAnsi="宋体"/>
                <w:color w:val="auto"/>
                <w:szCs w:val="21"/>
              </w:rPr>
            </w:pPr>
          </w:p>
        </w:tc>
      </w:tr>
      <w:tr w14:paraId="2E547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709" w:type="dxa"/>
            <w:vAlign w:val="center"/>
          </w:tcPr>
          <w:p w14:paraId="1960E176">
            <w:pPr>
              <w:spacing w:line="360" w:lineRule="auto"/>
              <w:jc w:val="center"/>
              <w:rPr>
                <w:rFonts w:hint="eastAsia" w:ascii="宋体" w:hAnsi="宋体" w:cs="宋体"/>
                <w:color w:val="auto"/>
                <w:szCs w:val="21"/>
              </w:rPr>
            </w:pPr>
            <w:r>
              <w:rPr>
                <w:rFonts w:hint="eastAsia" w:ascii="宋体" w:hAnsi="宋体" w:cs="宋体"/>
                <w:color w:val="auto"/>
                <w:szCs w:val="21"/>
              </w:rPr>
              <w:t>…</w:t>
            </w:r>
          </w:p>
        </w:tc>
        <w:tc>
          <w:tcPr>
            <w:tcW w:w="1232" w:type="dxa"/>
            <w:vAlign w:val="center"/>
          </w:tcPr>
          <w:p w14:paraId="34B61BE6">
            <w:pPr>
              <w:spacing w:line="360" w:lineRule="auto"/>
              <w:jc w:val="center"/>
              <w:rPr>
                <w:rFonts w:hint="eastAsia" w:ascii="宋体" w:hAnsi="宋体" w:cs="宋体"/>
                <w:color w:val="auto"/>
                <w:szCs w:val="21"/>
              </w:rPr>
            </w:pPr>
          </w:p>
        </w:tc>
        <w:tc>
          <w:tcPr>
            <w:tcW w:w="1445" w:type="dxa"/>
            <w:vAlign w:val="center"/>
          </w:tcPr>
          <w:p w14:paraId="49590A97">
            <w:pPr>
              <w:snapToGrid w:val="0"/>
              <w:spacing w:line="360" w:lineRule="auto"/>
              <w:rPr>
                <w:rFonts w:hint="eastAsia" w:ascii="宋体" w:hAnsi="宋体"/>
                <w:color w:val="auto"/>
                <w:szCs w:val="21"/>
              </w:rPr>
            </w:pPr>
          </w:p>
        </w:tc>
        <w:tc>
          <w:tcPr>
            <w:tcW w:w="1483" w:type="dxa"/>
            <w:vAlign w:val="center"/>
          </w:tcPr>
          <w:p w14:paraId="77F819FE">
            <w:pPr>
              <w:snapToGrid w:val="0"/>
              <w:spacing w:line="360" w:lineRule="auto"/>
              <w:rPr>
                <w:rFonts w:hint="eastAsia" w:ascii="宋体" w:hAnsi="宋体"/>
                <w:color w:val="auto"/>
                <w:szCs w:val="21"/>
              </w:rPr>
            </w:pPr>
          </w:p>
        </w:tc>
        <w:tc>
          <w:tcPr>
            <w:tcW w:w="698" w:type="dxa"/>
            <w:vAlign w:val="center"/>
          </w:tcPr>
          <w:p w14:paraId="040A2EFF">
            <w:pPr>
              <w:spacing w:line="360" w:lineRule="auto"/>
              <w:jc w:val="center"/>
              <w:rPr>
                <w:rFonts w:hint="eastAsia" w:ascii="宋体" w:hAnsi="宋体" w:cs="宋体"/>
                <w:color w:val="auto"/>
                <w:szCs w:val="21"/>
              </w:rPr>
            </w:pPr>
          </w:p>
        </w:tc>
        <w:tc>
          <w:tcPr>
            <w:tcW w:w="714" w:type="dxa"/>
            <w:vAlign w:val="center"/>
          </w:tcPr>
          <w:p w14:paraId="15B99AB8">
            <w:pPr>
              <w:spacing w:line="360" w:lineRule="auto"/>
              <w:jc w:val="center"/>
              <w:rPr>
                <w:rFonts w:hint="eastAsia" w:ascii="宋体" w:hAnsi="宋体" w:cs="宋体"/>
                <w:color w:val="auto"/>
                <w:szCs w:val="21"/>
              </w:rPr>
            </w:pPr>
          </w:p>
        </w:tc>
        <w:tc>
          <w:tcPr>
            <w:tcW w:w="1412" w:type="dxa"/>
            <w:vAlign w:val="center"/>
          </w:tcPr>
          <w:p w14:paraId="0C715386">
            <w:pPr>
              <w:snapToGrid w:val="0"/>
              <w:spacing w:line="360" w:lineRule="auto"/>
              <w:rPr>
                <w:rFonts w:hint="eastAsia" w:ascii="宋体" w:hAnsi="宋体"/>
                <w:color w:val="auto"/>
                <w:szCs w:val="21"/>
              </w:rPr>
            </w:pPr>
          </w:p>
        </w:tc>
        <w:tc>
          <w:tcPr>
            <w:tcW w:w="1575" w:type="dxa"/>
            <w:vAlign w:val="center"/>
          </w:tcPr>
          <w:p w14:paraId="729DE483">
            <w:pPr>
              <w:snapToGrid w:val="0"/>
              <w:spacing w:line="360" w:lineRule="auto"/>
              <w:rPr>
                <w:rFonts w:hint="eastAsia" w:ascii="宋体" w:hAnsi="宋体"/>
                <w:color w:val="auto"/>
                <w:szCs w:val="21"/>
              </w:rPr>
            </w:pPr>
          </w:p>
        </w:tc>
      </w:tr>
      <w:tr w14:paraId="574C7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709" w:type="dxa"/>
            <w:vAlign w:val="center"/>
          </w:tcPr>
          <w:p w14:paraId="792F1ECE">
            <w:pPr>
              <w:spacing w:line="360" w:lineRule="auto"/>
              <w:jc w:val="center"/>
              <w:rPr>
                <w:rFonts w:hint="eastAsia" w:ascii="宋体" w:hAnsi="宋体" w:cs="宋体"/>
                <w:color w:val="auto"/>
                <w:szCs w:val="21"/>
              </w:rPr>
            </w:pPr>
            <w:r>
              <w:rPr>
                <w:rFonts w:hint="eastAsia" w:ascii="宋体" w:hAnsi="宋体" w:cs="宋体"/>
                <w:color w:val="auto"/>
                <w:szCs w:val="21"/>
              </w:rPr>
              <w:t>N</w:t>
            </w:r>
          </w:p>
        </w:tc>
        <w:tc>
          <w:tcPr>
            <w:tcW w:w="1232" w:type="dxa"/>
            <w:vAlign w:val="center"/>
          </w:tcPr>
          <w:p w14:paraId="1FBDAA97">
            <w:pPr>
              <w:spacing w:line="360" w:lineRule="auto"/>
              <w:jc w:val="center"/>
              <w:rPr>
                <w:rFonts w:hint="eastAsia" w:ascii="宋体" w:hAnsi="宋体" w:cs="宋体"/>
                <w:color w:val="auto"/>
                <w:szCs w:val="21"/>
              </w:rPr>
            </w:pPr>
          </w:p>
        </w:tc>
        <w:tc>
          <w:tcPr>
            <w:tcW w:w="1445" w:type="dxa"/>
            <w:vAlign w:val="center"/>
          </w:tcPr>
          <w:p w14:paraId="4A46301B">
            <w:pPr>
              <w:snapToGrid w:val="0"/>
              <w:spacing w:line="360" w:lineRule="auto"/>
              <w:rPr>
                <w:rFonts w:hint="eastAsia" w:ascii="宋体" w:hAnsi="宋体"/>
                <w:color w:val="auto"/>
                <w:szCs w:val="21"/>
              </w:rPr>
            </w:pPr>
          </w:p>
        </w:tc>
        <w:tc>
          <w:tcPr>
            <w:tcW w:w="1483" w:type="dxa"/>
            <w:vAlign w:val="center"/>
          </w:tcPr>
          <w:p w14:paraId="01B06011">
            <w:pPr>
              <w:snapToGrid w:val="0"/>
              <w:spacing w:line="360" w:lineRule="auto"/>
              <w:rPr>
                <w:rFonts w:hint="eastAsia" w:ascii="宋体" w:hAnsi="宋体"/>
                <w:color w:val="auto"/>
                <w:szCs w:val="21"/>
              </w:rPr>
            </w:pPr>
          </w:p>
        </w:tc>
        <w:tc>
          <w:tcPr>
            <w:tcW w:w="698" w:type="dxa"/>
            <w:vAlign w:val="center"/>
          </w:tcPr>
          <w:p w14:paraId="66622100">
            <w:pPr>
              <w:spacing w:line="360" w:lineRule="auto"/>
              <w:jc w:val="center"/>
              <w:rPr>
                <w:rFonts w:hint="eastAsia" w:ascii="宋体" w:hAnsi="宋体" w:cs="宋体"/>
                <w:color w:val="auto"/>
                <w:szCs w:val="21"/>
              </w:rPr>
            </w:pPr>
          </w:p>
        </w:tc>
        <w:tc>
          <w:tcPr>
            <w:tcW w:w="714" w:type="dxa"/>
            <w:vAlign w:val="center"/>
          </w:tcPr>
          <w:p w14:paraId="5D98D903">
            <w:pPr>
              <w:spacing w:line="360" w:lineRule="auto"/>
              <w:jc w:val="center"/>
              <w:rPr>
                <w:rFonts w:hint="eastAsia" w:ascii="宋体" w:hAnsi="宋体" w:cs="宋体"/>
                <w:color w:val="auto"/>
                <w:szCs w:val="21"/>
              </w:rPr>
            </w:pPr>
          </w:p>
        </w:tc>
        <w:tc>
          <w:tcPr>
            <w:tcW w:w="1412" w:type="dxa"/>
            <w:vAlign w:val="center"/>
          </w:tcPr>
          <w:p w14:paraId="4BCA3B08">
            <w:pPr>
              <w:snapToGrid w:val="0"/>
              <w:spacing w:line="360" w:lineRule="auto"/>
              <w:rPr>
                <w:rFonts w:hint="eastAsia" w:ascii="宋体" w:hAnsi="宋体"/>
                <w:color w:val="auto"/>
                <w:szCs w:val="21"/>
              </w:rPr>
            </w:pPr>
          </w:p>
        </w:tc>
        <w:tc>
          <w:tcPr>
            <w:tcW w:w="1575" w:type="dxa"/>
            <w:vAlign w:val="center"/>
          </w:tcPr>
          <w:p w14:paraId="28476DCF">
            <w:pPr>
              <w:snapToGrid w:val="0"/>
              <w:spacing w:line="360" w:lineRule="auto"/>
              <w:rPr>
                <w:rFonts w:hint="eastAsia" w:ascii="宋体" w:hAnsi="宋体"/>
                <w:color w:val="auto"/>
                <w:szCs w:val="21"/>
              </w:rPr>
            </w:pPr>
          </w:p>
        </w:tc>
      </w:tr>
      <w:tr w14:paraId="33FDB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7693" w:type="dxa"/>
            <w:gridSpan w:val="7"/>
            <w:vAlign w:val="center"/>
          </w:tcPr>
          <w:p w14:paraId="2BA8C92D">
            <w:pPr>
              <w:snapToGrid w:val="0"/>
              <w:spacing w:line="360" w:lineRule="auto"/>
              <w:rPr>
                <w:rFonts w:hint="eastAsia" w:ascii="宋体" w:hAnsi="宋体"/>
                <w:color w:val="auto"/>
                <w:szCs w:val="21"/>
              </w:rPr>
            </w:pPr>
            <w:r>
              <w:rPr>
                <w:rFonts w:hint="eastAsia" w:ascii="宋体" w:hAnsi="宋体"/>
                <w:color w:val="auto"/>
                <w:szCs w:val="21"/>
              </w:rPr>
              <w:t xml:space="preserve">                                                         合   计</w:t>
            </w:r>
          </w:p>
        </w:tc>
        <w:tc>
          <w:tcPr>
            <w:tcW w:w="1575" w:type="dxa"/>
            <w:vAlign w:val="center"/>
          </w:tcPr>
          <w:p w14:paraId="053A989F">
            <w:pPr>
              <w:snapToGrid w:val="0"/>
              <w:spacing w:line="360" w:lineRule="auto"/>
              <w:rPr>
                <w:rFonts w:hint="eastAsia" w:ascii="宋体" w:hAnsi="宋体"/>
                <w:color w:val="auto"/>
                <w:szCs w:val="21"/>
              </w:rPr>
            </w:pPr>
          </w:p>
        </w:tc>
      </w:tr>
    </w:tbl>
    <w:p w14:paraId="26EF2C3C">
      <w:pPr>
        <w:spacing w:line="360" w:lineRule="auto"/>
        <w:ind w:firstLine="411" w:firstLineChars="196"/>
        <w:rPr>
          <w:rFonts w:hint="eastAsia" w:ascii="宋体" w:hAnsi="宋体"/>
          <w:color w:val="auto"/>
          <w:szCs w:val="21"/>
        </w:rPr>
      </w:pPr>
      <w:r>
        <w:rPr>
          <w:rFonts w:hint="eastAsia" w:ascii="宋体" w:hAnsi="宋体"/>
          <w:color w:val="auto"/>
          <w:szCs w:val="21"/>
        </w:rPr>
        <w:t>2.合同金额：</w:t>
      </w:r>
    </w:p>
    <w:p w14:paraId="4080B12B">
      <w:pPr>
        <w:spacing w:line="360" w:lineRule="auto"/>
        <w:ind w:firstLine="420" w:firstLineChars="200"/>
        <w:rPr>
          <w:rFonts w:hint="eastAsia" w:ascii="宋体" w:hAnsi="宋体"/>
          <w:color w:val="auto"/>
          <w:szCs w:val="21"/>
        </w:rPr>
      </w:pPr>
      <w:r>
        <w:rPr>
          <w:rFonts w:hint="eastAsia" w:ascii="宋体" w:hAnsi="宋体"/>
          <w:color w:val="auto"/>
          <w:szCs w:val="21"/>
        </w:rPr>
        <w:t>2.1根据《中标通知书》的中标内容，合同的总金额为：（大写）</w:t>
      </w:r>
      <w:r>
        <w:rPr>
          <w:rFonts w:hint="eastAsia" w:ascii="宋体" w:hAnsi="宋体"/>
          <w:color w:val="auto"/>
          <w:szCs w:val="21"/>
          <w:u w:val="single"/>
        </w:rPr>
        <w:t>　　　　　　　　　</w:t>
      </w:r>
      <w:r>
        <w:rPr>
          <w:rFonts w:hint="eastAsia" w:ascii="宋体" w:hAnsi="宋体"/>
          <w:color w:val="auto"/>
          <w:szCs w:val="21"/>
        </w:rPr>
        <w:t>人民币（￥</w:t>
      </w:r>
      <w:r>
        <w:rPr>
          <w:rFonts w:hint="eastAsia" w:ascii="宋体" w:hAnsi="宋体"/>
          <w:color w:val="auto"/>
          <w:szCs w:val="21"/>
          <w:u w:val="single"/>
        </w:rPr>
        <w:t>　　　　　</w:t>
      </w:r>
      <w:r>
        <w:rPr>
          <w:rFonts w:hint="eastAsia" w:ascii="宋体" w:hAnsi="宋体"/>
          <w:color w:val="auto"/>
          <w:szCs w:val="21"/>
        </w:rPr>
        <w:t>元）</w:t>
      </w:r>
    </w:p>
    <w:p w14:paraId="2419A161">
      <w:pPr>
        <w:spacing w:line="360" w:lineRule="auto"/>
        <w:ind w:firstLine="411" w:firstLineChars="196"/>
        <w:rPr>
          <w:rFonts w:hint="eastAsia" w:ascii="宋体" w:hAnsi="宋体"/>
          <w:color w:val="auto"/>
          <w:szCs w:val="21"/>
        </w:rPr>
      </w:pPr>
      <w:r>
        <w:rPr>
          <w:rFonts w:hint="eastAsia" w:ascii="宋体" w:hAnsi="宋体"/>
          <w:color w:val="auto"/>
          <w:szCs w:val="21"/>
        </w:rPr>
        <w:t>2.2合同总金额应包括</w:t>
      </w:r>
      <w:r>
        <w:rPr>
          <w:rFonts w:hint="eastAsia" w:ascii="宋体" w:hAnsi="宋体" w:cs="宋体"/>
          <w:color w:val="auto"/>
          <w:szCs w:val="21"/>
        </w:rPr>
        <w:t>本次招标采购范围内货物价款、货物随配标准附件、包装、运输、装卸、保险、税金、货到位以及施工安装、安装所需辅材、调试、检验、售后服务、培训、保修、验收及其他所有成本费用的总和</w:t>
      </w:r>
      <w:r>
        <w:rPr>
          <w:rFonts w:hint="eastAsia" w:ascii="宋体" w:hAnsi="宋体"/>
          <w:color w:val="auto"/>
          <w:szCs w:val="21"/>
        </w:rPr>
        <w:t>。甲方不再支付任何费用。</w:t>
      </w:r>
    </w:p>
    <w:p w14:paraId="0650C927">
      <w:pPr>
        <w:spacing w:line="360" w:lineRule="auto"/>
        <w:ind w:firstLine="413" w:firstLineChars="196"/>
        <w:rPr>
          <w:rFonts w:hint="eastAsia" w:ascii="宋体" w:hAnsi="宋体"/>
          <w:b/>
          <w:color w:val="auto"/>
          <w:szCs w:val="21"/>
        </w:rPr>
      </w:pPr>
      <w:r>
        <w:rPr>
          <w:rFonts w:hint="eastAsia" w:ascii="宋体" w:hAnsi="宋体"/>
          <w:b/>
          <w:color w:val="auto"/>
          <w:szCs w:val="21"/>
        </w:rPr>
        <w:t>第二条  质量保证</w:t>
      </w:r>
    </w:p>
    <w:p w14:paraId="64419882">
      <w:pPr>
        <w:spacing w:line="360" w:lineRule="auto"/>
        <w:ind w:firstLine="411" w:firstLineChars="196"/>
        <w:rPr>
          <w:rFonts w:hint="eastAsia" w:ascii="宋体" w:hAnsi="宋体"/>
          <w:color w:val="auto"/>
          <w:szCs w:val="21"/>
        </w:rPr>
      </w:pPr>
      <w:r>
        <w:rPr>
          <w:rFonts w:hint="eastAsia" w:ascii="宋体" w:hAnsi="宋体"/>
          <w:color w:val="auto"/>
          <w:szCs w:val="21"/>
        </w:rPr>
        <w:t>1. 乙方应按投标文件承诺的货物型号、技术规格、技术参数、性能、配置、质量标准向甲方提供未经使用的全新原装产品，且在正常安装、使用和保养条件下，其使用寿命期内各项指标均达到质量标准。</w:t>
      </w:r>
    </w:p>
    <w:p w14:paraId="4384AE09">
      <w:pPr>
        <w:spacing w:line="360" w:lineRule="auto"/>
        <w:ind w:firstLine="435"/>
        <w:rPr>
          <w:rFonts w:hint="eastAsia" w:ascii="宋体" w:hAnsi="宋体"/>
          <w:color w:val="auto"/>
          <w:szCs w:val="21"/>
        </w:rPr>
      </w:pPr>
      <w:r>
        <w:rPr>
          <w:rFonts w:hint="eastAsia" w:ascii="宋体" w:hAnsi="宋体"/>
          <w:color w:val="auto"/>
          <w:szCs w:val="21"/>
        </w:rPr>
        <w:t>2. 乙方提供货物的质量保证期为</w:t>
      </w:r>
      <w:r>
        <w:rPr>
          <w:rFonts w:hint="eastAsia" w:ascii="宋体" w:hAnsi="宋体"/>
          <w:color w:val="auto"/>
          <w:szCs w:val="21"/>
          <w:u w:val="single"/>
        </w:rPr>
        <w:t xml:space="preserve">                  </w:t>
      </w:r>
      <w:r>
        <w:rPr>
          <w:rFonts w:hint="eastAsia" w:ascii="宋体" w:hAnsi="宋体"/>
          <w:color w:val="auto"/>
          <w:szCs w:val="21"/>
        </w:rPr>
        <w:t>（从</w:t>
      </w:r>
      <w:r>
        <w:rPr>
          <w:rFonts w:hint="eastAsia" w:ascii="宋体" w:hAnsi="宋体" w:cs="宋体"/>
          <w:color w:val="auto"/>
          <w:szCs w:val="21"/>
        </w:rPr>
        <w:t>货物</w:t>
      </w:r>
      <w:r>
        <w:rPr>
          <w:rFonts w:hint="eastAsia" w:ascii="宋体" w:hAnsi="宋体"/>
          <w:color w:val="auto"/>
          <w:szCs w:val="21"/>
        </w:rPr>
        <w:t>验收合格之日起计算）（</w:t>
      </w:r>
      <w:r>
        <w:rPr>
          <w:rFonts w:ascii="宋体" w:hAnsi="宋体"/>
          <w:bCs/>
          <w:color w:val="auto"/>
          <w:kern w:val="0"/>
          <w:szCs w:val="21"/>
        </w:rPr>
        <w:t>“货物采购需求”中有特殊要求的，按其要求执行</w:t>
      </w:r>
      <w:r>
        <w:rPr>
          <w:rFonts w:hint="eastAsia" w:ascii="宋体" w:hAnsi="宋体"/>
          <w:color w:val="auto"/>
          <w:szCs w:val="21"/>
        </w:rPr>
        <w:t>）。在质保期内因货物本身的质量问题发生故障，乙方应负责免费修理和更换零部件。对达不到技术要求者，根据实际情况，经双方协商，可按以下办法处理：</w:t>
      </w:r>
    </w:p>
    <w:p w14:paraId="54155DF1">
      <w:pPr>
        <w:spacing w:line="360" w:lineRule="auto"/>
        <w:ind w:firstLine="435"/>
        <w:rPr>
          <w:rFonts w:hint="eastAsia" w:ascii="宋体" w:hAnsi="宋体"/>
          <w:color w:val="auto"/>
          <w:szCs w:val="21"/>
        </w:rPr>
      </w:pPr>
      <w:r>
        <w:rPr>
          <w:rFonts w:hint="eastAsia" w:ascii="宋体" w:hAnsi="宋体"/>
          <w:color w:val="auto"/>
          <w:szCs w:val="21"/>
        </w:rPr>
        <w:t>（1）更换：由乙方承担所有发生的全部费用。</w:t>
      </w:r>
    </w:p>
    <w:p w14:paraId="52C1DC1D">
      <w:pPr>
        <w:spacing w:line="360" w:lineRule="auto"/>
        <w:ind w:firstLine="420" w:firstLineChars="200"/>
        <w:rPr>
          <w:rFonts w:hint="eastAsia" w:ascii="宋体" w:hAnsi="宋体"/>
          <w:color w:val="auto"/>
          <w:szCs w:val="21"/>
        </w:rPr>
      </w:pPr>
      <w:r>
        <w:rPr>
          <w:rFonts w:hint="eastAsia" w:ascii="宋体" w:hAnsi="宋体"/>
          <w:color w:val="auto"/>
          <w:szCs w:val="21"/>
        </w:rPr>
        <w:t>（2）贬值处理：由甲乙双方合议定价。</w:t>
      </w:r>
    </w:p>
    <w:p w14:paraId="72261E26">
      <w:pPr>
        <w:spacing w:line="360" w:lineRule="auto"/>
        <w:ind w:firstLine="420" w:firstLineChars="200"/>
        <w:rPr>
          <w:rFonts w:hint="eastAsia" w:ascii="宋体" w:hAnsi="宋体"/>
          <w:color w:val="auto"/>
          <w:szCs w:val="21"/>
        </w:rPr>
      </w:pPr>
      <w:r>
        <w:rPr>
          <w:rFonts w:hint="eastAsia" w:ascii="宋体" w:hAnsi="宋体"/>
          <w:color w:val="auto"/>
          <w:szCs w:val="21"/>
        </w:rPr>
        <w:t>（3）退货处理：乙方应退还甲方支付的合同款，同时应承担该货物的直接费用（运输、保险、检验、贷款利息及银行手续费等）。</w:t>
      </w:r>
    </w:p>
    <w:p w14:paraId="3B5F7AEF">
      <w:pPr>
        <w:spacing w:line="360" w:lineRule="auto"/>
        <w:ind w:firstLine="420" w:firstLineChars="200"/>
        <w:rPr>
          <w:rFonts w:hint="eastAsia" w:ascii="宋体" w:hAnsi="宋体"/>
          <w:color w:val="auto"/>
          <w:szCs w:val="21"/>
        </w:rPr>
      </w:pPr>
      <w:r>
        <w:rPr>
          <w:rFonts w:hint="eastAsia" w:ascii="宋体" w:hAnsi="宋体"/>
          <w:color w:val="auto"/>
          <w:szCs w:val="21"/>
        </w:rPr>
        <w:t>3.</w:t>
      </w:r>
      <w:r>
        <w:rPr>
          <w:rFonts w:hint="eastAsia" w:ascii="宋体" w:hAnsi="宋体" w:cs="宋体"/>
          <w:color w:val="auto"/>
          <w:kern w:val="0"/>
          <w:szCs w:val="21"/>
        </w:rPr>
        <w:t xml:space="preserve"> </w:t>
      </w:r>
      <w:r>
        <w:rPr>
          <w:rFonts w:hint="eastAsia" w:ascii="宋体" w:hAnsi="宋体"/>
          <w:color w:val="auto"/>
          <w:kern w:val="0"/>
          <w:szCs w:val="21"/>
        </w:rPr>
        <w:t>质量标准：</w:t>
      </w:r>
      <w:r>
        <w:rPr>
          <w:rFonts w:hint="eastAsia" w:ascii="宋体" w:hAnsi="宋体" w:cs="宋体"/>
          <w:color w:val="auto"/>
          <w:kern w:val="0"/>
          <w:szCs w:val="21"/>
        </w:rPr>
        <w:t>产品符合设备制造厂家合格产品的出厂质量标准。</w:t>
      </w:r>
    </w:p>
    <w:p w14:paraId="58FC08A7">
      <w:pPr>
        <w:spacing w:line="360" w:lineRule="auto"/>
        <w:ind w:firstLine="413" w:firstLineChars="196"/>
        <w:rPr>
          <w:rFonts w:hint="eastAsia" w:ascii="宋体" w:hAnsi="宋体"/>
          <w:b/>
          <w:color w:val="auto"/>
          <w:szCs w:val="21"/>
        </w:rPr>
      </w:pPr>
      <w:r>
        <w:rPr>
          <w:rFonts w:hint="eastAsia" w:ascii="宋体" w:hAnsi="宋体"/>
          <w:b/>
          <w:color w:val="auto"/>
          <w:szCs w:val="21"/>
        </w:rPr>
        <w:t>第三条  权力保证</w:t>
      </w:r>
    </w:p>
    <w:p w14:paraId="57E4C2BD">
      <w:pPr>
        <w:spacing w:line="360" w:lineRule="auto"/>
        <w:ind w:firstLine="411" w:firstLineChars="196"/>
        <w:rPr>
          <w:rFonts w:hint="eastAsia" w:ascii="宋体" w:hAnsi="宋体"/>
          <w:color w:val="auto"/>
          <w:szCs w:val="21"/>
        </w:rPr>
      </w:pPr>
      <w:r>
        <w:rPr>
          <w:rFonts w:hint="eastAsia" w:ascii="宋体" w:hAnsi="宋体"/>
          <w:color w:val="auto"/>
          <w:szCs w:val="21"/>
        </w:rPr>
        <w:t>1. 乙方应保证所提供货物在使用时不会侵犯任何第三方的专利权、商标权、工业设计权或其他权利。</w:t>
      </w:r>
    </w:p>
    <w:p w14:paraId="7E0F9EDA">
      <w:pPr>
        <w:spacing w:line="360" w:lineRule="auto"/>
        <w:ind w:firstLine="420" w:firstLineChars="200"/>
        <w:rPr>
          <w:rFonts w:hint="eastAsia" w:ascii="宋体" w:hAnsi="宋体"/>
          <w:color w:val="auto"/>
          <w:szCs w:val="21"/>
        </w:rPr>
      </w:pPr>
      <w:r>
        <w:rPr>
          <w:rFonts w:hint="eastAsia" w:ascii="宋体" w:hAnsi="宋体"/>
          <w:color w:val="auto"/>
          <w:szCs w:val="21"/>
        </w:rPr>
        <w:t>2. 乙方应按招标文件规定的时间向甲方提供使用货物的有关技术资料。</w:t>
      </w:r>
    </w:p>
    <w:p w14:paraId="384E1B5D">
      <w:pPr>
        <w:spacing w:line="360" w:lineRule="auto"/>
        <w:rPr>
          <w:rFonts w:hint="eastAsia" w:ascii="宋体" w:hAnsi="宋体"/>
          <w:color w:val="auto"/>
          <w:szCs w:val="21"/>
        </w:rPr>
      </w:pPr>
      <w:r>
        <w:rPr>
          <w:rFonts w:hint="eastAsia" w:ascii="宋体" w:hAnsi="宋体"/>
          <w:color w:val="auto"/>
          <w:szCs w:val="21"/>
        </w:rPr>
        <w:t xml:space="preserve">    3. 乙方保证所交付的货物的所有权完全属于乙方且无任何抵押、质押、查封等产权瑕疵。</w:t>
      </w:r>
    </w:p>
    <w:p w14:paraId="277C9687">
      <w:pPr>
        <w:spacing w:line="360" w:lineRule="auto"/>
        <w:ind w:firstLine="422" w:firstLineChars="200"/>
        <w:rPr>
          <w:rFonts w:hint="eastAsia" w:ascii="宋体" w:hAnsi="宋体"/>
          <w:b/>
          <w:color w:val="auto"/>
          <w:szCs w:val="21"/>
        </w:rPr>
      </w:pPr>
      <w:r>
        <w:rPr>
          <w:rFonts w:hint="eastAsia" w:ascii="宋体" w:hAnsi="宋体"/>
          <w:b/>
          <w:color w:val="auto"/>
          <w:szCs w:val="21"/>
        </w:rPr>
        <w:t>第四条  货物包装、运输</w:t>
      </w:r>
    </w:p>
    <w:p w14:paraId="71A7876A">
      <w:pPr>
        <w:spacing w:line="360" w:lineRule="auto"/>
        <w:ind w:firstLine="420" w:firstLineChars="200"/>
        <w:rPr>
          <w:rFonts w:hint="eastAsia" w:ascii="宋体" w:hAnsi="宋体"/>
          <w:color w:val="auto"/>
          <w:szCs w:val="21"/>
        </w:rPr>
      </w:pPr>
      <w:r>
        <w:rPr>
          <w:rFonts w:hint="eastAsia" w:ascii="宋体" w:hAnsi="宋体"/>
          <w:color w:val="auto"/>
          <w:szCs w:val="21"/>
        </w:rPr>
        <w:t>1. 乙方应在货物发运前对其进行满足运输距离、防潮、防震、防锈和防破损装卸等要求包装，以保证货物安全运达甲方指定地点。</w:t>
      </w:r>
    </w:p>
    <w:p w14:paraId="4302ED8F">
      <w:pPr>
        <w:spacing w:line="360" w:lineRule="auto"/>
        <w:ind w:left="420"/>
        <w:rPr>
          <w:rFonts w:hint="eastAsia" w:ascii="宋体" w:hAnsi="宋体"/>
          <w:color w:val="auto"/>
          <w:szCs w:val="21"/>
        </w:rPr>
      </w:pPr>
      <w:r>
        <w:rPr>
          <w:rFonts w:hint="eastAsia" w:ascii="宋体" w:hAnsi="宋体"/>
          <w:color w:val="auto"/>
          <w:szCs w:val="21"/>
        </w:rPr>
        <w:t>2. 使用说明书（货物属于进口产品的，供货时应同时附上中文使用说明书）、质量检验证明书、随配附件和工具以及清单一并附于货物内。</w:t>
      </w:r>
    </w:p>
    <w:p w14:paraId="6260711F">
      <w:pPr>
        <w:spacing w:line="360" w:lineRule="auto"/>
        <w:ind w:firstLine="420" w:firstLineChars="200"/>
        <w:rPr>
          <w:rFonts w:hint="eastAsia" w:ascii="宋体" w:hAnsi="宋体"/>
          <w:color w:val="auto"/>
          <w:szCs w:val="21"/>
        </w:rPr>
      </w:pPr>
      <w:r>
        <w:rPr>
          <w:rFonts w:hint="eastAsia" w:ascii="宋体" w:hAnsi="宋体"/>
          <w:color w:val="auto"/>
          <w:szCs w:val="21"/>
        </w:rPr>
        <w:t>3. 乙方在货物发运手续办理完毕后二十四小时内或货到甲方四十八小时前通知甲方，以准备接货。</w:t>
      </w:r>
    </w:p>
    <w:p w14:paraId="28E09ADD">
      <w:pPr>
        <w:spacing w:line="360" w:lineRule="auto"/>
        <w:ind w:left="420"/>
        <w:rPr>
          <w:rFonts w:hint="eastAsia" w:ascii="宋体" w:hAnsi="宋体"/>
          <w:color w:val="auto"/>
          <w:szCs w:val="21"/>
        </w:rPr>
      </w:pPr>
      <w:r>
        <w:rPr>
          <w:rFonts w:hint="eastAsia" w:ascii="宋体" w:hAnsi="宋体"/>
          <w:color w:val="auto"/>
          <w:szCs w:val="21"/>
        </w:rPr>
        <w:t>4. 货物在交付甲方前发生的风险均由乙方负责。</w:t>
      </w:r>
    </w:p>
    <w:p w14:paraId="4BA1D9A4">
      <w:pPr>
        <w:spacing w:line="360" w:lineRule="auto"/>
        <w:ind w:firstLine="413" w:firstLineChars="196"/>
        <w:rPr>
          <w:rFonts w:hint="eastAsia" w:ascii="宋体" w:hAnsi="宋体"/>
          <w:b/>
          <w:color w:val="auto"/>
          <w:szCs w:val="21"/>
        </w:rPr>
      </w:pPr>
      <w:r>
        <w:rPr>
          <w:rFonts w:hint="eastAsia" w:ascii="宋体" w:hAnsi="宋体"/>
          <w:b/>
          <w:color w:val="auto"/>
          <w:szCs w:val="21"/>
        </w:rPr>
        <w:t>第五条  交付</w:t>
      </w:r>
    </w:p>
    <w:p w14:paraId="1B273BC0">
      <w:pPr>
        <w:spacing w:line="360" w:lineRule="auto"/>
        <w:ind w:firstLine="420" w:firstLineChars="200"/>
        <w:rPr>
          <w:rFonts w:hint="eastAsia" w:ascii="宋体" w:hAnsi="宋体"/>
          <w:color w:val="auto"/>
          <w:szCs w:val="21"/>
        </w:rPr>
      </w:pPr>
      <w:r>
        <w:rPr>
          <w:rFonts w:hint="eastAsia" w:ascii="宋体" w:hAnsi="宋体"/>
          <w:color w:val="auto"/>
          <w:szCs w:val="21"/>
        </w:rPr>
        <w:t>1. 交付时间：</w:t>
      </w:r>
      <w:r>
        <w:rPr>
          <w:rFonts w:hint="eastAsia" w:ascii="宋体" w:hAnsi="宋体"/>
          <w:color w:val="auto"/>
          <w:szCs w:val="21"/>
          <w:u w:val="single"/>
        </w:rPr>
        <w:t>自签订合同之日起 20个日历日内交货并安装调试合格交付使用。</w:t>
      </w:r>
    </w:p>
    <w:p w14:paraId="4B2C000D">
      <w:pPr>
        <w:spacing w:line="360" w:lineRule="auto"/>
        <w:ind w:firstLine="420" w:firstLineChars="200"/>
        <w:rPr>
          <w:rFonts w:hint="eastAsia" w:ascii="宋体" w:hAnsi="宋体"/>
          <w:color w:val="auto"/>
          <w:szCs w:val="21"/>
        </w:rPr>
      </w:pPr>
      <w:r>
        <w:rPr>
          <w:rFonts w:hint="eastAsia" w:ascii="宋体" w:hAnsi="宋体"/>
          <w:color w:val="auto"/>
          <w:szCs w:val="21"/>
        </w:rPr>
        <w:t xml:space="preserve">   交付地点：</w:t>
      </w:r>
      <w:r>
        <w:rPr>
          <w:rFonts w:hint="eastAsia" w:ascii="宋体" w:hAnsi="宋体"/>
          <w:color w:val="auto"/>
          <w:szCs w:val="21"/>
          <w:u w:val="single"/>
        </w:rPr>
        <w:t>采购人指定地点</w:t>
      </w:r>
      <w:r>
        <w:rPr>
          <w:rFonts w:hint="eastAsia" w:ascii="宋体" w:hAnsi="宋体"/>
          <w:color w:val="auto"/>
          <w:szCs w:val="21"/>
        </w:rPr>
        <w:t>。</w:t>
      </w:r>
    </w:p>
    <w:p w14:paraId="720AE19D">
      <w:pPr>
        <w:spacing w:line="360" w:lineRule="auto"/>
        <w:rPr>
          <w:rFonts w:hint="eastAsia" w:ascii="宋体" w:hAnsi="宋体"/>
          <w:color w:val="auto"/>
          <w:szCs w:val="21"/>
        </w:rPr>
      </w:pPr>
      <w:r>
        <w:rPr>
          <w:rFonts w:hint="eastAsia" w:ascii="宋体" w:hAnsi="宋体"/>
          <w:color w:val="auto"/>
          <w:szCs w:val="21"/>
        </w:rPr>
        <w:t xml:space="preserve">    2. 乙方提供不符合招标文件、投标文件和本合同规定的货物，甲方有权拒绝接受。</w:t>
      </w:r>
    </w:p>
    <w:p w14:paraId="267E3DA5">
      <w:pPr>
        <w:spacing w:line="360" w:lineRule="auto"/>
        <w:ind w:firstLine="420"/>
        <w:rPr>
          <w:rFonts w:hint="eastAsia" w:ascii="宋体" w:hAnsi="宋体"/>
          <w:color w:val="auto"/>
          <w:szCs w:val="21"/>
        </w:rPr>
      </w:pPr>
      <w:r>
        <w:rPr>
          <w:rFonts w:hint="eastAsia" w:ascii="宋体" w:hAnsi="宋体"/>
          <w:color w:val="auto"/>
          <w:szCs w:val="21"/>
        </w:rPr>
        <w:t>3. 乙方应将所有提供货物的装箱清单、用户手册、原厂保修卡、随机资料、工具和备用、备件等交付给甲方，货物属于进口产品的，供货时应同时附上中文使用说明书，如有缺失应及时补齐，否则视为逾期交货。</w:t>
      </w:r>
    </w:p>
    <w:p w14:paraId="540FB549">
      <w:pPr>
        <w:spacing w:line="360" w:lineRule="auto"/>
        <w:ind w:left="413"/>
        <w:rPr>
          <w:rFonts w:hint="eastAsia" w:ascii="宋体" w:hAnsi="宋体"/>
          <w:b/>
          <w:color w:val="auto"/>
          <w:szCs w:val="21"/>
        </w:rPr>
      </w:pPr>
      <w:r>
        <w:rPr>
          <w:rFonts w:hint="eastAsia" w:ascii="宋体" w:hAnsi="宋体"/>
          <w:b/>
          <w:color w:val="auto"/>
          <w:szCs w:val="21"/>
        </w:rPr>
        <w:t>第六条  调试和验收</w:t>
      </w:r>
    </w:p>
    <w:p w14:paraId="79AAA342">
      <w:pPr>
        <w:spacing w:line="360" w:lineRule="auto"/>
        <w:ind w:firstLine="420" w:firstLineChars="200"/>
        <w:rPr>
          <w:rFonts w:hint="eastAsia" w:ascii="宋体" w:hAnsi="宋体"/>
          <w:color w:val="auto"/>
          <w:szCs w:val="21"/>
        </w:rPr>
      </w:pPr>
      <w:r>
        <w:rPr>
          <w:rFonts w:hint="eastAsia" w:ascii="宋体" w:hAnsi="宋体"/>
          <w:color w:val="auto"/>
          <w:szCs w:val="21"/>
        </w:rPr>
        <w:t>1. 乙方交货前应对产品做出全面的检查和对验收文件进行整理，并列出清单，作为甲方验收和使用的技术条件依据，验收的结果应随货物交甲方。</w:t>
      </w:r>
    </w:p>
    <w:p w14:paraId="224610D7">
      <w:pPr>
        <w:spacing w:line="360" w:lineRule="auto"/>
        <w:ind w:firstLine="420" w:firstLineChars="200"/>
        <w:rPr>
          <w:rFonts w:hint="eastAsia" w:ascii="宋体" w:hAnsi="宋体"/>
          <w:color w:val="auto"/>
          <w:szCs w:val="21"/>
        </w:rPr>
      </w:pPr>
      <w:r>
        <w:rPr>
          <w:rFonts w:hint="eastAsia" w:ascii="宋体" w:hAnsi="宋体"/>
          <w:color w:val="auto"/>
          <w:szCs w:val="21"/>
        </w:rPr>
        <w:t>2. 乙方</w:t>
      </w:r>
      <w:r>
        <w:rPr>
          <w:rFonts w:ascii="宋体" w:hAnsi="宋体"/>
          <w:color w:val="auto"/>
          <w:szCs w:val="21"/>
        </w:rPr>
        <w:t>提供的设备必须为全新的原装正品，符合有关质量标准的产品</w:t>
      </w:r>
      <w:r>
        <w:rPr>
          <w:rFonts w:hint="eastAsia" w:ascii="宋体" w:hAnsi="宋体"/>
          <w:color w:val="auto"/>
          <w:szCs w:val="21"/>
        </w:rPr>
        <w:t>；货物安装调试完成后，甲方应在七个工作日内依据招标文件、投标文件的技术规格要求及承诺和国家有关质量标准对货物进行现场验收，验收合格后由甲乙双方签署货物验收单并加盖公章，甲乙双方各执一份。</w:t>
      </w:r>
      <w:r>
        <w:rPr>
          <w:rFonts w:ascii="宋体" w:hAnsi="宋体"/>
          <w:color w:val="auto"/>
          <w:szCs w:val="21"/>
        </w:rPr>
        <w:t>核验不合格的，甲方有权终止合同执行并全部退货，同时报相关监督管理部门处理，由此造成甲方经济损失的由</w:t>
      </w:r>
      <w:r>
        <w:rPr>
          <w:rFonts w:hint="eastAsia" w:ascii="宋体" w:hAnsi="宋体"/>
          <w:color w:val="auto"/>
          <w:szCs w:val="21"/>
        </w:rPr>
        <w:t>乙方</w:t>
      </w:r>
      <w:r>
        <w:rPr>
          <w:rFonts w:ascii="宋体" w:hAnsi="宋体"/>
          <w:color w:val="auto"/>
          <w:szCs w:val="21"/>
        </w:rPr>
        <w:t>负责承担全部赔偿责任。如有异议，将交由国家认可并具检验检测资格的第三方机构邀请相关专家进行实际检验，所有产生的费用由</w:t>
      </w:r>
      <w:r>
        <w:rPr>
          <w:rFonts w:hint="eastAsia" w:ascii="宋体" w:hAnsi="宋体"/>
          <w:color w:val="auto"/>
          <w:szCs w:val="21"/>
        </w:rPr>
        <w:t>乙方</w:t>
      </w:r>
      <w:r>
        <w:rPr>
          <w:rFonts w:ascii="宋体" w:hAnsi="宋体"/>
          <w:color w:val="auto"/>
          <w:szCs w:val="21"/>
        </w:rPr>
        <w:t>承担</w:t>
      </w:r>
      <w:r>
        <w:rPr>
          <w:rFonts w:hint="eastAsia" w:ascii="宋体" w:hAnsi="宋体"/>
          <w:color w:val="auto"/>
          <w:szCs w:val="21"/>
        </w:rPr>
        <w:t>。</w:t>
      </w:r>
    </w:p>
    <w:p w14:paraId="7500D74D">
      <w:pPr>
        <w:spacing w:line="360" w:lineRule="auto"/>
        <w:ind w:firstLine="420" w:firstLineChars="200"/>
        <w:rPr>
          <w:rFonts w:hint="eastAsia" w:ascii="宋体" w:hAnsi="宋体"/>
          <w:color w:val="auto"/>
          <w:szCs w:val="21"/>
        </w:rPr>
      </w:pPr>
      <w:r>
        <w:rPr>
          <w:rFonts w:hint="eastAsia" w:ascii="宋体" w:hAnsi="宋体"/>
          <w:color w:val="auto"/>
          <w:szCs w:val="21"/>
        </w:rPr>
        <w:t>3. 甲方对乙方提供的货物在使用前进行调试时，乙方需负责安装并培训甲方的使用操作人员，并协助甲方一起调试，直到符合技术要求，甲方才做最终验收。</w:t>
      </w:r>
    </w:p>
    <w:p w14:paraId="3C50A4F3">
      <w:pPr>
        <w:spacing w:line="360" w:lineRule="auto"/>
        <w:ind w:left="420"/>
        <w:rPr>
          <w:rFonts w:hint="eastAsia" w:ascii="宋体" w:hAnsi="宋体"/>
          <w:color w:val="auto"/>
          <w:szCs w:val="21"/>
        </w:rPr>
      </w:pPr>
      <w:r>
        <w:rPr>
          <w:rFonts w:hint="eastAsia" w:ascii="宋体" w:hAnsi="宋体"/>
          <w:color w:val="auto"/>
          <w:szCs w:val="21"/>
        </w:rPr>
        <w:t>4. 验收时乙方必须在现场，验收完毕后作出验收结果报告，验收费用由乙方负责。</w:t>
      </w:r>
    </w:p>
    <w:p w14:paraId="7CD4E167">
      <w:pPr>
        <w:spacing w:line="360" w:lineRule="auto"/>
        <w:ind w:firstLine="420" w:firstLineChars="200"/>
        <w:rPr>
          <w:rFonts w:hint="eastAsia" w:ascii="宋体" w:hAnsi="宋体"/>
          <w:color w:val="auto"/>
          <w:szCs w:val="21"/>
        </w:rPr>
      </w:pPr>
      <w:r>
        <w:rPr>
          <w:rFonts w:hint="eastAsia" w:ascii="宋体" w:hAnsi="宋体"/>
          <w:color w:val="auto"/>
          <w:szCs w:val="21"/>
        </w:rPr>
        <w:t>5. 甲方对验收有异议的，在验收后五个工作日内以书面形式向乙方提出，乙方应自收到甲方书面异议后</w:t>
      </w:r>
      <w:r>
        <w:rPr>
          <w:rFonts w:hint="eastAsia" w:ascii="宋体" w:hAnsi="宋体"/>
          <w:color w:val="auto"/>
          <w:szCs w:val="21"/>
          <w:u w:val="single"/>
        </w:rPr>
        <w:t>　20　</w:t>
      </w:r>
      <w:r>
        <w:rPr>
          <w:rFonts w:hint="eastAsia" w:ascii="宋体" w:hAnsi="宋体"/>
          <w:color w:val="auto"/>
          <w:szCs w:val="21"/>
        </w:rPr>
        <w:t>日内及时予以解决。</w:t>
      </w:r>
    </w:p>
    <w:p w14:paraId="0DD8388A">
      <w:pPr>
        <w:spacing w:line="360" w:lineRule="auto"/>
        <w:ind w:firstLine="422" w:firstLineChars="200"/>
        <w:rPr>
          <w:rFonts w:hint="eastAsia" w:ascii="宋体" w:hAnsi="宋体"/>
          <w:b/>
          <w:color w:val="auto"/>
          <w:szCs w:val="21"/>
        </w:rPr>
      </w:pPr>
      <w:r>
        <w:rPr>
          <w:rFonts w:hint="eastAsia" w:ascii="宋体" w:hAnsi="宋体"/>
          <w:b/>
          <w:color w:val="auto"/>
          <w:szCs w:val="21"/>
        </w:rPr>
        <w:t>第七条  安装和培训</w:t>
      </w:r>
    </w:p>
    <w:p w14:paraId="3AFDAD05">
      <w:pPr>
        <w:spacing w:line="360" w:lineRule="auto"/>
        <w:ind w:firstLine="315" w:firstLineChars="150"/>
        <w:rPr>
          <w:rFonts w:hint="eastAsia" w:ascii="宋体" w:hAnsi="宋体"/>
          <w:color w:val="auto"/>
          <w:szCs w:val="21"/>
        </w:rPr>
      </w:pPr>
      <w:r>
        <w:rPr>
          <w:rFonts w:hint="eastAsia" w:ascii="宋体" w:hAnsi="宋体"/>
          <w:color w:val="auto"/>
          <w:szCs w:val="21"/>
        </w:rPr>
        <w:t xml:space="preserve"> 1. 乙方负责</w:t>
      </w:r>
      <w:r>
        <w:rPr>
          <w:rFonts w:ascii="宋体" w:hAnsi="宋体"/>
          <w:bCs/>
          <w:color w:val="auto"/>
          <w:kern w:val="0"/>
          <w:szCs w:val="21"/>
        </w:rPr>
        <w:t>免费安装、调试</w:t>
      </w:r>
      <w:r>
        <w:rPr>
          <w:rFonts w:hint="eastAsia" w:ascii="宋体" w:hAnsi="宋体"/>
          <w:bCs/>
          <w:color w:val="auto"/>
          <w:kern w:val="0"/>
          <w:szCs w:val="21"/>
        </w:rPr>
        <w:t>；</w:t>
      </w:r>
      <w:r>
        <w:rPr>
          <w:rFonts w:hint="eastAsia" w:ascii="宋体" w:hAnsi="宋体"/>
          <w:color w:val="auto"/>
          <w:szCs w:val="21"/>
        </w:rPr>
        <w:t>甲方应提供必要安装条件（如场地、电源、水源等）。</w:t>
      </w:r>
    </w:p>
    <w:p w14:paraId="30E37D12">
      <w:pPr>
        <w:spacing w:line="360" w:lineRule="auto"/>
        <w:ind w:firstLine="315" w:firstLineChars="150"/>
        <w:rPr>
          <w:rFonts w:hint="eastAsia" w:ascii="宋体" w:hAnsi="宋体"/>
          <w:color w:val="auto"/>
          <w:szCs w:val="21"/>
        </w:rPr>
      </w:pPr>
      <w:r>
        <w:rPr>
          <w:rFonts w:hint="eastAsia" w:ascii="宋体" w:hAnsi="宋体"/>
          <w:color w:val="auto"/>
          <w:szCs w:val="21"/>
        </w:rPr>
        <w:t xml:space="preserve"> 2. 乙方负责甲方有关人员的培训。培训时间、地点：</w:t>
      </w:r>
      <w:r>
        <w:rPr>
          <w:rFonts w:hint="eastAsia" w:ascii="宋体" w:hAnsi="宋体"/>
          <w:color w:val="auto"/>
          <w:szCs w:val="21"/>
          <w:u w:val="single"/>
        </w:rPr>
        <w:t>采购人指定地点</w:t>
      </w:r>
      <w:r>
        <w:rPr>
          <w:rFonts w:hint="eastAsia" w:ascii="宋体" w:hAnsi="宋体"/>
          <w:color w:val="auto"/>
          <w:szCs w:val="21"/>
        </w:rPr>
        <w:t>。</w:t>
      </w:r>
    </w:p>
    <w:p w14:paraId="2241F6BB">
      <w:pPr>
        <w:spacing w:line="360" w:lineRule="auto"/>
        <w:ind w:firstLine="413" w:firstLineChars="196"/>
        <w:rPr>
          <w:rFonts w:hint="eastAsia" w:ascii="宋体" w:hAnsi="宋体"/>
          <w:b/>
          <w:color w:val="auto"/>
          <w:szCs w:val="21"/>
        </w:rPr>
      </w:pPr>
      <w:r>
        <w:rPr>
          <w:rFonts w:hint="eastAsia" w:ascii="宋体" w:hAnsi="宋体"/>
          <w:b/>
          <w:color w:val="auto"/>
          <w:szCs w:val="21"/>
        </w:rPr>
        <w:t>第八条  售后服务</w:t>
      </w:r>
    </w:p>
    <w:p w14:paraId="57A31995">
      <w:pPr>
        <w:spacing w:line="360" w:lineRule="auto"/>
        <w:ind w:firstLine="420" w:firstLineChars="200"/>
        <w:rPr>
          <w:rFonts w:hint="eastAsia" w:ascii="宋体" w:hAnsi="宋体"/>
          <w:color w:val="auto"/>
          <w:szCs w:val="21"/>
        </w:rPr>
      </w:pPr>
      <w:r>
        <w:rPr>
          <w:rFonts w:hint="eastAsia" w:ascii="宋体" w:hAnsi="宋体"/>
          <w:color w:val="auto"/>
          <w:szCs w:val="21"/>
        </w:rPr>
        <w:t>1. 乙方应按照国家有关法律规定和“三包”规定以及投标文件和本合同所附的《服务承诺》，为甲方提供售后服务。</w:t>
      </w:r>
    </w:p>
    <w:p w14:paraId="27194511">
      <w:pPr>
        <w:spacing w:line="360" w:lineRule="auto"/>
        <w:ind w:firstLine="420" w:firstLineChars="200"/>
        <w:rPr>
          <w:rFonts w:hint="eastAsia" w:ascii="宋体" w:hAnsi="宋体"/>
          <w:color w:val="auto"/>
          <w:szCs w:val="21"/>
        </w:rPr>
      </w:pPr>
      <w:r>
        <w:rPr>
          <w:rFonts w:hint="eastAsia" w:ascii="宋体" w:hAnsi="宋体"/>
          <w:color w:val="auto"/>
          <w:szCs w:val="21"/>
        </w:rPr>
        <w:t>2. 如在使用过程中发生质量问题，乙方在接到甲方通知后在</w:t>
      </w:r>
      <w:r>
        <w:rPr>
          <w:rFonts w:hint="eastAsia" w:ascii="宋体" w:hAnsi="宋体"/>
          <w:color w:val="auto"/>
          <w:szCs w:val="21"/>
          <w:u w:val="single"/>
        </w:rPr>
        <w:t>投标文件承诺的时间</w:t>
      </w:r>
      <w:r>
        <w:rPr>
          <w:rFonts w:hint="eastAsia" w:ascii="宋体" w:hAnsi="宋体"/>
          <w:color w:val="auto"/>
          <w:szCs w:val="21"/>
        </w:rPr>
        <w:t>内到达甲方现场处理。</w:t>
      </w:r>
      <w:r>
        <w:rPr>
          <w:rFonts w:ascii="宋体" w:hAnsi="宋体"/>
          <w:bCs/>
          <w:color w:val="auto"/>
          <w:kern w:val="0"/>
          <w:szCs w:val="21"/>
        </w:rPr>
        <w:t>接到故障通知后</w:t>
      </w:r>
      <w:r>
        <w:rPr>
          <w:rFonts w:hint="eastAsia" w:ascii="宋体" w:hAnsi="宋体"/>
          <w:bCs/>
          <w:color w:val="auto"/>
          <w:kern w:val="0"/>
          <w:szCs w:val="21"/>
          <w:u w:val="single"/>
        </w:rPr>
        <w:t xml:space="preserve"> 按</w:t>
      </w:r>
      <w:r>
        <w:rPr>
          <w:rFonts w:hint="eastAsia" w:ascii="宋体" w:hAnsi="宋体"/>
          <w:color w:val="auto"/>
          <w:szCs w:val="21"/>
          <w:u w:val="single"/>
        </w:rPr>
        <w:t xml:space="preserve">投标文件承诺的时间 </w:t>
      </w:r>
      <w:r>
        <w:rPr>
          <w:rFonts w:ascii="宋体" w:hAnsi="宋体"/>
          <w:bCs/>
          <w:color w:val="auto"/>
          <w:kern w:val="0"/>
          <w:szCs w:val="21"/>
        </w:rPr>
        <w:t>内响应，</w:t>
      </w:r>
      <w:r>
        <w:rPr>
          <w:rFonts w:hint="eastAsia" w:ascii="宋体" w:hAnsi="宋体"/>
          <w:bCs/>
          <w:color w:val="auto"/>
          <w:kern w:val="0"/>
          <w:szCs w:val="21"/>
          <w:u w:val="single"/>
        </w:rPr>
        <w:t>按</w:t>
      </w:r>
      <w:r>
        <w:rPr>
          <w:rFonts w:hint="eastAsia" w:ascii="宋体" w:hAnsi="宋体"/>
          <w:color w:val="auto"/>
          <w:szCs w:val="21"/>
          <w:u w:val="single"/>
        </w:rPr>
        <w:t xml:space="preserve">投标文件承诺的时间 </w:t>
      </w:r>
      <w:r>
        <w:rPr>
          <w:rFonts w:ascii="宋体" w:hAnsi="宋体"/>
          <w:bCs/>
          <w:color w:val="auto"/>
          <w:kern w:val="0"/>
          <w:szCs w:val="21"/>
        </w:rPr>
        <w:t>内派技术人员到达现场维修，</w:t>
      </w:r>
      <w:r>
        <w:rPr>
          <w:rFonts w:hint="eastAsia" w:ascii="宋体" w:hAnsi="宋体"/>
          <w:bCs/>
          <w:color w:val="auto"/>
          <w:kern w:val="0"/>
          <w:szCs w:val="21"/>
          <w:u w:val="single"/>
        </w:rPr>
        <w:t>按</w:t>
      </w:r>
      <w:r>
        <w:rPr>
          <w:rFonts w:hint="eastAsia" w:ascii="宋体" w:hAnsi="宋体"/>
          <w:color w:val="auto"/>
          <w:szCs w:val="21"/>
          <w:u w:val="single"/>
        </w:rPr>
        <w:t xml:space="preserve">投标文件承诺的时间 </w:t>
      </w:r>
      <w:r>
        <w:rPr>
          <w:rFonts w:ascii="宋体" w:hAnsi="宋体"/>
          <w:bCs/>
          <w:color w:val="auto"/>
          <w:kern w:val="0"/>
          <w:szCs w:val="21"/>
        </w:rPr>
        <w:t>内修复完毕，未能修复的提供相应的替代产品予</w:t>
      </w:r>
      <w:r>
        <w:rPr>
          <w:rFonts w:hint="eastAsia" w:ascii="宋体" w:hAnsi="宋体"/>
          <w:bCs/>
          <w:color w:val="auto"/>
          <w:kern w:val="0"/>
          <w:szCs w:val="21"/>
        </w:rPr>
        <w:t>甲方</w:t>
      </w:r>
      <w:r>
        <w:rPr>
          <w:rFonts w:ascii="宋体" w:hAnsi="宋体"/>
          <w:bCs/>
          <w:color w:val="auto"/>
          <w:kern w:val="0"/>
          <w:szCs w:val="21"/>
        </w:rPr>
        <w:t>使用</w:t>
      </w:r>
      <w:r>
        <w:rPr>
          <w:rFonts w:hint="eastAsia" w:ascii="宋体" w:hAnsi="宋体"/>
          <w:bCs/>
          <w:color w:val="auto"/>
          <w:kern w:val="0"/>
          <w:szCs w:val="21"/>
        </w:rPr>
        <w:t>。</w:t>
      </w:r>
    </w:p>
    <w:p w14:paraId="0F7B7226">
      <w:pPr>
        <w:spacing w:line="360" w:lineRule="auto"/>
        <w:ind w:firstLine="420" w:firstLineChars="200"/>
        <w:rPr>
          <w:rFonts w:hint="eastAsia" w:ascii="宋体" w:hAnsi="宋体"/>
          <w:color w:val="auto"/>
          <w:szCs w:val="21"/>
        </w:rPr>
      </w:pPr>
      <w:r>
        <w:rPr>
          <w:rFonts w:hint="eastAsia" w:ascii="宋体" w:hAnsi="宋体"/>
          <w:color w:val="auto"/>
          <w:szCs w:val="21"/>
        </w:rPr>
        <w:t>3. 在质保期内，乙方应对货物出现的质量及安全问题负责处理解决并承担一切费用。</w:t>
      </w:r>
      <w:r>
        <w:rPr>
          <w:rFonts w:ascii="宋体" w:hAnsi="宋体"/>
          <w:bCs/>
          <w:color w:val="auto"/>
          <w:kern w:val="0"/>
          <w:szCs w:val="21"/>
        </w:rPr>
        <w:t>质保期内免费上门检查维修、免费更换零部件；定期回访检查维修，提供终身服务</w:t>
      </w:r>
      <w:r>
        <w:rPr>
          <w:rFonts w:hint="eastAsia" w:ascii="宋体" w:hAnsi="宋体"/>
          <w:bCs/>
          <w:color w:val="auto"/>
          <w:kern w:val="0"/>
          <w:szCs w:val="21"/>
        </w:rPr>
        <w:t>。</w:t>
      </w:r>
    </w:p>
    <w:p w14:paraId="0DD6CE89">
      <w:pPr>
        <w:spacing w:line="360" w:lineRule="auto"/>
        <w:ind w:firstLine="420" w:firstLineChars="200"/>
        <w:rPr>
          <w:rFonts w:hint="eastAsia" w:ascii="宋体" w:hAnsi="宋体"/>
          <w:color w:val="auto"/>
          <w:szCs w:val="21"/>
        </w:rPr>
      </w:pPr>
      <w:r>
        <w:rPr>
          <w:rFonts w:hint="eastAsia" w:ascii="宋体" w:hAnsi="宋体"/>
          <w:color w:val="auto"/>
          <w:szCs w:val="21"/>
        </w:rPr>
        <w:t>4.</w:t>
      </w:r>
      <w:r>
        <w:rPr>
          <w:rFonts w:hint="eastAsia" w:ascii="宋体" w:hAnsi="宋体"/>
          <w:color w:val="auto"/>
        </w:rPr>
        <w:t xml:space="preserve"> </w:t>
      </w:r>
      <w:r>
        <w:rPr>
          <w:rFonts w:hint="eastAsia" w:ascii="宋体" w:hAnsi="宋体"/>
          <w:color w:val="auto"/>
          <w:szCs w:val="21"/>
        </w:rPr>
        <w:t>所中标产品必须为全新的原厂原装正货（原厂标配），满足本项目需要的技术参数及性能（配置）要求的设备。</w:t>
      </w:r>
    </w:p>
    <w:p w14:paraId="04BE1020">
      <w:pPr>
        <w:spacing w:line="360" w:lineRule="auto"/>
        <w:ind w:firstLine="413" w:firstLineChars="196"/>
        <w:rPr>
          <w:rFonts w:hint="eastAsia" w:ascii="宋体" w:hAnsi="宋体"/>
          <w:b/>
          <w:color w:val="auto"/>
          <w:szCs w:val="21"/>
        </w:rPr>
      </w:pPr>
      <w:r>
        <w:rPr>
          <w:rFonts w:hint="eastAsia" w:ascii="宋体" w:hAnsi="宋体"/>
          <w:b/>
          <w:color w:val="auto"/>
          <w:szCs w:val="21"/>
        </w:rPr>
        <w:t>第九条  税费</w:t>
      </w:r>
    </w:p>
    <w:p w14:paraId="0A7D5181">
      <w:pPr>
        <w:spacing w:line="360" w:lineRule="auto"/>
        <w:ind w:firstLine="411" w:firstLineChars="196"/>
        <w:rPr>
          <w:rFonts w:hint="eastAsia" w:ascii="宋体" w:hAnsi="宋体"/>
          <w:color w:val="auto"/>
          <w:szCs w:val="21"/>
        </w:rPr>
      </w:pPr>
      <w:r>
        <w:rPr>
          <w:rFonts w:hint="eastAsia" w:ascii="宋体" w:hAnsi="宋体"/>
          <w:color w:val="auto"/>
          <w:szCs w:val="21"/>
        </w:rPr>
        <w:t>本合同执行中相关的一切税费均由乙方负担。</w:t>
      </w:r>
    </w:p>
    <w:p w14:paraId="04AC65FC">
      <w:pPr>
        <w:snapToGrid w:val="0"/>
        <w:spacing w:line="360" w:lineRule="auto"/>
        <w:ind w:left="-61" w:firstLine="514"/>
        <w:rPr>
          <w:rFonts w:hint="eastAsia" w:ascii="宋体" w:hAnsi="宋体" w:cs="宋体"/>
          <w:b/>
          <w:color w:val="auto"/>
          <w:szCs w:val="21"/>
        </w:rPr>
      </w:pPr>
      <w:r>
        <w:rPr>
          <w:rFonts w:hint="eastAsia" w:ascii="宋体" w:hAnsi="宋体" w:cs="宋体"/>
          <w:b/>
          <w:color w:val="auto"/>
          <w:szCs w:val="21"/>
        </w:rPr>
        <w:t>第十条　履约保证金</w:t>
      </w:r>
    </w:p>
    <w:p w14:paraId="64D116CA">
      <w:pPr>
        <w:spacing w:line="360" w:lineRule="auto"/>
        <w:ind w:firstLine="422" w:firstLineChars="201"/>
        <w:rPr>
          <w:rFonts w:hint="eastAsia" w:ascii="宋体" w:hAnsi="宋体"/>
          <w:color w:val="auto"/>
          <w:szCs w:val="21"/>
        </w:rPr>
      </w:pPr>
      <w:r>
        <w:rPr>
          <w:rFonts w:hint="eastAsia" w:ascii="宋体" w:hAnsi="宋体"/>
          <w:color w:val="auto"/>
          <w:szCs w:val="21"/>
        </w:rPr>
        <w:t>无</w:t>
      </w:r>
    </w:p>
    <w:p w14:paraId="44641D99">
      <w:pPr>
        <w:spacing w:line="360" w:lineRule="auto"/>
        <w:ind w:firstLine="424" w:firstLineChars="201"/>
        <w:rPr>
          <w:rFonts w:hint="eastAsia" w:ascii="宋体" w:hAnsi="宋体"/>
          <w:b/>
          <w:color w:val="auto"/>
          <w:szCs w:val="21"/>
        </w:rPr>
      </w:pPr>
      <w:r>
        <w:rPr>
          <w:rFonts w:hint="eastAsia" w:ascii="宋体" w:hAnsi="宋体"/>
          <w:b/>
          <w:color w:val="auto"/>
          <w:szCs w:val="21"/>
        </w:rPr>
        <w:t>第十一条  付款方式</w:t>
      </w:r>
    </w:p>
    <w:p w14:paraId="4FD044BB">
      <w:pPr>
        <w:spacing w:line="360" w:lineRule="auto"/>
        <w:ind w:firstLine="411" w:firstLineChars="196"/>
        <w:rPr>
          <w:rFonts w:hint="eastAsia" w:ascii="宋体" w:hAnsi="宋体"/>
          <w:color w:val="auto"/>
          <w:kern w:val="0"/>
          <w:szCs w:val="21"/>
        </w:rPr>
      </w:pPr>
      <w:r>
        <w:rPr>
          <w:rFonts w:hint="eastAsia" w:ascii="宋体" w:hAnsi="宋体"/>
          <w:color w:val="auto"/>
          <w:kern w:val="0"/>
          <w:szCs w:val="21"/>
        </w:rPr>
        <w:t>按货物采购需求中的商务条款“付款方式”执行。</w:t>
      </w:r>
    </w:p>
    <w:p w14:paraId="03E9A516">
      <w:pPr>
        <w:spacing w:line="360" w:lineRule="auto"/>
        <w:ind w:firstLine="413" w:firstLineChars="196"/>
        <w:rPr>
          <w:rFonts w:hint="eastAsia" w:ascii="宋体" w:hAnsi="宋体"/>
          <w:b/>
          <w:color w:val="auto"/>
          <w:szCs w:val="21"/>
        </w:rPr>
      </w:pPr>
      <w:r>
        <w:rPr>
          <w:rFonts w:hint="eastAsia" w:ascii="宋体" w:hAnsi="宋体"/>
          <w:b/>
          <w:color w:val="auto"/>
          <w:szCs w:val="21"/>
        </w:rPr>
        <w:t>第十二条  违约责任</w:t>
      </w:r>
    </w:p>
    <w:p w14:paraId="356EE6BA">
      <w:pPr>
        <w:spacing w:line="360" w:lineRule="auto"/>
        <w:ind w:firstLine="420" w:firstLineChars="200"/>
        <w:rPr>
          <w:rFonts w:hint="eastAsia" w:ascii="宋体" w:hAnsi="宋体"/>
          <w:color w:val="auto"/>
          <w:szCs w:val="21"/>
        </w:rPr>
      </w:pPr>
      <w:r>
        <w:rPr>
          <w:rFonts w:hint="eastAsia" w:ascii="宋体" w:hAnsi="宋体"/>
          <w:color w:val="auto"/>
          <w:szCs w:val="21"/>
        </w:rPr>
        <w:t>1. 乙方所提供的货物规格、技术标准、材料等质量不合格的，应及时更换，更换不及时的按逾期交货处罚，乙方应向甲方支付合同金额</w:t>
      </w:r>
      <w:r>
        <w:rPr>
          <w:rFonts w:hint="eastAsia" w:ascii="宋体" w:hAnsi="宋体"/>
          <w:color w:val="auto"/>
          <w:szCs w:val="21"/>
          <w:u w:val="single"/>
        </w:rPr>
        <w:t>　5　</w:t>
      </w:r>
      <w:r>
        <w:rPr>
          <w:rFonts w:hint="eastAsia" w:ascii="宋体" w:hAnsi="宋体"/>
          <w:color w:val="auto"/>
          <w:szCs w:val="21"/>
        </w:rPr>
        <w:t>%违约金并赔偿甲方经济损失。</w:t>
      </w:r>
    </w:p>
    <w:p w14:paraId="7A964E13">
      <w:pPr>
        <w:spacing w:line="360" w:lineRule="auto"/>
        <w:ind w:firstLine="359" w:firstLineChars="171"/>
        <w:rPr>
          <w:rFonts w:hint="eastAsia" w:ascii="宋体" w:hAnsi="宋体"/>
          <w:color w:val="auto"/>
          <w:szCs w:val="21"/>
        </w:rPr>
      </w:pPr>
      <w:r>
        <w:rPr>
          <w:rFonts w:hint="eastAsia" w:ascii="宋体" w:hAnsi="宋体"/>
          <w:color w:val="auto"/>
          <w:szCs w:val="21"/>
        </w:rPr>
        <w:t>2. 乙方提供的货物如果侵犯了第三方合法权益而引发的任何纠纷或诉讼，均由乙方负责交涉并承担全部责任。</w:t>
      </w:r>
    </w:p>
    <w:p w14:paraId="733E2D4E">
      <w:pPr>
        <w:spacing w:line="360" w:lineRule="auto"/>
        <w:ind w:firstLine="420" w:firstLineChars="200"/>
        <w:rPr>
          <w:rFonts w:hint="eastAsia" w:ascii="宋体" w:hAnsi="宋体"/>
          <w:color w:val="auto"/>
          <w:szCs w:val="21"/>
        </w:rPr>
      </w:pPr>
      <w:r>
        <w:rPr>
          <w:rFonts w:hint="eastAsia" w:ascii="宋体" w:hAnsi="宋体"/>
          <w:color w:val="auto"/>
          <w:szCs w:val="21"/>
        </w:rPr>
        <w:t>3. 因包装、运输引起的货物损坏，按质量不合格处理。</w:t>
      </w:r>
    </w:p>
    <w:p w14:paraId="335CF3A9">
      <w:pPr>
        <w:spacing w:line="360" w:lineRule="auto"/>
        <w:ind w:firstLine="420" w:firstLineChars="200"/>
        <w:rPr>
          <w:rFonts w:hint="eastAsia" w:ascii="宋体" w:hAnsi="宋体"/>
          <w:color w:val="auto"/>
          <w:szCs w:val="21"/>
        </w:rPr>
      </w:pPr>
      <w:r>
        <w:rPr>
          <w:rFonts w:hint="eastAsia" w:ascii="宋体" w:hAnsi="宋体"/>
          <w:color w:val="auto"/>
          <w:szCs w:val="21"/>
        </w:rPr>
        <w:t>4. 甲方无故延期接收货物、乙方逾期交货的，每天向对方偿付违约货款额</w:t>
      </w:r>
      <w:r>
        <w:rPr>
          <w:rFonts w:hint="eastAsia" w:ascii="宋体" w:hAnsi="宋体"/>
          <w:color w:val="auto"/>
          <w:szCs w:val="21"/>
          <w:u w:val="single"/>
        </w:rPr>
        <w:t>3‰</w:t>
      </w:r>
      <w:r>
        <w:rPr>
          <w:rFonts w:hint="eastAsia" w:ascii="宋体" w:hAnsi="宋体"/>
          <w:color w:val="auto"/>
          <w:szCs w:val="21"/>
        </w:rPr>
        <w:t>违约金，但违约金累计不得超过违约货款额</w:t>
      </w:r>
      <w:r>
        <w:rPr>
          <w:rFonts w:hint="eastAsia" w:ascii="宋体" w:hAnsi="宋体"/>
          <w:color w:val="auto"/>
          <w:szCs w:val="21"/>
          <w:u w:val="single"/>
        </w:rPr>
        <w:t>5%</w:t>
      </w:r>
      <w:r>
        <w:rPr>
          <w:rFonts w:hint="eastAsia" w:ascii="宋体" w:hAnsi="宋体"/>
          <w:color w:val="auto"/>
          <w:szCs w:val="21"/>
        </w:rPr>
        <w:t>，超过</w:t>
      </w:r>
      <w:r>
        <w:rPr>
          <w:rFonts w:hint="eastAsia" w:ascii="宋体" w:hAnsi="宋体"/>
          <w:color w:val="auto"/>
          <w:szCs w:val="21"/>
          <w:u w:val="single"/>
        </w:rPr>
        <w:t xml:space="preserve"> 15 天</w:t>
      </w:r>
      <w:r>
        <w:rPr>
          <w:rFonts w:hint="eastAsia" w:ascii="宋体" w:hAnsi="宋体"/>
          <w:color w:val="auto"/>
          <w:szCs w:val="21"/>
        </w:rPr>
        <w:t>对方有权解除合同，违约方承担因此给对方造成经济损失；甲方延期付货款的，每天向乙方偿付延期货款额3‰滞纳金，但滞纳金累计不得超过延期货款额</w:t>
      </w:r>
      <w:r>
        <w:rPr>
          <w:rFonts w:hint="eastAsia" w:ascii="宋体" w:hAnsi="宋体"/>
          <w:color w:val="auto"/>
          <w:szCs w:val="21"/>
          <w:u w:val="single"/>
        </w:rPr>
        <w:t>5%</w:t>
      </w:r>
      <w:r>
        <w:rPr>
          <w:rFonts w:hint="eastAsia" w:ascii="宋体" w:hAnsi="宋体"/>
          <w:color w:val="auto"/>
          <w:szCs w:val="21"/>
        </w:rPr>
        <w:t>。</w:t>
      </w:r>
    </w:p>
    <w:p w14:paraId="0FFC6AA5">
      <w:pPr>
        <w:spacing w:line="360" w:lineRule="auto"/>
        <w:ind w:firstLine="420" w:firstLineChars="200"/>
        <w:rPr>
          <w:rFonts w:hint="eastAsia" w:ascii="宋体" w:hAnsi="宋体"/>
          <w:color w:val="auto"/>
          <w:szCs w:val="21"/>
        </w:rPr>
      </w:pPr>
      <w:r>
        <w:rPr>
          <w:rFonts w:hint="eastAsia" w:ascii="宋体" w:hAnsi="宋体"/>
          <w:color w:val="auto"/>
          <w:szCs w:val="21"/>
        </w:rPr>
        <w:t>5. 乙方未按本合同和投标文件中规定的服务承诺提供售后服务的，乙方应按本合同合同金额</w:t>
      </w:r>
      <w:r>
        <w:rPr>
          <w:rFonts w:hint="eastAsia" w:ascii="宋体" w:hAnsi="宋体"/>
          <w:color w:val="auto"/>
          <w:szCs w:val="21"/>
          <w:u w:val="single"/>
        </w:rPr>
        <w:t>　5　</w:t>
      </w:r>
      <w:r>
        <w:rPr>
          <w:rFonts w:hint="eastAsia" w:ascii="宋体" w:hAnsi="宋体"/>
          <w:color w:val="auto"/>
          <w:szCs w:val="21"/>
        </w:rPr>
        <w:t>%向甲方支付违约金。</w:t>
      </w:r>
    </w:p>
    <w:p w14:paraId="61940405">
      <w:pPr>
        <w:spacing w:line="360" w:lineRule="auto"/>
        <w:ind w:firstLine="420" w:firstLineChars="200"/>
        <w:rPr>
          <w:rFonts w:hint="eastAsia" w:ascii="宋体" w:hAnsi="宋体"/>
          <w:color w:val="auto"/>
          <w:szCs w:val="21"/>
        </w:rPr>
      </w:pPr>
      <w:r>
        <w:rPr>
          <w:rFonts w:hint="eastAsia" w:ascii="宋体" w:hAnsi="宋体"/>
          <w:color w:val="auto"/>
          <w:szCs w:val="21"/>
        </w:rPr>
        <w:t>6. 乙方提供的货物在质保期内，因设计、工艺或材料的缺陷和其他质量原因造成的问题，由乙方负责，费用从履约保证金中扣除，不足另补。</w:t>
      </w:r>
    </w:p>
    <w:p w14:paraId="066B29FB">
      <w:pPr>
        <w:spacing w:line="360" w:lineRule="auto"/>
        <w:ind w:left="420"/>
        <w:rPr>
          <w:rFonts w:hint="eastAsia" w:ascii="宋体" w:hAnsi="宋体"/>
          <w:color w:val="auto"/>
          <w:szCs w:val="21"/>
        </w:rPr>
      </w:pPr>
      <w:r>
        <w:rPr>
          <w:rFonts w:hint="eastAsia" w:ascii="宋体" w:hAnsi="宋体"/>
          <w:color w:val="auto"/>
          <w:szCs w:val="21"/>
        </w:rPr>
        <w:t>7. 其他违约行为按违约货款额</w:t>
      </w:r>
      <w:r>
        <w:rPr>
          <w:rFonts w:hint="eastAsia" w:ascii="宋体" w:hAnsi="宋体"/>
          <w:color w:val="auto"/>
          <w:szCs w:val="21"/>
          <w:u w:val="single"/>
        </w:rPr>
        <w:t>　5　</w:t>
      </w:r>
      <w:r>
        <w:rPr>
          <w:rFonts w:hint="eastAsia" w:ascii="宋体" w:hAnsi="宋体"/>
          <w:color w:val="auto"/>
          <w:szCs w:val="21"/>
        </w:rPr>
        <w:t>%收取违约金并赔偿经济损失。</w:t>
      </w:r>
    </w:p>
    <w:p w14:paraId="583646D1">
      <w:pPr>
        <w:spacing w:line="360" w:lineRule="auto"/>
        <w:ind w:firstLine="413" w:firstLineChars="196"/>
        <w:rPr>
          <w:rFonts w:hint="eastAsia" w:ascii="宋体" w:hAnsi="宋体"/>
          <w:b/>
          <w:color w:val="auto"/>
          <w:szCs w:val="21"/>
        </w:rPr>
      </w:pPr>
      <w:r>
        <w:rPr>
          <w:rFonts w:hint="eastAsia" w:ascii="宋体" w:hAnsi="宋体"/>
          <w:b/>
          <w:color w:val="auto"/>
          <w:szCs w:val="21"/>
        </w:rPr>
        <w:t>第十三条  不可抗力事件处理</w:t>
      </w:r>
    </w:p>
    <w:p w14:paraId="3547A874">
      <w:pPr>
        <w:spacing w:line="360" w:lineRule="auto"/>
        <w:ind w:firstLine="420" w:firstLineChars="200"/>
        <w:rPr>
          <w:rFonts w:hint="eastAsia" w:ascii="宋体" w:hAnsi="宋体"/>
          <w:color w:val="auto"/>
          <w:szCs w:val="21"/>
        </w:rPr>
      </w:pPr>
      <w:r>
        <w:rPr>
          <w:rFonts w:hint="eastAsia" w:ascii="宋体" w:hAnsi="宋体"/>
          <w:color w:val="auto"/>
          <w:szCs w:val="21"/>
        </w:rPr>
        <w:t>1. 在合同有效期内，乙方因不可抗力事件导致不能履行合同，则合同履行期可延长，其延长期与不可抗力影响期相同。</w:t>
      </w:r>
    </w:p>
    <w:p w14:paraId="19162C88">
      <w:pPr>
        <w:spacing w:line="360" w:lineRule="auto"/>
        <w:ind w:firstLine="420" w:firstLineChars="200"/>
        <w:rPr>
          <w:rFonts w:hint="eastAsia" w:ascii="宋体" w:hAnsi="宋体"/>
          <w:color w:val="auto"/>
          <w:szCs w:val="21"/>
        </w:rPr>
      </w:pPr>
      <w:r>
        <w:rPr>
          <w:rFonts w:hint="eastAsia" w:ascii="宋体" w:hAnsi="宋体"/>
          <w:color w:val="auto"/>
          <w:szCs w:val="21"/>
        </w:rPr>
        <w:t>2. 不可抗力事件发生后，应立即通知对方，并寄送有关权威机构出具的证明。</w:t>
      </w:r>
    </w:p>
    <w:p w14:paraId="02B70E57">
      <w:pPr>
        <w:spacing w:line="360" w:lineRule="auto"/>
        <w:ind w:firstLine="420" w:firstLineChars="200"/>
        <w:rPr>
          <w:rFonts w:hint="eastAsia" w:ascii="宋体" w:hAnsi="宋体"/>
          <w:color w:val="auto"/>
          <w:szCs w:val="21"/>
        </w:rPr>
      </w:pPr>
      <w:r>
        <w:rPr>
          <w:rFonts w:hint="eastAsia" w:ascii="宋体" w:hAnsi="宋体"/>
          <w:color w:val="auto"/>
          <w:szCs w:val="21"/>
        </w:rPr>
        <w:t>3. 不可抗力事件延续一百二十天以上，双方应通过友好协商，确定是否继续履行合同。</w:t>
      </w:r>
    </w:p>
    <w:p w14:paraId="43ADC42C">
      <w:pPr>
        <w:spacing w:line="360" w:lineRule="auto"/>
        <w:ind w:firstLine="413" w:firstLineChars="196"/>
        <w:rPr>
          <w:rFonts w:hint="eastAsia" w:ascii="宋体" w:hAnsi="宋体"/>
          <w:b/>
          <w:color w:val="auto"/>
          <w:szCs w:val="21"/>
        </w:rPr>
      </w:pPr>
      <w:r>
        <w:rPr>
          <w:rFonts w:hint="eastAsia" w:ascii="宋体" w:hAnsi="宋体"/>
          <w:b/>
          <w:color w:val="auto"/>
          <w:szCs w:val="21"/>
        </w:rPr>
        <w:t>第十四条  合同争议解决</w:t>
      </w:r>
    </w:p>
    <w:p w14:paraId="7C4B9809">
      <w:pPr>
        <w:spacing w:line="360" w:lineRule="auto"/>
        <w:ind w:firstLine="420" w:firstLineChars="200"/>
        <w:rPr>
          <w:rFonts w:hint="eastAsia" w:ascii="宋体" w:hAnsi="宋体"/>
          <w:color w:val="auto"/>
          <w:szCs w:val="21"/>
        </w:rPr>
      </w:pPr>
      <w:r>
        <w:rPr>
          <w:rFonts w:hint="eastAsia" w:ascii="宋体" w:hAnsi="宋体"/>
          <w:color w:val="auto"/>
          <w:szCs w:val="21"/>
        </w:rPr>
        <w:t>1. 因货物质量问题发生争议的，应邀请国家认可的质量检测机构对货物质量进行鉴定。</w:t>
      </w:r>
      <w:r>
        <w:rPr>
          <w:rFonts w:ascii="宋体" w:hAnsi="宋体"/>
          <w:color w:val="auto"/>
          <w:szCs w:val="21"/>
        </w:rPr>
        <w:t>所有产生的费用由</w:t>
      </w:r>
      <w:r>
        <w:rPr>
          <w:rFonts w:hint="eastAsia" w:ascii="宋体" w:hAnsi="宋体"/>
          <w:color w:val="auto"/>
          <w:szCs w:val="21"/>
        </w:rPr>
        <w:t>乙方</w:t>
      </w:r>
      <w:r>
        <w:rPr>
          <w:rFonts w:ascii="宋体" w:hAnsi="宋体"/>
          <w:color w:val="auto"/>
          <w:szCs w:val="21"/>
        </w:rPr>
        <w:t>承担</w:t>
      </w:r>
      <w:r>
        <w:rPr>
          <w:rFonts w:hint="eastAsia" w:ascii="宋体" w:hAnsi="宋体"/>
          <w:color w:val="auto"/>
          <w:szCs w:val="21"/>
        </w:rPr>
        <w:t>。</w:t>
      </w:r>
    </w:p>
    <w:p w14:paraId="7B14901F">
      <w:pPr>
        <w:spacing w:line="360" w:lineRule="auto"/>
        <w:ind w:firstLine="420" w:firstLineChars="200"/>
        <w:rPr>
          <w:rFonts w:hint="eastAsia" w:ascii="宋体" w:hAnsi="宋体"/>
          <w:color w:val="auto"/>
          <w:szCs w:val="21"/>
        </w:rPr>
      </w:pPr>
      <w:r>
        <w:rPr>
          <w:rFonts w:hint="eastAsia" w:ascii="宋体" w:hAnsi="宋体"/>
          <w:color w:val="auto"/>
          <w:szCs w:val="21"/>
        </w:rPr>
        <w:t>2. 因履行本合同引起的或与本合同有关的争议，甲乙双方应首先通过友好协商解决，如果协商不能解决，可向甲方所在地人民法院提起诉讼。</w:t>
      </w:r>
    </w:p>
    <w:p w14:paraId="5EE9E308">
      <w:pPr>
        <w:spacing w:line="360" w:lineRule="auto"/>
        <w:ind w:firstLine="420" w:firstLineChars="200"/>
        <w:rPr>
          <w:rFonts w:hint="eastAsia" w:ascii="宋体" w:hAnsi="宋体"/>
          <w:color w:val="auto"/>
          <w:szCs w:val="21"/>
        </w:rPr>
      </w:pPr>
      <w:r>
        <w:rPr>
          <w:rFonts w:hint="eastAsia" w:ascii="宋体" w:hAnsi="宋体"/>
          <w:color w:val="auto"/>
          <w:szCs w:val="21"/>
        </w:rPr>
        <w:t>3.若某方违约，违约方应承担守约方所有维权支出，包括但不限于：诉讼费、律师费、保全费、调查取证费等。</w:t>
      </w:r>
    </w:p>
    <w:p w14:paraId="4DB787CA">
      <w:pPr>
        <w:spacing w:line="360" w:lineRule="auto"/>
        <w:ind w:left="435"/>
        <w:rPr>
          <w:rFonts w:hint="eastAsia" w:ascii="宋体" w:hAnsi="宋体"/>
          <w:color w:val="auto"/>
          <w:szCs w:val="21"/>
        </w:rPr>
      </w:pPr>
      <w:r>
        <w:rPr>
          <w:rFonts w:hint="eastAsia" w:ascii="宋体" w:hAnsi="宋体"/>
          <w:color w:val="auto"/>
          <w:szCs w:val="21"/>
        </w:rPr>
        <w:t>4. 诉讼期间，本合同继续履行（继续履行会扩大守约方损失除外）。</w:t>
      </w:r>
    </w:p>
    <w:p w14:paraId="14E14114">
      <w:pPr>
        <w:spacing w:line="360" w:lineRule="auto"/>
        <w:ind w:firstLine="413" w:firstLineChars="196"/>
        <w:rPr>
          <w:rFonts w:hint="eastAsia" w:ascii="宋体" w:hAnsi="宋体"/>
          <w:b/>
          <w:color w:val="auto"/>
          <w:szCs w:val="21"/>
        </w:rPr>
      </w:pPr>
      <w:r>
        <w:rPr>
          <w:rFonts w:hint="eastAsia" w:ascii="宋体" w:hAnsi="宋体"/>
          <w:b/>
          <w:color w:val="auto"/>
          <w:szCs w:val="21"/>
        </w:rPr>
        <w:t>第十五条  合同生效及其它</w:t>
      </w:r>
    </w:p>
    <w:p w14:paraId="208A56F0">
      <w:pPr>
        <w:spacing w:line="360" w:lineRule="auto"/>
        <w:ind w:firstLine="420" w:firstLineChars="200"/>
        <w:rPr>
          <w:rFonts w:hint="eastAsia" w:ascii="宋体" w:hAnsi="宋体"/>
          <w:color w:val="auto"/>
          <w:szCs w:val="21"/>
        </w:rPr>
      </w:pPr>
      <w:r>
        <w:rPr>
          <w:rFonts w:hint="eastAsia" w:ascii="宋体" w:hAnsi="宋体"/>
          <w:color w:val="auto"/>
          <w:szCs w:val="21"/>
        </w:rPr>
        <w:t>1. 合同经甲乙双方法定代表人或相应的授权代表签字并加盖单位公章后生效。</w:t>
      </w:r>
    </w:p>
    <w:p w14:paraId="7635F147">
      <w:pPr>
        <w:spacing w:line="360" w:lineRule="auto"/>
        <w:ind w:firstLine="420" w:firstLineChars="200"/>
        <w:rPr>
          <w:rFonts w:hint="eastAsia" w:ascii="宋体" w:hAnsi="宋体"/>
          <w:color w:val="auto"/>
          <w:szCs w:val="21"/>
        </w:rPr>
      </w:pPr>
      <w:r>
        <w:rPr>
          <w:rFonts w:hint="eastAsia" w:ascii="宋体" w:hAnsi="宋体"/>
          <w:color w:val="auto"/>
          <w:szCs w:val="21"/>
        </w:rPr>
        <w:t>2. 合同执行中涉及采购资金和采购内容修改或补充的，需经桂林市财政部门审批，并签订书面补充协议报桂林市财政局备案，方可作为主合同不可分割的一部分。</w:t>
      </w:r>
    </w:p>
    <w:p w14:paraId="0E76248F">
      <w:pPr>
        <w:spacing w:line="360" w:lineRule="auto"/>
        <w:ind w:left="435"/>
        <w:rPr>
          <w:rFonts w:hint="eastAsia" w:ascii="宋体" w:hAnsi="宋体"/>
          <w:color w:val="auto"/>
          <w:szCs w:val="21"/>
        </w:rPr>
      </w:pPr>
      <w:r>
        <w:rPr>
          <w:rFonts w:hint="eastAsia" w:ascii="宋体" w:hAnsi="宋体"/>
          <w:color w:val="auto"/>
          <w:szCs w:val="21"/>
        </w:rPr>
        <w:t>3. 本合同未尽事宜，遵照《民法典》有关条文执行。</w:t>
      </w:r>
    </w:p>
    <w:p w14:paraId="65654DDA">
      <w:pPr>
        <w:spacing w:line="360" w:lineRule="auto"/>
        <w:ind w:firstLine="413" w:firstLineChars="196"/>
        <w:rPr>
          <w:rFonts w:hint="eastAsia" w:ascii="宋体" w:hAnsi="宋体"/>
          <w:b/>
          <w:color w:val="auto"/>
          <w:szCs w:val="21"/>
        </w:rPr>
      </w:pPr>
      <w:r>
        <w:rPr>
          <w:rFonts w:hint="eastAsia" w:ascii="宋体" w:hAnsi="宋体"/>
          <w:b/>
          <w:color w:val="auto"/>
          <w:szCs w:val="21"/>
        </w:rPr>
        <w:t>第十六条  合同的变更、终止与转让</w:t>
      </w:r>
    </w:p>
    <w:p w14:paraId="7A687E1B">
      <w:pPr>
        <w:spacing w:line="360" w:lineRule="auto"/>
        <w:ind w:firstLine="420" w:firstLineChars="200"/>
        <w:rPr>
          <w:rFonts w:hint="eastAsia" w:ascii="宋体" w:hAnsi="宋体"/>
          <w:color w:val="auto"/>
          <w:szCs w:val="21"/>
        </w:rPr>
      </w:pPr>
      <w:r>
        <w:rPr>
          <w:rFonts w:hint="eastAsia" w:ascii="宋体" w:hAnsi="宋体"/>
          <w:color w:val="auto"/>
          <w:szCs w:val="21"/>
        </w:rPr>
        <w:t>1. 除《中华人民共和国政府采购法》第五十条规定的情形及本合同约定的情形外，本合同一经签订，甲乙双方不得擅自变更，中止或终止。</w:t>
      </w:r>
    </w:p>
    <w:p w14:paraId="15BAD0D1">
      <w:pPr>
        <w:spacing w:line="360" w:lineRule="auto"/>
        <w:ind w:left="420"/>
        <w:rPr>
          <w:rFonts w:hint="eastAsia" w:ascii="宋体" w:hAnsi="宋体"/>
          <w:color w:val="auto"/>
          <w:szCs w:val="21"/>
        </w:rPr>
      </w:pPr>
      <w:r>
        <w:rPr>
          <w:rFonts w:hint="eastAsia" w:ascii="宋体" w:hAnsi="宋体"/>
          <w:color w:val="auto"/>
          <w:szCs w:val="21"/>
        </w:rPr>
        <w:t>2. 乙方不得擅自转让其应履行的合同义务。</w:t>
      </w:r>
    </w:p>
    <w:p w14:paraId="3AE990E8">
      <w:pPr>
        <w:spacing w:line="360" w:lineRule="auto"/>
        <w:ind w:firstLine="422" w:firstLineChars="200"/>
        <w:rPr>
          <w:rFonts w:hint="eastAsia" w:ascii="宋体" w:hAnsi="宋体"/>
          <w:b/>
          <w:color w:val="auto"/>
          <w:szCs w:val="21"/>
        </w:rPr>
      </w:pPr>
      <w:r>
        <w:rPr>
          <w:rFonts w:hint="eastAsia" w:ascii="宋体" w:hAnsi="宋体"/>
          <w:b/>
          <w:color w:val="auto"/>
          <w:szCs w:val="21"/>
        </w:rPr>
        <w:t>第十七条  签订本合同依据：</w:t>
      </w:r>
    </w:p>
    <w:p w14:paraId="2D68E9DA">
      <w:pPr>
        <w:spacing w:line="360" w:lineRule="auto"/>
        <w:ind w:left="420"/>
        <w:rPr>
          <w:rFonts w:hint="eastAsia" w:ascii="宋体" w:hAnsi="宋体"/>
          <w:color w:val="auto"/>
          <w:szCs w:val="21"/>
        </w:rPr>
      </w:pPr>
      <w:r>
        <w:rPr>
          <w:rFonts w:hint="eastAsia" w:ascii="宋体" w:hAnsi="宋体"/>
          <w:color w:val="auto"/>
          <w:szCs w:val="21"/>
        </w:rPr>
        <w:t>1.招标文件；</w:t>
      </w:r>
    </w:p>
    <w:p w14:paraId="2CE0144E">
      <w:pPr>
        <w:spacing w:line="360" w:lineRule="auto"/>
        <w:ind w:left="420"/>
        <w:rPr>
          <w:rFonts w:hint="eastAsia" w:ascii="宋体" w:hAnsi="宋体"/>
          <w:color w:val="auto"/>
          <w:szCs w:val="21"/>
        </w:rPr>
      </w:pPr>
      <w:r>
        <w:rPr>
          <w:rFonts w:hint="eastAsia" w:ascii="宋体" w:hAnsi="宋体"/>
          <w:color w:val="auto"/>
          <w:szCs w:val="21"/>
        </w:rPr>
        <w:t>2.乙方提供的投标文件；</w:t>
      </w:r>
    </w:p>
    <w:p w14:paraId="2B77D273">
      <w:pPr>
        <w:spacing w:line="360" w:lineRule="auto"/>
        <w:ind w:left="420"/>
        <w:rPr>
          <w:rFonts w:hint="eastAsia" w:ascii="宋体" w:hAnsi="宋体"/>
          <w:color w:val="auto"/>
          <w:szCs w:val="21"/>
        </w:rPr>
      </w:pPr>
      <w:r>
        <w:rPr>
          <w:rFonts w:hint="eastAsia" w:ascii="宋体" w:hAnsi="宋体"/>
          <w:color w:val="auto"/>
          <w:szCs w:val="21"/>
        </w:rPr>
        <w:t>3.售后服务承诺书；</w:t>
      </w:r>
    </w:p>
    <w:p w14:paraId="2ED13EA6">
      <w:pPr>
        <w:pStyle w:val="27"/>
        <w:spacing w:line="360" w:lineRule="auto"/>
        <w:ind w:left="2" w:leftChars="1" w:firstLine="420" w:firstLineChars="200"/>
        <w:rPr>
          <w:rFonts w:hint="eastAsia" w:hAnsi="宋体"/>
          <w:color w:val="auto"/>
          <w:szCs w:val="21"/>
        </w:rPr>
      </w:pPr>
      <w:r>
        <w:rPr>
          <w:rFonts w:hint="eastAsia" w:hAnsi="宋体"/>
          <w:color w:val="auto"/>
          <w:szCs w:val="21"/>
        </w:rPr>
        <w:t>4.中标通知书。</w:t>
      </w:r>
    </w:p>
    <w:p w14:paraId="2C5D3AFA">
      <w:pPr>
        <w:spacing w:line="360" w:lineRule="auto"/>
        <w:ind w:firstLine="420" w:firstLineChars="200"/>
        <w:rPr>
          <w:rFonts w:hint="eastAsia" w:ascii="宋体" w:hAnsi="宋体"/>
          <w:color w:val="auto"/>
        </w:rPr>
      </w:pPr>
      <w:r>
        <w:rPr>
          <w:rFonts w:hint="eastAsia" w:ascii="宋体" w:hAnsi="宋体"/>
          <w:color w:val="auto"/>
          <w:szCs w:val="21"/>
        </w:rPr>
        <w:t>本合同甲乙双方签字盖章后生效，一式四份，具有同等法律效力，甲、乙双方各一份，采购代理机构两份。</w:t>
      </w:r>
      <w:r>
        <w:rPr>
          <w:rFonts w:hint="eastAsia" w:ascii="宋体" w:hAnsi="宋体"/>
          <w:color w:val="auto"/>
        </w:rPr>
        <w:t>政府采购合同双方自签订之日起1个工作日内将合同原件两份交采购代理机构。采购代理机构将政府采购合同在省级以上人民政府财政部门指定媒体上公告并于合同签订之日起7个工作日内将一份合同原件送桂林市财政局政府采购监督管理股备案，一份由采购代理机构存档。</w:t>
      </w:r>
    </w:p>
    <w:p w14:paraId="0FAC460A">
      <w:pPr>
        <w:pStyle w:val="232"/>
        <w:ind w:firstLine="480"/>
        <w:rPr>
          <w:rFonts w:ascii="Times New Roman"/>
          <w:color w:val="auto"/>
        </w:rPr>
      </w:pPr>
    </w:p>
    <w:p w14:paraId="5F07B078">
      <w:pPr>
        <w:spacing w:line="360" w:lineRule="auto"/>
        <w:rPr>
          <w:rFonts w:hint="eastAsia" w:ascii="宋体" w:hAnsi="宋体"/>
          <w:color w:val="auto"/>
          <w:szCs w:val="21"/>
          <w:u w:val="single"/>
        </w:rPr>
      </w:pPr>
      <w:r>
        <w:rPr>
          <w:rFonts w:hint="eastAsia" w:ascii="宋体" w:hAnsi="宋体"/>
          <w:color w:val="auto"/>
          <w:szCs w:val="21"/>
        </w:rPr>
        <w:t>甲方（公章）：</w:t>
      </w:r>
      <w:r>
        <w:rPr>
          <w:rFonts w:hint="eastAsia" w:ascii="宋体" w:hAnsi="宋体"/>
          <w:color w:val="auto"/>
          <w:szCs w:val="21"/>
          <w:u w:val="single"/>
        </w:rPr>
        <w:t xml:space="preserve">                         </w:t>
      </w:r>
      <w:r>
        <w:rPr>
          <w:rFonts w:hint="eastAsia" w:ascii="宋体" w:hAnsi="宋体"/>
          <w:color w:val="auto"/>
          <w:szCs w:val="21"/>
        </w:rPr>
        <w:t xml:space="preserve">    乙方（公章）：</w:t>
      </w:r>
      <w:r>
        <w:rPr>
          <w:rFonts w:hint="eastAsia" w:ascii="宋体" w:hAnsi="宋体"/>
          <w:color w:val="auto"/>
          <w:szCs w:val="21"/>
          <w:u w:val="single"/>
        </w:rPr>
        <w:t xml:space="preserve">                           .</w:t>
      </w:r>
    </w:p>
    <w:p w14:paraId="4509C655">
      <w:pPr>
        <w:spacing w:line="360" w:lineRule="auto"/>
        <w:rPr>
          <w:rFonts w:hint="eastAsia" w:ascii="宋体" w:hAnsi="宋体"/>
          <w:color w:val="auto"/>
          <w:szCs w:val="21"/>
          <w:u w:val="single"/>
        </w:rPr>
      </w:pPr>
      <w:r>
        <w:rPr>
          <w:rFonts w:hint="eastAsia" w:ascii="宋体" w:hAnsi="宋体"/>
          <w:color w:val="auto"/>
          <w:szCs w:val="21"/>
        </w:rPr>
        <w:t>法定代表人：</w:t>
      </w:r>
      <w:r>
        <w:rPr>
          <w:rFonts w:hint="eastAsia" w:ascii="宋体" w:hAnsi="宋体"/>
          <w:color w:val="auto"/>
          <w:szCs w:val="21"/>
          <w:u w:val="single"/>
        </w:rPr>
        <w:t xml:space="preserve">                           </w:t>
      </w:r>
      <w:r>
        <w:rPr>
          <w:rFonts w:hint="eastAsia" w:ascii="宋体" w:hAnsi="宋体"/>
          <w:color w:val="auto"/>
          <w:szCs w:val="21"/>
        </w:rPr>
        <w:t xml:space="preserve">     法定代表人：</w:t>
      </w:r>
      <w:r>
        <w:rPr>
          <w:rFonts w:hint="eastAsia" w:ascii="宋体" w:hAnsi="宋体"/>
          <w:color w:val="auto"/>
          <w:szCs w:val="21"/>
          <w:u w:val="single"/>
        </w:rPr>
        <w:t xml:space="preserve">                               .  </w:t>
      </w:r>
    </w:p>
    <w:p w14:paraId="230A8372">
      <w:pPr>
        <w:tabs>
          <w:tab w:val="left" w:pos="4680"/>
        </w:tabs>
        <w:spacing w:line="360" w:lineRule="auto"/>
        <w:rPr>
          <w:rFonts w:hint="eastAsia" w:ascii="宋体" w:hAnsi="宋体"/>
          <w:color w:val="auto"/>
          <w:szCs w:val="21"/>
          <w:u w:val="single"/>
        </w:rPr>
      </w:pPr>
      <w:r>
        <w:rPr>
          <w:rFonts w:hint="eastAsia" w:ascii="宋体" w:hAnsi="宋体"/>
          <w:color w:val="auto"/>
          <w:szCs w:val="21"/>
        </w:rPr>
        <w:t>委托代理人：</w:t>
      </w:r>
      <w:r>
        <w:rPr>
          <w:rFonts w:hint="eastAsia" w:ascii="宋体" w:hAnsi="宋体"/>
          <w:color w:val="auto"/>
          <w:szCs w:val="21"/>
          <w:u w:val="single"/>
        </w:rPr>
        <w:t xml:space="preserve">                           </w:t>
      </w:r>
      <w:r>
        <w:rPr>
          <w:rFonts w:hint="eastAsia" w:ascii="宋体" w:hAnsi="宋体"/>
          <w:color w:val="auto"/>
          <w:szCs w:val="21"/>
        </w:rPr>
        <w:t xml:space="preserve">     委托代理人：</w:t>
      </w:r>
      <w:r>
        <w:rPr>
          <w:rFonts w:hint="eastAsia" w:ascii="宋体" w:hAnsi="宋体"/>
          <w:color w:val="auto"/>
          <w:szCs w:val="21"/>
          <w:u w:val="single"/>
        </w:rPr>
        <w:t xml:space="preserve">                               .  </w:t>
      </w:r>
    </w:p>
    <w:p w14:paraId="65617AB6">
      <w:pPr>
        <w:tabs>
          <w:tab w:val="left" w:pos="5040"/>
        </w:tabs>
        <w:spacing w:line="360" w:lineRule="auto"/>
        <w:rPr>
          <w:rFonts w:hint="eastAsia" w:ascii="宋体" w:hAnsi="宋体"/>
          <w:color w:val="auto"/>
          <w:szCs w:val="21"/>
          <w:u w:val="single"/>
        </w:rPr>
      </w:pPr>
      <w:r>
        <w:rPr>
          <w:rFonts w:hint="eastAsia" w:ascii="宋体" w:hAnsi="宋体"/>
          <w:color w:val="auto"/>
          <w:szCs w:val="21"/>
        </w:rPr>
        <w:t>电  话：</w:t>
      </w:r>
      <w:r>
        <w:rPr>
          <w:rFonts w:hint="eastAsia" w:ascii="宋体" w:hAnsi="宋体"/>
          <w:color w:val="auto"/>
          <w:szCs w:val="21"/>
          <w:u w:val="single"/>
        </w:rPr>
        <w:t xml:space="preserve">                               </w:t>
      </w:r>
      <w:r>
        <w:rPr>
          <w:rFonts w:hint="eastAsia" w:ascii="宋体" w:hAnsi="宋体"/>
          <w:color w:val="auto"/>
          <w:szCs w:val="21"/>
        </w:rPr>
        <w:t xml:space="preserve">     电   话： </w:t>
      </w:r>
      <w:r>
        <w:rPr>
          <w:rFonts w:hint="eastAsia" w:ascii="宋体" w:hAnsi="宋体"/>
          <w:color w:val="auto"/>
          <w:szCs w:val="21"/>
          <w:u w:val="single"/>
        </w:rPr>
        <w:t xml:space="preserve">                                 . </w:t>
      </w:r>
    </w:p>
    <w:p w14:paraId="67AD9133">
      <w:pPr>
        <w:tabs>
          <w:tab w:val="left" w:pos="5040"/>
        </w:tabs>
        <w:spacing w:line="360" w:lineRule="auto"/>
        <w:rPr>
          <w:rFonts w:hint="eastAsia" w:ascii="宋体" w:hAnsi="宋体"/>
          <w:color w:val="auto"/>
          <w:szCs w:val="21"/>
        </w:rPr>
      </w:pPr>
      <w:r>
        <w:rPr>
          <w:rFonts w:hint="eastAsia" w:ascii="宋体" w:hAnsi="宋体"/>
          <w:color w:val="auto"/>
          <w:szCs w:val="21"/>
        </w:rPr>
        <w:t>开户名称：</w:t>
      </w:r>
      <w:r>
        <w:rPr>
          <w:rFonts w:hint="eastAsia" w:ascii="宋体" w:hAnsi="宋体"/>
          <w:color w:val="auto"/>
          <w:szCs w:val="21"/>
          <w:u w:val="single"/>
        </w:rPr>
        <w:t xml:space="preserve">                            </w:t>
      </w:r>
      <w:r>
        <w:rPr>
          <w:rFonts w:hint="eastAsia" w:ascii="宋体" w:hAnsi="宋体"/>
          <w:color w:val="auto"/>
          <w:szCs w:val="21"/>
        </w:rPr>
        <w:t xml:space="preserve">     开户名称：</w:t>
      </w:r>
      <w:r>
        <w:rPr>
          <w:rFonts w:hint="eastAsia" w:ascii="宋体" w:hAnsi="宋体"/>
          <w:color w:val="auto"/>
          <w:szCs w:val="21"/>
          <w:u w:val="single"/>
        </w:rPr>
        <w:t xml:space="preserve">                                  . </w:t>
      </w:r>
      <w:r>
        <w:rPr>
          <w:rFonts w:hint="eastAsia" w:ascii="宋体" w:hAnsi="宋体"/>
          <w:color w:val="auto"/>
          <w:szCs w:val="21"/>
        </w:rPr>
        <w:t xml:space="preserve">     </w:t>
      </w:r>
    </w:p>
    <w:p w14:paraId="08A83FC0">
      <w:pPr>
        <w:tabs>
          <w:tab w:val="left" w:pos="5040"/>
        </w:tabs>
        <w:spacing w:line="360" w:lineRule="auto"/>
        <w:rPr>
          <w:rFonts w:hint="eastAsia" w:ascii="宋体" w:hAnsi="宋体"/>
          <w:color w:val="auto"/>
          <w:szCs w:val="21"/>
        </w:rPr>
      </w:pPr>
      <w:r>
        <w:rPr>
          <w:rFonts w:hint="eastAsia" w:ascii="宋体" w:hAnsi="宋体"/>
          <w:color w:val="auto"/>
          <w:szCs w:val="21"/>
        </w:rPr>
        <w:t>开户银行：</w:t>
      </w:r>
      <w:r>
        <w:rPr>
          <w:rFonts w:hint="eastAsia" w:ascii="宋体" w:hAnsi="宋体"/>
          <w:color w:val="auto"/>
          <w:szCs w:val="21"/>
          <w:u w:val="single"/>
        </w:rPr>
        <w:t xml:space="preserve">                             </w:t>
      </w:r>
      <w:r>
        <w:rPr>
          <w:rFonts w:hint="eastAsia" w:ascii="宋体" w:hAnsi="宋体"/>
          <w:color w:val="auto"/>
          <w:szCs w:val="21"/>
        </w:rPr>
        <w:t xml:space="preserve">     开户银行：</w:t>
      </w:r>
      <w:r>
        <w:rPr>
          <w:rFonts w:hint="eastAsia" w:ascii="宋体" w:hAnsi="宋体"/>
          <w:color w:val="auto"/>
          <w:szCs w:val="21"/>
          <w:u w:val="single"/>
        </w:rPr>
        <w:t xml:space="preserve">                                 .  </w:t>
      </w:r>
      <w:r>
        <w:rPr>
          <w:rFonts w:hint="eastAsia" w:ascii="宋体" w:hAnsi="宋体"/>
          <w:color w:val="auto"/>
          <w:szCs w:val="21"/>
        </w:rPr>
        <w:t xml:space="preserve">     </w:t>
      </w:r>
    </w:p>
    <w:p w14:paraId="39A263A5">
      <w:pPr>
        <w:tabs>
          <w:tab w:val="left" w:pos="5040"/>
        </w:tabs>
        <w:spacing w:line="360" w:lineRule="auto"/>
        <w:rPr>
          <w:rFonts w:hint="eastAsia" w:ascii="宋体" w:hAnsi="宋体"/>
          <w:color w:val="auto"/>
          <w:szCs w:val="21"/>
        </w:rPr>
      </w:pPr>
      <w:r>
        <w:rPr>
          <w:rFonts w:hint="eastAsia" w:ascii="宋体" w:hAnsi="宋体"/>
          <w:color w:val="auto"/>
          <w:szCs w:val="21"/>
        </w:rPr>
        <w:t>银行账号：</w:t>
      </w:r>
      <w:r>
        <w:rPr>
          <w:rFonts w:hint="eastAsia" w:ascii="宋体" w:hAnsi="宋体"/>
          <w:color w:val="auto"/>
          <w:szCs w:val="21"/>
          <w:u w:val="single"/>
        </w:rPr>
        <w:t xml:space="preserve">                             </w:t>
      </w:r>
      <w:r>
        <w:rPr>
          <w:rFonts w:hint="eastAsia" w:ascii="宋体" w:hAnsi="宋体"/>
          <w:color w:val="auto"/>
          <w:szCs w:val="21"/>
        </w:rPr>
        <w:t xml:space="preserve">     银行账号：</w:t>
      </w:r>
      <w:r>
        <w:rPr>
          <w:rFonts w:hint="eastAsia" w:ascii="宋体" w:hAnsi="宋体"/>
          <w:color w:val="auto"/>
          <w:szCs w:val="21"/>
          <w:u w:val="single"/>
        </w:rPr>
        <w:t xml:space="preserve">                                 . </w:t>
      </w:r>
      <w:r>
        <w:rPr>
          <w:rFonts w:hint="eastAsia" w:ascii="宋体" w:hAnsi="宋体"/>
          <w:color w:val="auto"/>
          <w:szCs w:val="21"/>
        </w:rPr>
        <w:t xml:space="preserve">     </w:t>
      </w:r>
    </w:p>
    <w:p w14:paraId="25D581F1">
      <w:pPr>
        <w:tabs>
          <w:tab w:val="left" w:pos="5040"/>
        </w:tabs>
        <w:spacing w:line="360" w:lineRule="auto"/>
        <w:rPr>
          <w:rFonts w:hint="eastAsia" w:ascii="宋体" w:hAnsi="宋体"/>
          <w:color w:val="auto"/>
          <w:szCs w:val="21"/>
        </w:rPr>
      </w:pPr>
      <w:r>
        <w:rPr>
          <w:rFonts w:hint="eastAsia" w:ascii="宋体" w:hAnsi="宋体"/>
          <w:color w:val="auto"/>
          <w:szCs w:val="21"/>
        </w:rPr>
        <w:t>日    期：</w:t>
      </w:r>
      <w:r>
        <w:rPr>
          <w:rFonts w:hint="eastAsia" w:ascii="宋体" w:hAnsi="宋体"/>
          <w:color w:val="auto"/>
          <w:szCs w:val="21"/>
          <w:u w:val="single"/>
        </w:rPr>
        <w:t xml:space="preserve">                             </w:t>
      </w:r>
      <w:r>
        <w:rPr>
          <w:rFonts w:hint="eastAsia" w:ascii="宋体" w:hAnsi="宋体"/>
          <w:color w:val="auto"/>
          <w:szCs w:val="21"/>
        </w:rPr>
        <w:t xml:space="preserve">     日    期：</w:t>
      </w:r>
      <w:r>
        <w:rPr>
          <w:rFonts w:hint="eastAsia" w:ascii="宋体" w:hAnsi="宋体"/>
          <w:color w:val="auto"/>
          <w:szCs w:val="21"/>
          <w:u w:val="single"/>
        </w:rPr>
        <w:t xml:space="preserve">                                .</w:t>
      </w:r>
    </w:p>
    <w:p w14:paraId="0AE6BB98">
      <w:pPr>
        <w:pStyle w:val="232"/>
        <w:ind w:firstLine="480"/>
        <w:rPr>
          <w:rFonts w:hint="eastAsia" w:hAnsi="宋体"/>
          <w:color w:val="auto"/>
        </w:rPr>
      </w:pPr>
    </w:p>
    <w:p w14:paraId="50B75CCE">
      <w:pPr>
        <w:pStyle w:val="232"/>
        <w:ind w:firstLine="480"/>
        <w:rPr>
          <w:rFonts w:hint="eastAsia" w:hAnsi="宋体"/>
          <w:color w:val="auto"/>
        </w:rPr>
      </w:pPr>
    </w:p>
    <w:p w14:paraId="25703995">
      <w:pPr>
        <w:rPr>
          <w:color w:val="auto"/>
        </w:rPr>
      </w:pPr>
    </w:p>
    <w:p w14:paraId="5D5DCE70">
      <w:pPr>
        <w:pStyle w:val="232"/>
        <w:ind w:firstLine="480"/>
        <w:rPr>
          <w:rFonts w:ascii="Times New Roman"/>
          <w:color w:val="auto"/>
        </w:rPr>
      </w:pPr>
    </w:p>
    <w:p w14:paraId="72C57933">
      <w:pPr>
        <w:rPr>
          <w:color w:val="auto"/>
        </w:rPr>
      </w:pPr>
    </w:p>
    <w:p w14:paraId="1CC7838E">
      <w:pPr>
        <w:pStyle w:val="232"/>
        <w:ind w:firstLine="480"/>
        <w:rPr>
          <w:rFonts w:ascii="Times New Roman"/>
          <w:color w:val="auto"/>
        </w:rPr>
      </w:pPr>
    </w:p>
    <w:p w14:paraId="2D0E92F6">
      <w:pPr>
        <w:rPr>
          <w:color w:val="auto"/>
        </w:rPr>
      </w:pPr>
    </w:p>
    <w:p w14:paraId="2328BFEF">
      <w:pPr>
        <w:pStyle w:val="232"/>
        <w:ind w:firstLine="480"/>
        <w:rPr>
          <w:rFonts w:ascii="Times New Roman"/>
          <w:color w:val="auto"/>
        </w:rPr>
      </w:pPr>
    </w:p>
    <w:p w14:paraId="6D58021F">
      <w:pPr>
        <w:rPr>
          <w:color w:val="auto"/>
        </w:rPr>
      </w:pPr>
    </w:p>
    <w:p w14:paraId="64565858">
      <w:pPr>
        <w:spacing w:before="480"/>
        <w:jc w:val="center"/>
        <w:rPr>
          <w:rFonts w:hint="eastAsia" w:ascii="宋体" w:hAnsi="宋体"/>
          <w:b/>
          <w:color w:val="auto"/>
        </w:rPr>
      </w:pPr>
      <w:bookmarkStart w:id="30" w:name="_Toc90288709"/>
      <w:r>
        <w:rPr>
          <w:rFonts w:hint="eastAsia" w:ascii="宋体" w:hAnsi="宋体"/>
          <w:b/>
          <w:color w:val="auto"/>
        </w:rPr>
        <w:br w:type="page"/>
      </w:r>
    </w:p>
    <w:p w14:paraId="5F881630">
      <w:pPr>
        <w:pStyle w:val="2"/>
        <w:spacing w:before="480"/>
        <w:jc w:val="center"/>
        <w:rPr>
          <w:rFonts w:hint="eastAsia" w:ascii="宋体" w:hAnsi="宋体"/>
          <w:b/>
          <w:color w:val="auto"/>
        </w:rPr>
      </w:pPr>
      <w:r>
        <w:rPr>
          <w:rFonts w:hint="eastAsia" w:ascii="宋体" w:hAnsi="宋体"/>
          <w:b/>
          <w:color w:val="auto"/>
        </w:rPr>
        <w:t>第六章  投标文件格式</w:t>
      </w:r>
      <w:bookmarkEnd w:id="30"/>
    </w:p>
    <w:p w14:paraId="02C810B3">
      <w:pPr>
        <w:rPr>
          <w:rFonts w:hint="eastAsia" w:ascii="宋体" w:hAnsi="宋体" w:cs="宋体"/>
          <w:b/>
          <w:bCs/>
          <w:color w:val="auto"/>
          <w:sz w:val="30"/>
          <w:szCs w:val="30"/>
        </w:rPr>
      </w:pPr>
      <w:bookmarkStart w:id="31" w:name="_Toc498627082"/>
      <w:bookmarkStart w:id="32" w:name="_Toc498698226"/>
      <w:bookmarkStart w:id="33" w:name="_Toc486867150"/>
      <w:bookmarkStart w:id="34" w:name="_Toc478137727"/>
      <w:bookmarkStart w:id="35" w:name="_Toc486695806"/>
      <w:bookmarkStart w:id="36" w:name="_Toc31410"/>
      <w:bookmarkStart w:id="37" w:name="_Toc1762"/>
    </w:p>
    <w:p w14:paraId="50354DA9">
      <w:pPr>
        <w:rPr>
          <w:rFonts w:hint="eastAsia" w:ascii="宋体" w:hAnsi="宋体" w:cs="宋体"/>
          <w:b/>
          <w:bCs/>
          <w:color w:val="auto"/>
          <w:sz w:val="30"/>
          <w:szCs w:val="30"/>
        </w:rPr>
      </w:pPr>
    </w:p>
    <w:p w14:paraId="27F133CD">
      <w:pPr>
        <w:rPr>
          <w:rFonts w:hint="eastAsia" w:ascii="宋体" w:hAnsi="宋体" w:cs="宋体"/>
          <w:b/>
          <w:bCs/>
          <w:color w:val="auto"/>
          <w:sz w:val="30"/>
          <w:szCs w:val="30"/>
        </w:rPr>
      </w:pPr>
    </w:p>
    <w:p w14:paraId="6B5CFD10">
      <w:pPr>
        <w:rPr>
          <w:rFonts w:hint="eastAsia" w:ascii="宋体" w:hAnsi="宋体" w:cs="宋体"/>
          <w:b/>
          <w:bCs/>
          <w:color w:val="auto"/>
          <w:sz w:val="30"/>
          <w:szCs w:val="30"/>
        </w:rPr>
      </w:pPr>
      <w:r>
        <w:rPr>
          <w:rFonts w:hint="eastAsia" w:ascii="宋体" w:hAnsi="宋体" w:cs="宋体"/>
          <w:b/>
          <w:bCs/>
          <w:color w:val="auto"/>
          <w:sz w:val="30"/>
          <w:szCs w:val="30"/>
        </w:rPr>
        <w:t>投标文件封面格式</w:t>
      </w:r>
      <w:bookmarkEnd w:id="31"/>
      <w:bookmarkEnd w:id="32"/>
      <w:bookmarkEnd w:id="33"/>
      <w:bookmarkEnd w:id="34"/>
      <w:bookmarkEnd w:id="35"/>
      <w:r>
        <w:rPr>
          <w:rFonts w:hint="eastAsia" w:ascii="宋体" w:hAnsi="宋体" w:cs="宋体"/>
          <w:b/>
          <w:bCs/>
          <w:color w:val="auto"/>
          <w:sz w:val="30"/>
          <w:szCs w:val="30"/>
        </w:rPr>
        <w:t>：</w:t>
      </w:r>
      <w:bookmarkEnd w:id="36"/>
      <w:bookmarkEnd w:id="37"/>
    </w:p>
    <w:p w14:paraId="6965347D">
      <w:pPr>
        <w:adjustRightInd w:val="0"/>
        <w:snapToGrid w:val="0"/>
        <w:rPr>
          <w:rFonts w:hint="eastAsia" w:ascii="宋体" w:hAnsi="宋体" w:cs="宋体"/>
          <w:b/>
          <w:color w:val="auto"/>
          <w:sz w:val="44"/>
          <w:szCs w:val="44"/>
        </w:rPr>
      </w:pPr>
    </w:p>
    <w:p w14:paraId="6A9B8BFB">
      <w:pPr>
        <w:rPr>
          <w:rFonts w:hint="eastAsia" w:ascii="宋体" w:hAnsi="宋体" w:cs="宋体"/>
          <w:color w:val="auto"/>
        </w:rPr>
      </w:pPr>
    </w:p>
    <w:p w14:paraId="6C55FD97">
      <w:pPr>
        <w:adjustRightInd w:val="0"/>
        <w:snapToGrid w:val="0"/>
        <w:jc w:val="center"/>
        <w:rPr>
          <w:rFonts w:hint="eastAsia" w:ascii="宋体" w:hAnsi="宋体" w:cs="宋体"/>
          <w:b/>
          <w:color w:val="auto"/>
          <w:sz w:val="44"/>
          <w:szCs w:val="44"/>
        </w:rPr>
      </w:pPr>
      <w:bookmarkStart w:id="38" w:name="_Toc13659_WPSOffice_Level1"/>
      <w:bookmarkStart w:id="39" w:name="_Toc3441_WPSOffice_Level1"/>
      <w:r>
        <w:rPr>
          <w:rFonts w:hint="eastAsia" w:ascii="宋体" w:hAnsi="宋体" w:cs="宋体"/>
          <w:bCs/>
          <w:color w:val="auto"/>
          <w:sz w:val="72"/>
          <w:szCs w:val="72"/>
        </w:rPr>
        <w:t>投标文件</w:t>
      </w:r>
      <w:bookmarkEnd w:id="38"/>
      <w:bookmarkEnd w:id="39"/>
    </w:p>
    <w:p w14:paraId="39EE68CA">
      <w:pPr>
        <w:adjustRightInd w:val="0"/>
        <w:snapToGrid w:val="0"/>
        <w:rPr>
          <w:rFonts w:hint="eastAsia" w:ascii="宋体" w:hAnsi="宋体" w:cs="宋体"/>
          <w:b/>
          <w:color w:val="auto"/>
          <w:sz w:val="44"/>
          <w:szCs w:val="44"/>
        </w:rPr>
      </w:pPr>
    </w:p>
    <w:p w14:paraId="0A36EC9F">
      <w:pPr>
        <w:adjustRightInd w:val="0"/>
        <w:snapToGrid w:val="0"/>
        <w:rPr>
          <w:rFonts w:hint="eastAsia" w:ascii="宋体" w:hAnsi="宋体" w:cs="宋体"/>
          <w:b/>
          <w:color w:val="auto"/>
          <w:sz w:val="44"/>
          <w:szCs w:val="44"/>
        </w:rPr>
      </w:pPr>
    </w:p>
    <w:p w14:paraId="78203E10">
      <w:pPr>
        <w:pStyle w:val="237"/>
        <w:ind w:firstLine="883"/>
        <w:rPr>
          <w:rFonts w:hint="eastAsia" w:ascii="宋体" w:hAnsi="宋体" w:cs="宋体"/>
          <w:b/>
          <w:color w:val="auto"/>
          <w:sz w:val="44"/>
          <w:szCs w:val="44"/>
        </w:rPr>
      </w:pPr>
    </w:p>
    <w:p w14:paraId="07F9F5C2">
      <w:pPr>
        <w:spacing w:line="600" w:lineRule="exact"/>
        <w:jc w:val="center"/>
        <w:rPr>
          <w:rFonts w:hint="eastAsia" w:ascii="宋体" w:hAnsi="宋体" w:cs="宋体"/>
          <w:color w:val="auto"/>
          <w:sz w:val="30"/>
          <w:szCs w:val="30"/>
        </w:rPr>
      </w:pPr>
      <w:r>
        <w:rPr>
          <w:rFonts w:hint="eastAsia" w:ascii="宋体" w:hAnsi="宋体" w:cs="宋体"/>
          <w:bCs/>
          <w:color w:val="auto"/>
          <w:sz w:val="30"/>
          <w:szCs w:val="30"/>
        </w:rPr>
        <w:t>项目名称：</w:t>
      </w:r>
      <w:r>
        <w:rPr>
          <w:rFonts w:hint="eastAsia" w:ascii="宋体" w:hAnsi="宋体" w:cs="宋体"/>
          <w:bCs/>
          <w:color w:val="auto"/>
          <w:sz w:val="30"/>
          <w:szCs w:val="30"/>
          <w:u w:val="single"/>
        </w:rPr>
        <w:t xml:space="preserve">            ；</w:t>
      </w:r>
    </w:p>
    <w:p w14:paraId="1B55D664">
      <w:pPr>
        <w:spacing w:line="600" w:lineRule="exact"/>
        <w:ind w:firstLine="2850" w:firstLineChars="950"/>
        <w:rPr>
          <w:rFonts w:hint="eastAsia" w:ascii="宋体" w:hAnsi="宋体" w:cs="宋体"/>
          <w:bCs/>
          <w:color w:val="auto"/>
          <w:sz w:val="30"/>
          <w:szCs w:val="30"/>
          <w:u w:val="single"/>
        </w:rPr>
      </w:pPr>
      <w:r>
        <w:rPr>
          <w:rFonts w:hint="eastAsia" w:ascii="宋体" w:hAnsi="宋体" w:cs="宋体"/>
          <w:bCs/>
          <w:color w:val="auto"/>
          <w:sz w:val="30"/>
          <w:szCs w:val="30"/>
        </w:rPr>
        <w:t>项目编号：</w:t>
      </w:r>
      <w:r>
        <w:rPr>
          <w:rFonts w:hint="eastAsia" w:ascii="宋体" w:hAnsi="宋体" w:cs="宋体"/>
          <w:bCs/>
          <w:color w:val="auto"/>
          <w:sz w:val="30"/>
          <w:szCs w:val="30"/>
          <w:u w:val="single"/>
        </w:rPr>
        <w:t xml:space="preserve">            ；</w:t>
      </w:r>
    </w:p>
    <w:p w14:paraId="470E75AC">
      <w:pPr>
        <w:ind w:firstLine="741" w:firstLineChars="353"/>
        <w:rPr>
          <w:rFonts w:hint="eastAsia" w:ascii="宋体" w:hAnsi="宋体" w:cs="宋体"/>
          <w:color w:val="auto"/>
        </w:rPr>
      </w:pPr>
    </w:p>
    <w:p w14:paraId="10C51BEF">
      <w:pPr>
        <w:snapToGrid w:val="0"/>
        <w:spacing w:before="120" w:beforeLines="50" w:after="50"/>
        <w:ind w:firstLine="1260" w:firstLineChars="450"/>
        <w:rPr>
          <w:rFonts w:hint="eastAsia" w:ascii="宋体" w:hAnsi="宋体" w:cs="宋体"/>
          <w:bCs/>
          <w:color w:val="auto"/>
          <w:sz w:val="28"/>
          <w:szCs w:val="28"/>
        </w:rPr>
      </w:pPr>
    </w:p>
    <w:p w14:paraId="74CD4822">
      <w:pPr>
        <w:pStyle w:val="237"/>
        <w:ind w:firstLine="420"/>
        <w:rPr>
          <w:rFonts w:hint="eastAsia" w:ascii="宋体" w:hAnsi="宋体" w:cs="宋体"/>
          <w:color w:val="auto"/>
        </w:rPr>
      </w:pPr>
    </w:p>
    <w:p w14:paraId="025535EB">
      <w:pPr>
        <w:pStyle w:val="335"/>
        <w:rPr>
          <w:rFonts w:hint="eastAsia" w:ascii="宋体" w:hAnsi="宋体" w:cs="宋体"/>
          <w:color w:val="auto"/>
        </w:rPr>
      </w:pPr>
    </w:p>
    <w:p w14:paraId="1A022BB3">
      <w:pPr>
        <w:snapToGrid w:val="0"/>
        <w:spacing w:before="120" w:beforeLines="50" w:after="50"/>
        <w:ind w:firstLine="1260" w:firstLineChars="450"/>
        <w:rPr>
          <w:rFonts w:hint="eastAsia" w:ascii="宋体" w:hAnsi="宋体" w:cs="宋体"/>
          <w:bCs/>
          <w:color w:val="auto"/>
          <w:sz w:val="28"/>
          <w:szCs w:val="28"/>
        </w:rPr>
      </w:pPr>
    </w:p>
    <w:p w14:paraId="605335C3">
      <w:pPr>
        <w:snapToGrid w:val="0"/>
        <w:spacing w:before="120" w:beforeLines="50" w:after="50"/>
        <w:ind w:firstLine="1260" w:firstLineChars="450"/>
        <w:rPr>
          <w:rFonts w:hint="eastAsia" w:ascii="宋体" w:hAnsi="宋体" w:cs="宋体"/>
          <w:bCs/>
          <w:color w:val="auto"/>
          <w:sz w:val="28"/>
          <w:szCs w:val="28"/>
        </w:rPr>
      </w:pPr>
    </w:p>
    <w:p w14:paraId="73427279">
      <w:pPr>
        <w:ind w:firstLine="964" w:firstLineChars="300"/>
        <w:jc w:val="left"/>
        <w:rPr>
          <w:rFonts w:hint="eastAsia" w:ascii="宋体" w:hAnsi="宋体" w:cs="宋体"/>
          <w:b/>
          <w:color w:val="auto"/>
          <w:sz w:val="32"/>
          <w:szCs w:val="32"/>
        </w:rPr>
      </w:pPr>
    </w:p>
    <w:p w14:paraId="572E76BB">
      <w:pPr>
        <w:pStyle w:val="16"/>
        <w:spacing w:line="500" w:lineRule="exact"/>
        <w:ind w:left="980" w:hanging="560" w:hangingChars="200"/>
        <w:jc w:val="center"/>
        <w:rPr>
          <w:rFonts w:hint="eastAsia" w:ascii="宋体" w:hAnsi="宋体" w:cs="宋体"/>
          <w:bCs/>
          <w:color w:val="auto"/>
          <w:sz w:val="28"/>
          <w:szCs w:val="28"/>
          <w:u w:val="single"/>
        </w:rPr>
      </w:pPr>
      <w:r>
        <w:rPr>
          <w:rFonts w:hint="eastAsia" w:ascii="宋体" w:hAnsi="宋体" w:cs="宋体"/>
          <w:bCs/>
          <w:color w:val="auto"/>
          <w:sz w:val="28"/>
          <w:szCs w:val="28"/>
        </w:rPr>
        <w:t>采购代理机构：</w:t>
      </w:r>
      <w:bookmarkStart w:id="40" w:name="_Toc4932_WPSOffice_Level2"/>
      <w:bookmarkStart w:id="41" w:name="_Toc20319_WPSOffice_Level2"/>
      <w:r>
        <w:rPr>
          <w:rFonts w:hint="eastAsia" w:ascii="宋体" w:hAnsi="宋体" w:cs="宋体"/>
          <w:bCs/>
          <w:color w:val="auto"/>
          <w:sz w:val="28"/>
          <w:szCs w:val="28"/>
          <w:u w:val="single"/>
        </w:rPr>
        <w:t>广西晟昌工程科技有限责任公司</w:t>
      </w:r>
    </w:p>
    <w:bookmarkEnd w:id="40"/>
    <w:bookmarkEnd w:id="41"/>
    <w:p w14:paraId="2C8DB7A1">
      <w:pPr>
        <w:snapToGrid w:val="0"/>
        <w:spacing w:before="120" w:beforeLines="50" w:after="50" w:line="600" w:lineRule="exact"/>
        <w:ind w:firstLine="1820" w:firstLineChars="650"/>
        <w:rPr>
          <w:rFonts w:hint="eastAsia" w:ascii="宋体" w:hAnsi="宋体"/>
          <w:color w:val="auto"/>
          <w:sz w:val="28"/>
          <w:szCs w:val="28"/>
          <w:u w:val="single"/>
        </w:rPr>
      </w:pPr>
      <w:r>
        <w:rPr>
          <w:rFonts w:hint="eastAsia" w:ascii="宋体" w:hAnsi="宋体"/>
          <w:color w:val="auto"/>
          <w:sz w:val="28"/>
          <w:szCs w:val="28"/>
        </w:rPr>
        <w:t>投标人名称：</w:t>
      </w:r>
      <w:r>
        <w:rPr>
          <w:rFonts w:hint="eastAsia" w:ascii="宋体" w:hAnsi="宋体"/>
          <w:color w:val="auto"/>
          <w:sz w:val="28"/>
          <w:szCs w:val="28"/>
          <w:u w:val="single"/>
        </w:rPr>
        <w:t xml:space="preserve">                   ；</w:t>
      </w:r>
    </w:p>
    <w:p w14:paraId="53CA7135">
      <w:pPr>
        <w:snapToGrid w:val="0"/>
        <w:spacing w:before="120" w:beforeLines="50" w:after="50" w:line="600" w:lineRule="exact"/>
        <w:ind w:firstLine="1820" w:firstLineChars="650"/>
        <w:rPr>
          <w:rFonts w:hint="eastAsia" w:ascii="宋体" w:hAnsi="宋体"/>
          <w:color w:val="auto"/>
          <w:sz w:val="28"/>
          <w:szCs w:val="28"/>
          <w:u w:val="single"/>
        </w:rPr>
      </w:pPr>
      <w:r>
        <w:rPr>
          <w:rFonts w:hint="eastAsia" w:ascii="宋体" w:hAnsi="宋体"/>
          <w:color w:val="auto"/>
          <w:sz w:val="28"/>
          <w:szCs w:val="28"/>
        </w:rPr>
        <w:t>投标人地址：</w:t>
      </w:r>
      <w:r>
        <w:rPr>
          <w:rFonts w:hint="eastAsia" w:ascii="宋体" w:hAnsi="宋体"/>
          <w:color w:val="auto"/>
          <w:sz w:val="28"/>
          <w:szCs w:val="28"/>
          <w:u w:val="single"/>
        </w:rPr>
        <w:t xml:space="preserve">                   ； </w:t>
      </w:r>
    </w:p>
    <w:p w14:paraId="1865D04E">
      <w:pPr>
        <w:snapToGrid w:val="0"/>
        <w:spacing w:before="120" w:beforeLines="50" w:after="50" w:line="600" w:lineRule="exact"/>
        <w:ind w:firstLine="1820" w:firstLineChars="650"/>
        <w:rPr>
          <w:rFonts w:hint="eastAsia" w:ascii="宋体" w:hAnsi="宋体"/>
          <w:color w:val="auto"/>
          <w:sz w:val="28"/>
          <w:szCs w:val="28"/>
          <w:u w:val="single"/>
        </w:rPr>
      </w:pPr>
      <w:r>
        <w:rPr>
          <w:rFonts w:hint="eastAsia" w:ascii="宋体" w:hAnsi="宋体"/>
          <w:color w:val="auto"/>
          <w:sz w:val="28"/>
          <w:szCs w:val="28"/>
        </w:rPr>
        <w:t>联系人：</w:t>
      </w:r>
      <w:r>
        <w:rPr>
          <w:rFonts w:hint="eastAsia" w:ascii="宋体" w:hAnsi="宋体"/>
          <w:color w:val="auto"/>
          <w:sz w:val="28"/>
          <w:szCs w:val="28"/>
          <w:u w:val="single"/>
        </w:rPr>
        <w:t xml:space="preserve">           </w:t>
      </w:r>
      <w:r>
        <w:rPr>
          <w:rFonts w:hint="eastAsia" w:ascii="宋体" w:hAnsi="宋体"/>
          <w:color w:val="auto"/>
          <w:sz w:val="28"/>
          <w:szCs w:val="28"/>
        </w:rPr>
        <w:t xml:space="preserve">  联系电话：</w:t>
      </w:r>
      <w:r>
        <w:rPr>
          <w:rFonts w:hint="eastAsia" w:ascii="宋体" w:hAnsi="宋体"/>
          <w:color w:val="auto"/>
          <w:sz w:val="28"/>
          <w:szCs w:val="28"/>
          <w:u w:val="single"/>
        </w:rPr>
        <w:t xml:space="preserve">                ； </w:t>
      </w:r>
    </w:p>
    <w:p w14:paraId="14F4EFD8">
      <w:pPr>
        <w:snapToGrid w:val="0"/>
        <w:spacing w:before="120" w:beforeLines="50" w:after="50" w:line="600" w:lineRule="exact"/>
        <w:ind w:firstLine="1820" w:firstLineChars="650"/>
        <w:rPr>
          <w:rFonts w:hint="eastAsia" w:ascii="宋体" w:hAnsi="宋体"/>
          <w:color w:val="auto"/>
          <w:sz w:val="28"/>
          <w:szCs w:val="28"/>
          <w:u w:val="single"/>
        </w:rPr>
      </w:pPr>
      <w:r>
        <w:rPr>
          <w:rFonts w:hint="eastAsia" w:ascii="宋体" w:hAnsi="宋体"/>
          <w:color w:val="auto"/>
          <w:sz w:val="28"/>
          <w:szCs w:val="28"/>
        </w:rPr>
        <w:t>投标日期：</w:t>
      </w:r>
      <w:r>
        <w:rPr>
          <w:rFonts w:hint="eastAsia" w:ascii="宋体" w:hAnsi="宋体"/>
          <w:color w:val="auto"/>
          <w:sz w:val="28"/>
          <w:szCs w:val="28"/>
          <w:u w:val="single"/>
        </w:rPr>
        <w:t xml:space="preserve">                      ； </w:t>
      </w:r>
    </w:p>
    <w:p w14:paraId="13A1EB17">
      <w:pPr>
        <w:pStyle w:val="232"/>
        <w:ind w:firstLine="480"/>
        <w:rPr>
          <w:rFonts w:ascii="Times New Roman"/>
          <w:color w:val="auto"/>
        </w:rPr>
      </w:pPr>
    </w:p>
    <w:p w14:paraId="45C49EFB">
      <w:pPr>
        <w:rPr>
          <w:color w:val="auto"/>
        </w:rPr>
      </w:pPr>
    </w:p>
    <w:p w14:paraId="2313E3EB">
      <w:pPr>
        <w:spacing w:line="400" w:lineRule="exact"/>
        <w:jc w:val="center"/>
        <w:rPr>
          <w:rFonts w:hint="eastAsia" w:ascii="宋体" w:hAnsi="宋体"/>
          <w:b/>
          <w:color w:val="auto"/>
          <w:sz w:val="32"/>
          <w:szCs w:val="32"/>
        </w:rPr>
      </w:pPr>
      <w:r>
        <w:rPr>
          <w:rFonts w:hint="eastAsia" w:ascii="宋体" w:hAnsi="宋体"/>
          <w:b/>
          <w:color w:val="auto"/>
          <w:sz w:val="32"/>
          <w:szCs w:val="32"/>
        </w:rPr>
        <w:t>投标文件目录</w:t>
      </w:r>
    </w:p>
    <w:p w14:paraId="4D1B74F4">
      <w:pPr>
        <w:spacing w:line="360" w:lineRule="auto"/>
        <w:rPr>
          <w:rFonts w:hint="eastAsia" w:ascii="宋体" w:hAnsi="宋体"/>
          <w:b/>
          <w:color w:val="auto"/>
          <w:szCs w:val="21"/>
        </w:rPr>
      </w:pPr>
    </w:p>
    <w:p w14:paraId="31629287">
      <w:pPr>
        <w:spacing w:line="360" w:lineRule="auto"/>
        <w:rPr>
          <w:rFonts w:hint="eastAsia" w:ascii="宋体" w:hAnsi="宋体"/>
          <w:b/>
          <w:color w:val="auto"/>
          <w:szCs w:val="21"/>
        </w:rPr>
      </w:pPr>
      <w:r>
        <w:rPr>
          <w:rFonts w:hint="eastAsia" w:ascii="宋体" w:hAnsi="宋体"/>
          <w:b/>
          <w:color w:val="auto"/>
          <w:szCs w:val="21"/>
        </w:rPr>
        <w:t>一、投标报价表（必须提供）</w:t>
      </w:r>
      <w:r>
        <w:rPr>
          <w:rFonts w:hint="eastAsia" w:ascii="宋体" w:hAnsi="宋体"/>
          <w:color w:val="auto"/>
          <w:szCs w:val="21"/>
        </w:rPr>
        <w:t>；</w:t>
      </w:r>
    </w:p>
    <w:p w14:paraId="2D9C0F60">
      <w:pPr>
        <w:spacing w:line="360" w:lineRule="auto"/>
        <w:rPr>
          <w:rFonts w:hint="eastAsia" w:ascii="宋体" w:hAnsi="宋体"/>
          <w:b/>
          <w:color w:val="auto"/>
          <w:szCs w:val="21"/>
        </w:rPr>
      </w:pPr>
      <w:r>
        <w:rPr>
          <w:rFonts w:hint="eastAsia" w:ascii="宋体" w:hAnsi="宋体"/>
          <w:b/>
          <w:color w:val="auto"/>
          <w:szCs w:val="21"/>
        </w:rPr>
        <w:t>二、资格性响应证明材料：</w:t>
      </w:r>
    </w:p>
    <w:p w14:paraId="5706908B">
      <w:pPr>
        <w:spacing w:line="360" w:lineRule="auto"/>
        <w:ind w:firstLine="424" w:firstLineChars="202"/>
        <w:rPr>
          <w:rFonts w:hint="eastAsia" w:ascii="宋体" w:hAnsi="宋体"/>
          <w:color w:val="auto"/>
          <w:szCs w:val="21"/>
        </w:rPr>
      </w:pPr>
      <w:r>
        <w:rPr>
          <w:rFonts w:hint="eastAsia" w:ascii="宋体" w:hAnsi="宋体"/>
          <w:color w:val="auto"/>
          <w:szCs w:val="21"/>
        </w:rPr>
        <w:t>1、投标人相应的法定代表人或负责人或自然人</w:t>
      </w:r>
      <w:r>
        <w:rPr>
          <w:rFonts w:hint="eastAsia" w:ascii="宋体" w:hAnsi="宋体"/>
          <w:color w:val="auto"/>
        </w:rPr>
        <w:t>身份证正反面</w:t>
      </w:r>
      <w:r>
        <w:rPr>
          <w:rFonts w:hint="eastAsia" w:ascii="宋体" w:hAnsi="宋体"/>
          <w:color w:val="auto"/>
          <w:szCs w:val="21"/>
        </w:rPr>
        <w:t>复印件</w:t>
      </w:r>
      <w:r>
        <w:rPr>
          <w:rFonts w:hint="eastAsia" w:ascii="宋体" w:hAnsi="宋体"/>
          <w:b/>
          <w:color w:val="auto"/>
          <w:szCs w:val="21"/>
        </w:rPr>
        <w:t>（必须提供）</w:t>
      </w:r>
      <w:r>
        <w:rPr>
          <w:rFonts w:hint="eastAsia" w:ascii="宋体" w:hAnsi="宋体"/>
          <w:color w:val="auto"/>
          <w:szCs w:val="21"/>
        </w:rPr>
        <w:t>；</w:t>
      </w:r>
    </w:p>
    <w:p w14:paraId="31E406F4">
      <w:pPr>
        <w:spacing w:line="360" w:lineRule="auto"/>
        <w:ind w:firstLine="424" w:firstLineChars="202"/>
        <w:rPr>
          <w:rFonts w:hint="eastAsia" w:ascii="宋体" w:hAnsi="宋体"/>
          <w:color w:val="auto"/>
          <w:szCs w:val="21"/>
        </w:rPr>
      </w:pPr>
      <w:r>
        <w:rPr>
          <w:rFonts w:hint="eastAsia" w:ascii="宋体" w:hAnsi="宋体"/>
          <w:color w:val="auto"/>
          <w:szCs w:val="21"/>
        </w:rPr>
        <w:t>2、投标人的授权委托书原件</w:t>
      </w:r>
      <w:r>
        <w:rPr>
          <w:rFonts w:hint="eastAsia" w:ascii="宋体" w:hAnsi="宋体"/>
          <w:b/>
          <w:color w:val="auto"/>
          <w:szCs w:val="21"/>
        </w:rPr>
        <w:t>（格式见附件）</w:t>
      </w:r>
      <w:r>
        <w:rPr>
          <w:rFonts w:hint="eastAsia" w:ascii="宋体" w:hAnsi="宋体"/>
          <w:color w:val="auto"/>
          <w:szCs w:val="21"/>
        </w:rPr>
        <w:t>、委托代理人身份证正反面复印件以及由县级以上（含县级）社会养老保险经办机构出具的投标人为委托代理人交纳递交截止之日前半年内任意连续三个月社保证明【自然人投标的应提供由县级以上（含县级）社会养老保险经办机构出具的自然人本人及委托代理人所交纳的社保证明复印件】</w:t>
      </w:r>
      <w:r>
        <w:rPr>
          <w:rFonts w:hint="eastAsia" w:ascii="宋体" w:hAnsi="宋体"/>
          <w:b/>
          <w:color w:val="auto"/>
          <w:szCs w:val="21"/>
        </w:rPr>
        <w:t>（委托代理时必须提供；若为新成立的企业，请根据实际情况提供）</w:t>
      </w:r>
      <w:r>
        <w:rPr>
          <w:rFonts w:hint="eastAsia" w:ascii="宋体" w:hAnsi="宋体"/>
          <w:color w:val="auto"/>
          <w:szCs w:val="21"/>
        </w:rPr>
        <w:t>；</w:t>
      </w:r>
    </w:p>
    <w:p w14:paraId="13EB8C0B">
      <w:pPr>
        <w:spacing w:line="360" w:lineRule="auto"/>
        <w:ind w:firstLine="424" w:firstLineChars="202"/>
        <w:rPr>
          <w:rFonts w:hint="eastAsia" w:ascii="宋体" w:hAnsi="宋体"/>
          <w:color w:val="auto"/>
          <w:szCs w:val="21"/>
        </w:rPr>
      </w:pPr>
      <w:r>
        <w:rPr>
          <w:rFonts w:hint="eastAsia" w:ascii="宋体" w:hAnsi="宋体"/>
          <w:color w:val="auto"/>
          <w:szCs w:val="21"/>
        </w:rPr>
        <w:t>3、投标人的法人或者其他组织营业执照等证明文件</w:t>
      </w:r>
      <w:r>
        <w:rPr>
          <w:rFonts w:hint="eastAsia" w:ascii="宋体" w:hAnsi="宋体"/>
          <w:b/>
          <w:color w:val="auto"/>
          <w:szCs w:val="21"/>
        </w:rPr>
        <w:t>（必须提供，自然人除外）</w:t>
      </w:r>
      <w:r>
        <w:rPr>
          <w:rFonts w:hint="eastAsia" w:ascii="宋体" w:hAnsi="宋体"/>
          <w:color w:val="auto"/>
          <w:szCs w:val="21"/>
        </w:rPr>
        <w:t>；</w:t>
      </w:r>
    </w:p>
    <w:p w14:paraId="4E684DD3">
      <w:pPr>
        <w:spacing w:line="360" w:lineRule="auto"/>
        <w:ind w:firstLine="424" w:firstLineChars="202"/>
        <w:rPr>
          <w:rFonts w:hint="eastAsia" w:ascii="宋体" w:hAnsi="宋体"/>
          <w:color w:val="auto"/>
          <w:szCs w:val="21"/>
        </w:rPr>
      </w:pPr>
      <w:r>
        <w:rPr>
          <w:rFonts w:hint="eastAsia" w:ascii="宋体" w:hAnsi="宋体"/>
          <w:color w:val="auto"/>
          <w:szCs w:val="21"/>
        </w:rPr>
        <w:t>4、投标人的投标人参加政府采购活动前3年内在经营活动中没有重大违法记录及有关信用信息的书面声明</w:t>
      </w:r>
      <w:r>
        <w:rPr>
          <w:rFonts w:hint="eastAsia" w:ascii="宋体" w:hAnsi="宋体"/>
          <w:b/>
          <w:color w:val="auto"/>
          <w:szCs w:val="21"/>
        </w:rPr>
        <w:t>（格式见附件，必须提供）</w:t>
      </w:r>
      <w:r>
        <w:rPr>
          <w:rFonts w:hint="eastAsia" w:ascii="宋体" w:hAnsi="宋体"/>
          <w:color w:val="auto"/>
          <w:szCs w:val="21"/>
        </w:rPr>
        <w:t>。</w:t>
      </w:r>
    </w:p>
    <w:p w14:paraId="127E6A9A">
      <w:pPr>
        <w:spacing w:line="360" w:lineRule="auto"/>
        <w:ind w:firstLine="420" w:firstLineChars="200"/>
        <w:rPr>
          <w:rFonts w:hint="eastAsia" w:ascii="宋体" w:hAnsi="宋体" w:cs="宋体"/>
          <w:color w:val="auto"/>
          <w:szCs w:val="21"/>
        </w:rPr>
      </w:pPr>
      <w:r>
        <w:rPr>
          <w:rFonts w:hint="eastAsia" w:ascii="宋体" w:hAnsi="宋体"/>
          <w:color w:val="auto"/>
          <w:szCs w:val="21"/>
        </w:rPr>
        <w:t>5、</w:t>
      </w:r>
      <w:r>
        <w:rPr>
          <w:rFonts w:hint="eastAsia" w:ascii="宋体" w:hAnsi="宋体" w:cs="宋体"/>
          <w:color w:val="auto"/>
          <w:szCs w:val="21"/>
        </w:rPr>
        <w:t>投标人2024年财务状况报告复印件或银行出具的资信证明复印件 (财务状况报告的内容应包括：资产负债表、利润表、现金流量表，三表缺一不可，三表可以是投标人自行编制或是第三方审计的；若投标人为新成立的企业，请根据实际情况提供。)</w:t>
      </w:r>
      <w:r>
        <w:rPr>
          <w:rFonts w:hint="eastAsia" w:ascii="宋体" w:hAnsi="宋体" w:cs="宋体"/>
          <w:b/>
          <w:bCs/>
          <w:color w:val="auto"/>
          <w:szCs w:val="21"/>
        </w:rPr>
        <w:t>(必须提供)</w:t>
      </w:r>
      <w:r>
        <w:rPr>
          <w:rFonts w:hint="eastAsia" w:ascii="宋体" w:hAnsi="宋体" w:cs="宋体"/>
          <w:color w:val="auto"/>
          <w:szCs w:val="21"/>
        </w:rPr>
        <w:t>；</w:t>
      </w:r>
    </w:p>
    <w:p w14:paraId="16CC4C59">
      <w:pPr>
        <w:spacing w:line="360" w:lineRule="auto"/>
        <w:ind w:firstLine="420" w:firstLineChars="200"/>
        <w:rPr>
          <w:rFonts w:hint="eastAsia" w:ascii="宋体" w:hAnsi="宋体" w:cs="宋体"/>
          <w:color w:val="auto"/>
          <w:szCs w:val="21"/>
        </w:rPr>
      </w:pPr>
      <w:r>
        <w:rPr>
          <w:rFonts w:hint="eastAsia" w:ascii="宋体" w:hAnsi="宋体"/>
          <w:color w:val="auto"/>
          <w:szCs w:val="21"/>
        </w:rPr>
        <w:t>6、</w:t>
      </w:r>
      <w:r>
        <w:rPr>
          <w:rFonts w:hint="eastAsia" w:ascii="宋体" w:hAnsi="宋体" w:cs="宋体"/>
          <w:color w:val="auto"/>
          <w:szCs w:val="21"/>
        </w:rPr>
        <w:t>投标人截止开标时间前近半年内任意一个月或任一季度依法缴纳税收的证明材料【增值税发票(税收完税证明)或企业所得税完税证明或税务部门出具的免税证明】复印件</w:t>
      </w:r>
      <w:r>
        <w:rPr>
          <w:rFonts w:hint="eastAsia" w:ascii="宋体" w:hAnsi="宋体" w:cs="宋体"/>
          <w:b/>
          <w:bCs/>
          <w:color w:val="auto"/>
          <w:szCs w:val="21"/>
        </w:rPr>
        <w:t>（必须提供）；</w:t>
      </w:r>
    </w:p>
    <w:p w14:paraId="3699A0DD">
      <w:pPr>
        <w:spacing w:line="360" w:lineRule="auto"/>
        <w:rPr>
          <w:rFonts w:hint="eastAsia" w:ascii="宋体" w:hAnsi="宋体"/>
          <w:color w:val="auto"/>
          <w:szCs w:val="21"/>
        </w:rPr>
      </w:pPr>
      <w:r>
        <w:rPr>
          <w:rFonts w:hint="eastAsia" w:ascii="宋体" w:hAnsi="宋体"/>
          <w:b/>
          <w:color w:val="auto"/>
          <w:szCs w:val="21"/>
        </w:rPr>
        <w:t>三、商务、技术性响应及其他证明材料：</w:t>
      </w:r>
    </w:p>
    <w:p w14:paraId="3EBD1068">
      <w:pPr>
        <w:spacing w:line="360" w:lineRule="auto"/>
        <w:ind w:firstLine="424" w:firstLineChars="202"/>
        <w:rPr>
          <w:rFonts w:hint="eastAsia" w:ascii="宋体" w:hAnsi="宋体"/>
          <w:color w:val="auto"/>
          <w:szCs w:val="21"/>
        </w:rPr>
      </w:pPr>
      <w:r>
        <w:rPr>
          <w:rFonts w:hint="eastAsia" w:ascii="宋体" w:hAnsi="宋体"/>
          <w:color w:val="auto"/>
          <w:szCs w:val="21"/>
        </w:rPr>
        <w:t>1、技术规格响应偏离表</w:t>
      </w:r>
      <w:r>
        <w:rPr>
          <w:rFonts w:hint="eastAsia" w:ascii="宋体" w:hAnsi="宋体"/>
          <w:b/>
          <w:color w:val="auto"/>
          <w:szCs w:val="21"/>
        </w:rPr>
        <w:t>（</w:t>
      </w:r>
      <w:r>
        <w:rPr>
          <w:rFonts w:hint="eastAsia" w:ascii="宋体" w:hAnsi="宋体" w:cs="宋体"/>
          <w:b/>
          <w:bCs/>
          <w:color w:val="auto"/>
          <w:szCs w:val="21"/>
        </w:rPr>
        <w:t>格式见附件，</w:t>
      </w:r>
      <w:r>
        <w:rPr>
          <w:rFonts w:hint="eastAsia" w:ascii="宋体" w:hAnsi="宋体"/>
          <w:b/>
          <w:color w:val="auto"/>
          <w:szCs w:val="21"/>
        </w:rPr>
        <w:t>必须提供）；</w:t>
      </w:r>
    </w:p>
    <w:p w14:paraId="762B429D">
      <w:pPr>
        <w:spacing w:line="360" w:lineRule="auto"/>
        <w:ind w:firstLine="424" w:firstLineChars="202"/>
        <w:rPr>
          <w:rFonts w:hint="eastAsia" w:ascii="宋体" w:hAnsi="宋体"/>
          <w:b/>
          <w:color w:val="auto"/>
          <w:szCs w:val="21"/>
        </w:rPr>
      </w:pPr>
      <w:r>
        <w:rPr>
          <w:rFonts w:hint="eastAsia" w:ascii="宋体" w:hAnsi="宋体"/>
          <w:color w:val="auto"/>
          <w:szCs w:val="21"/>
        </w:rPr>
        <w:t>2、商务响应偏离表</w:t>
      </w:r>
      <w:r>
        <w:rPr>
          <w:rFonts w:hint="eastAsia" w:ascii="宋体" w:hAnsi="宋体"/>
          <w:b/>
          <w:color w:val="auto"/>
          <w:szCs w:val="21"/>
        </w:rPr>
        <w:t>（</w:t>
      </w:r>
      <w:r>
        <w:rPr>
          <w:rFonts w:hint="eastAsia" w:ascii="宋体" w:hAnsi="宋体" w:cs="宋体"/>
          <w:b/>
          <w:bCs/>
          <w:color w:val="auto"/>
          <w:szCs w:val="21"/>
        </w:rPr>
        <w:t>格式见附件，</w:t>
      </w:r>
      <w:r>
        <w:rPr>
          <w:rFonts w:hint="eastAsia" w:ascii="宋体" w:hAnsi="宋体"/>
          <w:b/>
          <w:color w:val="auto"/>
          <w:szCs w:val="21"/>
        </w:rPr>
        <w:t>必须提供）；</w:t>
      </w:r>
    </w:p>
    <w:p w14:paraId="74A78342">
      <w:pPr>
        <w:spacing w:line="360" w:lineRule="auto"/>
        <w:ind w:firstLine="424" w:firstLineChars="202"/>
        <w:rPr>
          <w:rFonts w:hint="eastAsia" w:ascii="宋体" w:hAnsi="宋体"/>
          <w:b/>
          <w:color w:val="auto"/>
          <w:szCs w:val="21"/>
        </w:rPr>
      </w:pPr>
      <w:r>
        <w:rPr>
          <w:rFonts w:hint="eastAsia" w:ascii="宋体" w:hAnsi="宋体"/>
          <w:color w:val="auto"/>
          <w:szCs w:val="21"/>
        </w:rPr>
        <w:t>3、售后服务承诺书（根据评标方法自行编写，格式自拟）</w:t>
      </w:r>
      <w:r>
        <w:rPr>
          <w:rFonts w:hint="eastAsia" w:ascii="宋体" w:hAnsi="宋体"/>
          <w:b/>
          <w:color w:val="auto"/>
          <w:szCs w:val="21"/>
        </w:rPr>
        <w:t>（必须提供）；</w:t>
      </w:r>
    </w:p>
    <w:p w14:paraId="59636F7D">
      <w:pPr>
        <w:spacing w:line="360" w:lineRule="auto"/>
        <w:ind w:firstLine="424" w:firstLineChars="202"/>
        <w:rPr>
          <w:rFonts w:hint="eastAsia" w:ascii="宋体" w:hAnsi="宋体"/>
          <w:b/>
          <w:color w:val="auto"/>
          <w:szCs w:val="21"/>
        </w:rPr>
      </w:pPr>
      <w:r>
        <w:rPr>
          <w:rFonts w:hint="eastAsia" w:ascii="宋体" w:hAnsi="宋体"/>
          <w:color w:val="auto"/>
          <w:szCs w:val="21"/>
        </w:rPr>
        <w:t>4、项目实施方案（根据评标方法自行编写，格式自拟）</w:t>
      </w:r>
      <w:r>
        <w:rPr>
          <w:rFonts w:hint="eastAsia" w:ascii="宋体" w:hAnsi="宋体"/>
          <w:b/>
          <w:color w:val="auto"/>
          <w:szCs w:val="21"/>
        </w:rPr>
        <w:t>（必须提供）；</w:t>
      </w:r>
    </w:p>
    <w:p w14:paraId="56B8F9A2">
      <w:pPr>
        <w:spacing w:line="360" w:lineRule="auto"/>
        <w:ind w:firstLine="424" w:firstLineChars="202"/>
        <w:rPr>
          <w:rFonts w:hint="eastAsia" w:ascii="宋体" w:hAnsi="宋体"/>
          <w:b/>
          <w:color w:val="auto"/>
          <w:szCs w:val="21"/>
        </w:rPr>
      </w:pPr>
      <w:r>
        <w:rPr>
          <w:rFonts w:hint="eastAsia" w:ascii="宋体" w:hAnsi="宋体"/>
          <w:color w:val="auto"/>
          <w:szCs w:val="21"/>
        </w:rPr>
        <w:t>5、“货物采购需求”需提供的有效证明文件</w:t>
      </w:r>
      <w:r>
        <w:rPr>
          <w:rFonts w:hint="eastAsia" w:ascii="宋体" w:hAnsi="宋体"/>
          <w:b/>
          <w:color w:val="auto"/>
          <w:szCs w:val="21"/>
        </w:rPr>
        <w:t>（按货物采购需求要求提供）；</w:t>
      </w:r>
    </w:p>
    <w:p w14:paraId="114D92EC">
      <w:pPr>
        <w:spacing w:line="360" w:lineRule="auto"/>
        <w:ind w:firstLine="424" w:firstLineChars="202"/>
        <w:rPr>
          <w:rFonts w:hint="eastAsia" w:ascii="宋体" w:hAnsi="宋体"/>
          <w:color w:val="auto"/>
          <w:szCs w:val="21"/>
        </w:rPr>
      </w:pPr>
      <w:r>
        <w:rPr>
          <w:rFonts w:hint="eastAsia" w:ascii="宋体" w:hAnsi="宋体"/>
          <w:color w:val="auto"/>
          <w:szCs w:val="21"/>
        </w:rPr>
        <w:t>6、项目实施人员一览表</w:t>
      </w:r>
      <w:r>
        <w:rPr>
          <w:rFonts w:hint="eastAsia" w:ascii="宋体" w:hAnsi="宋体"/>
          <w:b/>
          <w:color w:val="auto"/>
          <w:szCs w:val="21"/>
        </w:rPr>
        <w:t>（如有，请提供）</w:t>
      </w:r>
      <w:r>
        <w:rPr>
          <w:rFonts w:hint="eastAsia" w:ascii="宋体" w:hAnsi="宋体"/>
          <w:color w:val="auto"/>
          <w:szCs w:val="21"/>
        </w:rPr>
        <w:t>；</w:t>
      </w:r>
    </w:p>
    <w:p w14:paraId="680A1DC1">
      <w:pPr>
        <w:spacing w:line="360" w:lineRule="auto"/>
        <w:ind w:firstLine="424" w:firstLineChars="202"/>
        <w:rPr>
          <w:rFonts w:hint="eastAsia" w:ascii="宋体" w:hAnsi="宋体"/>
          <w:b/>
          <w:color w:val="auto"/>
          <w:szCs w:val="21"/>
        </w:rPr>
      </w:pPr>
      <w:r>
        <w:rPr>
          <w:rFonts w:hint="eastAsia" w:ascii="宋体" w:hAnsi="宋体"/>
          <w:color w:val="auto"/>
          <w:szCs w:val="21"/>
        </w:rPr>
        <w:t>7、履约能力</w:t>
      </w:r>
      <w:r>
        <w:rPr>
          <w:rFonts w:hint="eastAsia" w:ascii="宋体" w:hAnsi="宋体"/>
          <w:b/>
          <w:color w:val="auto"/>
          <w:szCs w:val="21"/>
        </w:rPr>
        <w:t>（根据评标方法自行提供）（如有，请提供）；</w:t>
      </w:r>
    </w:p>
    <w:p w14:paraId="672473E4">
      <w:pPr>
        <w:pStyle w:val="232"/>
        <w:ind w:firstLine="420"/>
        <w:rPr>
          <w:rFonts w:hint="eastAsia" w:hAnsi="宋体"/>
          <w:color w:val="auto"/>
          <w:sz w:val="21"/>
          <w:szCs w:val="21"/>
        </w:rPr>
      </w:pPr>
      <w:r>
        <w:rPr>
          <w:rFonts w:hint="eastAsia" w:hAnsi="宋体"/>
          <w:color w:val="auto"/>
          <w:sz w:val="21"/>
          <w:szCs w:val="21"/>
        </w:rPr>
        <w:t>（1）投标人相关认证证书等复印件</w:t>
      </w:r>
      <w:r>
        <w:rPr>
          <w:rFonts w:hint="eastAsia" w:hAnsi="宋体"/>
          <w:b/>
          <w:color w:val="auto"/>
          <w:sz w:val="21"/>
          <w:szCs w:val="21"/>
        </w:rPr>
        <w:t>（如有，请提供）</w:t>
      </w:r>
    </w:p>
    <w:p w14:paraId="7C7ED88D">
      <w:pPr>
        <w:spacing w:line="360" w:lineRule="auto"/>
        <w:rPr>
          <w:rFonts w:hint="eastAsia" w:ascii="宋体" w:hAnsi="宋体"/>
          <w:b/>
          <w:color w:val="auto"/>
          <w:szCs w:val="21"/>
        </w:rPr>
      </w:pPr>
      <w:r>
        <w:rPr>
          <w:rFonts w:hint="eastAsia" w:ascii="宋体" w:hAnsi="宋体"/>
          <w:color w:val="auto"/>
          <w:szCs w:val="21"/>
        </w:rPr>
        <w:t xml:space="preserve">    （2）投标人2022年以来具有同类产品的销售业绩的相关证明材料【以中标（成交）通知书和签订的销售合同复印件为准，须附有采购货物清单及金额，并能清晰反映所销售的货物名称、种类、时间等内容】</w:t>
      </w:r>
      <w:r>
        <w:rPr>
          <w:rFonts w:hint="eastAsia" w:ascii="宋体" w:hAnsi="宋体"/>
          <w:b/>
          <w:color w:val="auto"/>
          <w:szCs w:val="21"/>
        </w:rPr>
        <w:t>（如有，请提供）；</w:t>
      </w:r>
    </w:p>
    <w:p w14:paraId="29469A8D">
      <w:pPr>
        <w:pStyle w:val="232"/>
        <w:ind w:firstLine="420"/>
        <w:rPr>
          <w:rFonts w:hint="eastAsia" w:hAnsi="宋体"/>
          <w:color w:val="auto"/>
          <w:sz w:val="21"/>
          <w:szCs w:val="21"/>
        </w:rPr>
      </w:pPr>
      <w:r>
        <w:rPr>
          <w:rFonts w:hint="eastAsia" w:hAnsi="宋体"/>
          <w:color w:val="auto"/>
          <w:sz w:val="21"/>
          <w:szCs w:val="21"/>
        </w:rPr>
        <w:t>8、政策功能</w:t>
      </w:r>
      <w:r>
        <w:rPr>
          <w:rFonts w:hint="eastAsia" w:hAnsi="宋体"/>
          <w:bCs/>
          <w:color w:val="auto"/>
          <w:sz w:val="21"/>
          <w:szCs w:val="20"/>
        </w:rPr>
        <w:t>（节能、环保）相关证书复印件</w:t>
      </w:r>
      <w:r>
        <w:rPr>
          <w:rFonts w:hint="eastAsia" w:hAnsi="宋体"/>
          <w:b/>
          <w:color w:val="auto"/>
          <w:sz w:val="21"/>
          <w:szCs w:val="21"/>
        </w:rPr>
        <w:t>（根据评标方法自行提供）（如有，请提供）；</w:t>
      </w:r>
    </w:p>
    <w:p w14:paraId="14A3DA7C">
      <w:pPr>
        <w:pStyle w:val="232"/>
        <w:ind w:firstLine="420"/>
        <w:rPr>
          <w:rFonts w:hint="eastAsia" w:hAnsi="宋体"/>
          <w:color w:val="auto"/>
          <w:sz w:val="21"/>
          <w:szCs w:val="21"/>
        </w:rPr>
      </w:pPr>
      <w:r>
        <w:rPr>
          <w:rFonts w:hint="eastAsia" w:hAnsi="宋体"/>
          <w:color w:val="auto"/>
          <w:sz w:val="21"/>
          <w:szCs w:val="21"/>
        </w:rPr>
        <w:t>（1）节能方面的证书复印件</w:t>
      </w:r>
      <w:r>
        <w:rPr>
          <w:rFonts w:hint="eastAsia" w:hAnsi="宋体"/>
          <w:b/>
          <w:color w:val="auto"/>
          <w:sz w:val="21"/>
          <w:szCs w:val="21"/>
        </w:rPr>
        <w:t>（如有，请提供）；</w:t>
      </w:r>
    </w:p>
    <w:p w14:paraId="6D01708E">
      <w:pPr>
        <w:spacing w:line="360" w:lineRule="auto"/>
        <w:ind w:firstLine="424" w:firstLineChars="202"/>
        <w:rPr>
          <w:rFonts w:hint="eastAsia" w:ascii="宋体" w:hAnsi="宋体"/>
          <w:color w:val="auto"/>
          <w:szCs w:val="21"/>
        </w:rPr>
      </w:pPr>
      <w:r>
        <w:rPr>
          <w:rFonts w:hint="eastAsia" w:ascii="宋体" w:hAnsi="宋体"/>
          <w:color w:val="auto"/>
          <w:szCs w:val="21"/>
        </w:rPr>
        <w:t>（2）环保方面的证书复印件</w:t>
      </w:r>
      <w:r>
        <w:rPr>
          <w:rFonts w:hint="eastAsia" w:ascii="宋体" w:hAnsi="宋体"/>
          <w:b/>
          <w:bCs/>
          <w:color w:val="auto"/>
          <w:szCs w:val="21"/>
        </w:rPr>
        <w:t>（如有，请提供）；</w:t>
      </w:r>
    </w:p>
    <w:p w14:paraId="6B47E98D">
      <w:pPr>
        <w:spacing w:line="360" w:lineRule="auto"/>
        <w:ind w:firstLine="424" w:firstLineChars="202"/>
        <w:rPr>
          <w:rFonts w:hint="eastAsia" w:ascii="宋体" w:hAnsi="宋体"/>
          <w:color w:val="auto"/>
          <w:szCs w:val="21"/>
        </w:rPr>
      </w:pPr>
      <w:r>
        <w:rPr>
          <w:rFonts w:hint="eastAsia" w:ascii="宋体" w:hAnsi="宋体"/>
          <w:color w:val="auto"/>
          <w:szCs w:val="21"/>
        </w:rPr>
        <w:t>9、投标人为生产厂家的，投标人的生产制造设备清单及专业技术能力说明</w:t>
      </w:r>
      <w:r>
        <w:rPr>
          <w:rFonts w:hint="eastAsia" w:ascii="宋体" w:hAnsi="宋体"/>
          <w:b/>
          <w:bCs/>
          <w:color w:val="auto"/>
          <w:szCs w:val="21"/>
        </w:rPr>
        <w:t>（如有，请提供）；</w:t>
      </w:r>
    </w:p>
    <w:p w14:paraId="40D7AAB4">
      <w:pPr>
        <w:tabs>
          <w:tab w:val="left" w:pos="1305"/>
        </w:tabs>
        <w:spacing w:line="360" w:lineRule="auto"/>
        <w:ind w:firstLine="420" w:firstLineChars="200"/>
        <w:rPr>
          <w:rFonts w:hint="eastAsia" w:ascii="宋体" w:hAnsi="宋体"/>
          <w:b/>
          <w:color w:val="auto"/>
          <w:szCs w:val="21"/>
        </w:rPr>
      </w:pPr>
      <w:r>
        <w:rPr>
          <w:rFonts w:hint="eastAsia" w:ascii="宋体" w:hAnsi="宋体" w:cs="宋体"/>
          <w:color w:val="auto"/>
          <w:kern w:val="0"/>
        </w:rPr>
        <w:t>10、</w:t>
      </w:r>
      <w:r>
        <w:rPr>
          <w:rFonts w:hint="eastAsia" w:ascii="宋体" w:hAnsi="宋体" w:cs="宋体"/>
          <w:color w:val="auto"/>
          <w:szCs w:val="21"/>
        </w:rPr>
        <w:t>《中小企业声明函》或《残疾人福利性单位声明函》或属于监狱企业的证明文件</w:t>
      </w:r>
      <w:r>
        <w:rPr>
          <w:rFonts w:hint="eastAsia" w:ascii="宋体" w:hAnsi="宋体" w:cs="宋体"/>
          <w:b/>
          <w:bCs/>
          <w:color w:val="auto"/>
          <w:szCs w:val="21"/>
        </w:rPr>
        <w:t>（</w:t>
      </w:r>
      <w:r>
        <w:rPr>
          <w:rFonts w:hint="eastAsia" w:ascii="宋体" w:hAnsi="宋体"/>
          <w:b/>
          <w:color w:val="auto"/>
          <w:szCs w:val="21"/>
        </w:rPr>
        <w:t>如有，请提供</w:t>
      </w:r>
      <w:r>
        <w:rPr>
          <w:rFonts w:hint="eastAsia" w:ascii="宋体" w:hAnsi="宋体" w:cs="宋体"/>
          <w:b/>
          <w:bCs/>
          <w:color w:val="auto"/>
          <w:szCs w:val="21"/>
        </w:rPr>
        <w:t>）</w:t>
      </w:r>
      <w:r>
        <w:rPr>
          <w:rFonts w:hint="eastAsia" w:ascii="宋体" w:hAnsi="宋体" w:cs="宋体"/>
          <w:color w:val="auto"/>
          <w:szCs w:val="21"/>
        </w:rPr>
        <w:t>；</w:t>
      </w:r>
    </w:p>
    <w:p w14:paraId="2CBC8532">
      <w:pPr>
        <w:spacing w:line="360" w:lineRule="auto"/>
        <w:ind w:firstLine="424" w:firstLineChars="202"/>
        <w:rPr>
          <w:rFonts w:hint="eastAsia" w:ascii="宋体" w:hAnsi="宋体"/>
          <w:color w:val="auto"/>
          <w:szCs w:val="21"/>
        </w:rPr>
      </w:pPr>
      <w:r>
        <w:rPr>
          <w:rFonts w:hint="eastAsia" w:ascii="宋体" w:hAnsi="宋体"/>
          <w:color w:val="auto"/>
          <w:szCs w:val="21"/>
        </w:rPr>
        <w:t>11、投标人可结合本项目的评标办法视自身情况自行提交相关证明材料</w:t>
      </w:r>
      <w:r>
        <w:rPr>
          <w:rFonts w:hint="eastAsia" w:ascii="宋体" w:hAnsi="宋体"/>
          <w:b/>
          <w:color w:val="auto"/>
          <w:szCs w:val="21"/>
        </w:rPr>
        <w:t>（如有，请提供）</w:t>
      </w:r>
      <w:r>
        <w:rPr>
          <w:rFonts w:hint="eastAsia" w:ascii="宋体" w:hAnsi="宋体"/>
          <w:color w:val="auto"/>
          <w:szCs w:val="21"/>
        </w:rPr>
        <w:t>。</w:t>
      </w:r>
    </w:p>
    <w:p w14:paraId="574EA5C8">
      <w:pPr>
        <w:pStyle w:val="2"/>
        <w:pageBreakBefore/>
        <w:spacing w:before="480"/>
        <w:rPr>
          <w:rFonts w:hint="eastAsia" w:ascii="宋体" w:hAnsi="宋体"/>
          <w:b/>
          <w:color w:val="auto"/>
        </w:rPr>
      </w:pPr>
      <w:bookmarkStart w:id="42" w:name="_Toc90288710"/>
      <w:r>
        <w:rPr>
          <w:rFonts w:hint="eastAsia" w:ascii="宋体" w:hAnsi="宋体"/>
          <w:b/>
          <w:color w:val="auto"/>
        </w:rPr>
        <w:t>一、投标报价表（格式）</w:t>
      </w:r>
      <w:bookmarkEnd w:id="42"/>
    </w:p>
    <w:p w14:paraId="7F3AC298">
      <w:pPr>
        <w:jc w:val="center"/>
        <w:rPr>
          <w:rFonts w:hint="eastAsia" w:ascii="宋体" w:hAnsi="宋体"/>
          <w:b/>
          <w:color w:val="auto"/>
          <w:sz w:val="32"/>
          <w:szCs w:val="32"/>
        </w:rPr>
      </w:pPr>
    </w:p>
    <w:p w14:paraId="0C48325D">
      <w:pPr>
        <w:jc w:val="center"/>
        <w:rPr>
          <w:rFonts w:hint="eastAsia" w:ascii="宋体" w:hAnsi="宋体"/>
          <w:b/>
          <w:color w:val="auto"/>
          <w:sz w:val="32"/>
          <w:szCs w:val="32"/>
        </w:rPr>
      </w:pPr>
      <w:r>
        <w:rPr>
          <w:rFonts w:hint="eastAsia" w:ascii="宋体" w:hAnsi="宋体"/>
          <w:b/>
          <w:color w:val="auto"/>
          <w:sz w:val="32"/>
          <w:szCs w:val="32"/>
        </w:rPr>
        <w:t>1.投标报价表（格式）</w:t>
      </w:r>
    </w:p>
    <w:p w14:paraId="48C0D80D">
      <w:pPr>
        <w:spacing w:line="240" w:lineRule="exact"/>
        <w:jc w:val="center"/>
        <w:rPr>
          <w:rFonts w:hint="eastAsia" w:ascii="宋体" w:hAnsi="宋体"/>
          <w:color w:val="auto"/>
          <w:sz w:val="32"/>
        </w:rPr>
      </w:pPr>
    </w:p>
    <w:p w14:paraId="292D4264">
      <w:pPr>
        <w:spacing w:line="360" w:lineRule="atLeast"/>
        <w:rPr>
          <w:rFonts w:hint="eastAsia" w:ascii="宋体" w:hAnsi="宋体"/>
          <w:color w:val="auto"/>
        </w:rPr>
      </w:pPr>
      <w:r>
        <w:rPr>
          <w:rFonts w:hint="eastAsia" w:ascii="宋体" w:hAnsi="宋体"/>
          <w:color w:val="auto"/>
          <w:szCs w:val="21"/>
        </w:rPr>
        <w:t>致：</w:t>
      </w:r>
      <w:r>
        <w:rPr>
          <w:rFonts w:hint="eastAsia" w:ascii="宋体" w:hAnsi="宋体"/>
          <w:color w:val="auto"/>
          <w:u w:val="single"/>
        </w:rPr>
        <w:t>×××××公司</w:t>
      </w:r>
    </w:p>
    <w:p w14:paraId="4858BDBC">
      <w:pPr>
        <w:pStyle w:val="27"/>
        <w:spacing w:line="360" w:lineRule="atLeast"/>
        <w:ind w:firstLine="420"/>
        <w:rPr>
          <w:rFonts w:hint="eastAsia" w:hAnsi="宋体"/>
          <w:color w:val="auto"/>
        </w:rPr>
      </w:pPr>
      <w:r>
        <w:rPr>
          <w:rFonts w:hint="eastAsia" w:hAnsi="宋体"/>
          <w:color w:val="auto"/>
        </w:rPr>
        <w:t>根据贵方</w:t>
      </w:r>
      <w:r>
        <w:rPr>
          <w:rFonts w:hint="eastAsia" w:hAnsi="宋体"/>
          <w:color w:val="auto"/>
          <w:u w:val="single"/>
        </w:rPr>
        <w:t xml:space="preserve">      项目名称        </w:t>
      </w:r>
      <w:r>
        <w:rPr>
          <w:rFonts w:hint="eastAsia" w:hAnsi="宋体"/>
          <w:color w:val="auto"/>
        </w:rPr>
        <w:t>项目招标文件，项目编号</w:t>
      </w:r>
      <w:r>
        <w:rPr>
          <w:rFonts w:hint="eastAsia" w:hAnsi="宋体"/>
          <w:color w:val="auto"/>
          <w:szCs w:val="21"/>
          <w:u w:val="single"/>
        </w:rPr>
        <w:t xml:space="preserve">         </w:t>
      </w:r>
      <w:r>
        <w:rPr>
          <w:rFonts w:hint="eastAsia" w:hAnsi="宋体"/>
          <w:color w:val="auto"/>
          <w:szCs w:val="21"/>
        </w:rPr>
        <w:t>，签字代表</w:t>
      </w:r>
      <w:r>
        <w:rPr>
          <w:rFonts w:hint="eastAsia" w:hAnsi="宋体"/>
          <w:color w:val="auto"/>
          <w:u w:val="single"/>
        </w:rPr>
        <w:t xml:space="preserve">           </w:t>
      </w:r>
      <w:r>
        <w:rPr>
          <w:rFonts w:hint="eastAsia" w:hAnsi="宋体"/>
          <w:color w:val="auto"/>
        </w:rPr>
        <w:t>（姓名）经正式授权并代表投标人</w:t>
      </w:r>
      <w:r>
        <w:rPr>
          <w:rFonts w:hint="eastAsia" w:hAnsi="宋体"/>
          <w:color w:val="auto"/>
          <w:u w:val="single"/>
        </w:rPr>
        <w:t>（投标单位名称）</w:t>
      </w:r>
      <w:r>
        <w:rPr>
          <w:rFonts w:hint="eastAsia" w:hAnsi="宋体"/>
          <w:color w:val="auto"/>
        </w:rPr>
        <w:t>，提交投标文件一份，并做出如下报价：</w:t>
      </w:r>
    </w:p>
    <w:tbl>
      <w:tblPr>
        <w:tblStyle w:val="50"/>
        <w:tblW w:w="992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3"/>
        <w:gridCol w:w="1365"/>
        <w:gridCol w:w="1494"/>
        <w:gridCol w:w="993"/>
        <w:gridCol w:w="1275"/>
        <w:gridCol w:w="709"/>
        <w:gridCol w:w="567"/>
        <w:gridCol w:w="851"/>
        <w:gridCol w:w="1275"/>
        <w:gridCol w:w="851"/>
      </w:tblGrid>
      <w:tr w14:paraId="0328DB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1" w:hRule="atLeast"/>
          <w:jc w:val="center"/>
        </w:trPr>
        <w:tc>
          <w:tcPr>
            <w:tcW w:w="543" w:type="dxa"/>
            <w:tcBorders>
              <w:top w:val="single" w:color="auto" w:sz="4" w:space="0"/>
              <w:left w:val="single" w:color="auto" w:sz="4" w:space="0"/>
              <w:bottom w:val="single" w:color="auto" w:sz="4" w:space="0"/>
              <w:right w:val="single" w:color="auto" w:sz="4" w:space="0"/>
            </w:tcBorders>
            <w:vAlign w:val="center"/>
          </w:tcPr>
          <w:p w14:paraId="0F73B31C">
            <w:pPr>
              <w:spacing w:line="360" w:lineRule="exact"/>
              <w:jc w:val="center"/>
              <w:rPr>
                <w:rFonts w:hint="eastAsia" w:ascii="宋体" w:hAnsi="宋体"/>
                <w:color w:val="auto"/>
              </w:rPr>
            </w:pPr>
            <w:r>
              <w:rPr>
                <w:rFonts w:hint="eastAsia" w:ascii="宋体" w:hAnsi="宋体"/>
                <w:color w:val="auto"/>
              </w:rPr>
              <w:t>项号</w:t>
            </w:r>
          </w:p>
        </w:tc>
        <w:tc>
          <w:tcPr>
            <w:tcW w:w="1365" w:type="dxa"/>
            <w:tcBorders>
              <w:top w:val="single" w:color="auto" w:sz="4" w:space="0"/>
              <w:left w:val="single" w:color="auto" w:sz="4" w:space="0"/>
              <w:bottom w:val="single" w:color="auto" w:sz="4" w:space="0"/>
              <w:right w:val="single" w:color="auto" w:sz="4" w:space="0"/>
            </w:tcBorders>
            <w:vAlign w:val="center"/>
          </w:tcPr>
          <w:p w14:paraId="64AAFC88">
            <w:pPr>
              <w:spacing w:line="360" w:lineRule="exact"/>
              <w:jc w:val="center"/>
              <w:rPr>
                <w:rFonts w:hint="eastAsia" w:ascii="宋体" w:hAnsi="宋体"/>
                <w:color w:val="auto"/>
              </w:rPr>
            </w:pPr>
            <w:r>
              <w:rPr>
                <w:rFonts w:hint="eastAsia" w:ascii="宋体" w:hAnsi="宋体"/>
                <w:color w:val="auto"/>
              </w:rPr>
              <w:t>货物名称</w:t>
            </w:r>
          </w:p>
        </w:tc>
        <w:tc>
          <w:tcPr>
            <w:tcW w:w="1494" w:type="dxa"/>
            <w:tcBorders>
              <w:top w:val="single" w:color="auto" w:sz="4" w:space="0"/>
              <w:left w:val="single" w:color="auto" w:sz="4" w:space="0"/>
              <w:bottom w:val="single" w:color="auto" w:sz="4" w:space="0"/>
              <w:right w:val="single" w:color="auto" w:sz="4" w:space="0"/>
            </w:tcBorders>
            <w:vAlign w:val="center"/>
          </w:tcPr>
          <w:p w14:paraId="0EA6D290">
            <w:pPr>
              <w:spacing w:line="360" w:lineRule="exact"/>
              <w:jc w:val="center"/>
              <w:rPr>
                <w:rFonts w:hint="eastAsia" w:ascii="宋体" w:hAnsi="宋体"/>
                <w:color w:val="auto"/>
              </w:rPr>
            </w:pPr>
            <w:r>
              <w:rPr>
                <w:rFonts w:hint="eastAsia" w:ascii="宋体" w:hAnsi="宋体"/>
                <w:color w:val="auto"/>
              </w:rPr>
              <w:t>生产厂家</w:t>
            </w:r>
          </w:p>
        </w:tc>
        <w:tc>
          <w:tcPr>
            <w:tcW w:w="993" w:type="dxa"/>
            <w:tcBorders>
              <w:top w:val="single" w:color="auto" w:sz="4" w:space="0"/>
              <w:left w:val="single" w:color="auto" w:sz="4" w:space="0"/>
              <w:bottom w:val="single" w:color="auto" w:sz="4" w:space="0"/>
              <w:right w:val="single" w:color="auto" w:sz="4" w:space="0"/>
            </w:tcBorders>
            <w:vAlign w:val="center"/>
          </w:tcPr>
          <w:p w14:paraId="30E89A08">
            <w:pPr>
              <w:spacing w:line="360" w:lineRule="exact"/>
              <w:jc w:val="center"/>
              <w:rPr>
                <w:rFonts w:hint="eastAsia" w:ascii="宋体" w:hAnsi="宋体"/>
                <w:color w:val="auto"/>
              </w:rPr>
            </w:pPr>
            <w:r>
              <w:rPr>
                <w:rFonts w:hint="eastAsia" w:ascii="宋体" w:hAnsi="宋体"/>
                <w:color w:val="auto"/>
              </w:rPr>
              <w:t>品牌</w:t>
            </w:r>
          </w:p>
        </w:tc>
        <w:tc>
          <w:tcPr>
            <w:tcW w:w="1275" w:type="dxa"/>
            <w:tcBorders>
              <w:top w:val="single" w:color="auto" w:sz="4" w:space="0"/>
              <w:left w:val="single" w:color="auto" w:sz="4" w:space="0"/>
              <w:bottom w:val="single" w:color="auto" w:sz="4" w:space="0"/>
              <w:right w:val="single" w:color="auto" w:sz="4" w:space="0"/>
            </w:tcBorders>
            <w:vAlign w:val="center"/>
          </w:tcPr>
          <w:p w14:paraId="6669F5D4">
            <w:pPr>
              <w:spacing w:line="360" w:lineRule="exact"/>
              <w:jc w:val="center"/>
              <w:rPr>
                <w:rFonts w:hint="eastAsia" w:ascii="宋体" w:hAnsi="宋体"/>
                <w:color w:val="auto"/>
              </w:rPr>
            </w:pPr>
            <w:r>
              <w:rPr>
                <w:rFonts w:hint="eastAsia" w:ascii="宋体" w:hAnsi="宋体"/>
                <w:color w:val="auto"/>
              </w:rPr>
              <w:t>规格型号</w:t>
            </w:r>
          </w:p>
        </w:tc>
        <w:tc>
          <w:tcPr>
            <w:tcW w:w="709" w:type="dxa"/>
            <w:tcBorders>
              <w:top w:val="single" w:color="auto" w:sz="4" w:space="0"/>
              <w:left w:val="single" w:color="auto" w:sz="4" w:space="0"/>
              <w:bottom w:val="single" w:color="auto" w:sz="4" w:space="0"/>
              <w:right w:val="single" w:color="auto" w:sz="4" w:space="0"/>
            </w:tcBorders>
            <w:vAlign w:val="center"/>
          </w:tcPr>
          <w:p w14:paraId="0A08A674">
            <w:pPr>
              <w:spacing w:line="360" w:lineRule="exact"/>
              <w:jc w:val="center"/>
              <w:rPr>
                <w:rFonts w:hint="eastAsia" w:ascii="宋体" w:hAnsi="宋体"/>
                <w:color w:val="auto"/>
              </w:rPr>
            </w:pPr>
            <w:r>
              <w:rPr>
                <w:rFonts w:hint="eastAsia" w:ascii="宋体" w:hAnsi="宋体"/>
                <w:color w:val="auto"/>
              </w:rPr>
              <w:t>数量</w:t>
            </w:r>
          </w:p>
          <w:p w14:paraId="08E65ADA">
            <w:pPr>
              <w:spacing w:line="360" w:lineRule="exact"/>
              <w:jc w:val="center"/>
              <w:rPr>
                <w:rFonts w:hint="eastAsia" w:ascii="宋体" w:hAnsi="宋体"/>
                <w:color w:val="auto"/>
              </w:rPr>
            </w:pPr>
            <w:r>
              <w:rPr>
                <w:rFonts w:hint="eastAsia" w:ascii="宋体" w:hAnsi="宋体"/>
                <w:color w:val="auto"/>
                <w:szCs w:val="21"/>
              </w:rPr>
              <w:t>①</w:t>
            </w:r>
          </w:p>
        </w:tc>
        <w:tc>
          <w:tcPr>
            <w:tcW w:w="567" w:type="dxa"/>
            <w:tcBorders>
              <w:top w:val="single" w:color="auto" w:sz="4" w:space="0"/>
              <w:left w:val="single" w:color="auto" w:sz="4" w:space="0"/>
              <w:bottom w:val="single" w:color="auto" w:sz="4" w:space="0"/>
              <w:right w:val="single" w:color="auto" w:sz="4" w:space="0"/>
            </w:tcBorders>
            <w:vAlign w:val="center"/>
          </w:tcPr>
          <w:p w14:paraId="08382535">
            <w:pPr>
              <w:spacing w:line="360" w:lineRule="exact"/>
              <w:jc w:val="center"/>
              <w:rPr>
                <w:rFonts w:hint="eastAsia" w:ascii="宋体" w:hAnsi="宋体"/>
                <w:color w:val="auto"/>
              </w:rPr>
            </w:pPr>
            <w:r>
              <w:rPr>
                <w:rFonts w:hint="eastAsia" w:ascii="宋体" w:hAnsi="宋体"/>
                <w:color w:val="auto"/>
              </w:rPr>
              <w:t>单位</w:t>
            </w:r>
          </w:p>
        </w:tc>
        <w:tc>
          <w:tcPr>
            <w:tcW w:w="851" w:type="dxa"/>
            <w:tcBorders>
              <w:top w:val="single" w:color="auto" w:sz="4" w:space="0"/>
              <w:left w:val="single" w:color="auto" w:sz="4" w:space="0"/>
              <w:bottom w:val="single" w:color="auto" w:sz="4" w:space="0"/>
              <w:right w:val="single" w:color="auto" w:sz="4" w:space="0"/>
            </w:tcBorders>
            <w:vAlign w:val="center"/>
          </w:tcPr>
          <w:p w14:paraId="6CF804B8">
            <w:pPr>
              <w:spacing w:line="360" w:lineRule="exact"/>
              <w:jc w:val="center"/>
              <w:rPr>
                <w:rFonts w:hint="eastAsia" w:ascii="宋体" w:hAnsi="宋体"/>
                <w:color w:val="auto"/>
              </w:rPr>
            </w:pPr>
            <w:r>
              <w:rPr>
                <w:rFonts w:hint="eastAsia" w:ascii="宋体" w:hAnsi="宋体"/>
                <w:color w:val="auto"/>
              </w:rPr>
              <w:t>单价（元）</w:t>
            </w:r>
          </w:p>
          <w:p w14:paraId="01D9F5F7">
            <w:pPr>
              <w:spacing w:line="360" w:lineRule="exact"/>
              <w:jc w:val="center"/>
              <w:rPr>
                <w:rFonts w:hint="eastAsia" w:ascii="宋体" w:hAnsi="宋体"/>
                <w:color w:val="auto"/>
              </w:rPr>
            </w:pPr>
            <w:r>
              <w:rPr>
                <w:rFonts w:hint="eastAsia" w:ascii="宋体" w:hAnsi="宋体"/>
                <w:color w:val="auto"/>
                <w:szCs w:val="21"/>
              </w:rPr>
              <w:t>②</w:t>
            </w:r>
          </w:p>
        </w:tc>
        <w:tc>
          <w:tcPr>
            <w:tcW w:w="1275" w:type="dxa"/>
            <w:tcBorders>
              <w:top w:val="single" w:color="auto" w:sz="4" w:space="0"/>
              <w:left w:val="single" w:color="auto" w:sz="4" w:space="0"/>
              <w:bottom w:val="single" w:color="auto" w:sz="4" w:space="0"/>
            </w:tcBorders>
            <w:vAlign w:val="center"/>
          </w:tcPr>
          <w:p w14:paraId="21BDC698">
            <w:pPr>
              <w:spacing w:line="360" w:lineRule="exact"/>
              <w:jc w:val="center"/>
              <w:rPr>
                <w:rFonts w:hint="eastAsia" w:ascii="宋体" w:hAnsi="宋体"/>
                <w:color w:val="auto"/>
              </w:rPr>
            </w:pPr>
            <w:r>
              <w:rPr>
                <w:rFonts w:hint="eastAsia" w:ascii="宋体" w:hAnsi="宋体"/>
                <w:color w:val="auto"/>
              </w:rPr>
              <w:t>单项合计=数量×单价</w:t>
            </w:r>
          </w:p>
          <w:p w14:paraId="0878821A">
            <w:pPr>
              <w:spacing w:line="360" w:lineRule="exact"/>
              <w:jc w:val="center"/>
              <w:rPr>
                <w:rFonts w:hint="eastAsia" w:ascii="宋体" w:hAnsi="宋体"/>
                <w:color w:val="auto"/>
              </w:rPr>
            </w:pPr>
            <w:r>
              <w:rPr>
                <w:rFonts w:hint="eastAsia" w:ascii="宋体" w:hAnsi="宋体"/>
                <w:color w:val="auto"/>
                <w:szCs w:val="21"/>
              </w:rPr>
              <w:t>③＝①×②</w:t>
            </w:r>
          </w:p>
        </w:tc>
        <w:tc>
          <w:tcPr>
            <w:tcW w:w="851" w:type="dxa"/>
            <w:tcBorders>
              <w:top w:val="single" w:color="auto" w:sz="4" w:space="0"/>
              <w:left w:val="single" w:color="auto" w:sz="4" w:space="0"/>
              <w:bottom w:val="single" w:color="auto" w:sz="4" w:space="0"/>
            </w:tcBorders>
          </w:tcPr>
          <w:p w14:paraId="1223D180">
            <w:pPr>
              <w:spacing w:line="360" w:lineRule="exact"/>
              <w:jc w:val="center"/>
              <w:rPr>
                <w:rFonts w:hint="eastAsia" w:ascii="宋体" w:hAnsi="宋体"/>
                <w:color w:val="auto"/>
              </w:rPr>
            </w:pPr>
            <w:r>
              <w:rPr>
                <w:rFonts w:hint="eastAsia" w:ascii="宋体" w:hAnsi="宋体"/>
                <w:color w:val="auto"/>
              </w:rPr>
              <w:t>备注</w:t>
            </w:r>
          </w:p>
        </w:tc>
      </w:tr>
      <w:tr w14:paraId="10E6E1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jc w:val="center"/>
        </w:trPr>
        <w:tc>
          <w:tcPr>
            <w:tcW w:w="543" w:type="dxa"/>
            <w:tcBorders>
              <w:top w:val="single" w:color="auto" w:sz="4" w:space="0"/>
              <w:left w:val="single" w:color="auto" w:sz="4" w:space="0"/>
              <w:bottom w:val="single" w:color="auto" w:sz="4" w:space="0"/>
              <w:right w:val="single" w:color="auto" w:sz="4" w:space="0"/>
            </w:tcBorders>
            <w:vAlign w:val="center"/>
          </w:tcPr>
          <w:p w14:paraId="5187883F">
            <w:pPr>
              <w:spacing w:line="360" w:lineRule="exact"/>
              <w:jc w:val="center"/>
              <w:rPr>
                <w:rFonts w:hint="eastAsia" w:ascii="宋体" w:hAnsi="宋体" w:cs="宋体"/>
                <w:color w:val="auto"/>
                <w:szCs w:val="21"/>
              </w:rPr>
            </w:pPr>
            <w:r>
              <w:rPr>
                <w:rFonts w:hint="eastAsia" w:ascii="宋体" w:hAnsi="宋体" w:cs="宋体"/>
                <w:color w:val="auto"/>
                <w:szCs w:val="21"/>
              </w:rPr>
              <w:t>1</w:t>
            </w:r>
          </w:p>
        </w:tc>
        <w:tc>
          <w:tcPr>
            <w:tcW w:w="1365" w:type="dxa"/>
            <w:tcBorders>
              <w:top w:val="single" w:color="auto" w:sz="4" w:space="0"/>
              <w:left w:val="single" w:color="auto" w:sz="4" w:space="0"/>
              <w:bottom w:val="single" w:color="auto" w:sz="4" w:space="0"/>
              <w:right w:val="single" w:color="auto" w:sz="4" w:space="0"/>
            </w:tcBorders>
            <w:vAlign w:val="center"/>
          </w:tcPr>
          <w:p w14:paraId="5782C65C">
            <w:pPr>
              <w:spacing w:line="360" w:lineRule="exact"/>
              <w:jc w:val="center"/>
              <w:rPr>
                <w:rFonts w:hint="eastAsia" w:ascii="宋体" w:hAnsi="宋体"/>
                <w:color w:val="auto"/>
              </w:rPr>
            </w:pPr>
          </w:p>
        </w:tc>
        <w:tc>
          <w:tcPr>
            <w:tcW w:w="1494" w:type="dxa"/>
            <w:tcBorders>
              <w:top w:val="single" w:color="auto" w:sz="4" w:space="0"/>
              <w:left w:val="single" w:color="auto" w:sz="4" w:space="0"/>
              <w:bottom w:val="single" w:color="auto" w:sz="4" w:space="0"/>
              <w:right w:val="single" w:color="auto" w:sz="4" w:space="0"/>
            </w:tcBorders>
            <w:vAlign w:val="center"/>
          </w:tcPr>
          <w:p w14:paraId="4F00905C">
            <w:pPr>
              <w:spacing w:line="360" w:lineRule="exact"/>
              <w:jc w:val="center"/>
              <w:rPr>
                <w:rFonts w:hint="eastAsia" w:ascii="宋体" w:hAnsi="宋体"/>
                <w:color w:val="auto"/>
              </w:rPr>
            </w:pPr>
          </w:p>
        </w:tc>
        <w:tc>
          <w:tcPr>
            <w:tcW w:w="993" w:type="dxa"/>
            <w:tcBorders>
              <w:top w:val="single" w:color="auto" w:sz="4" w:space="0"/>
              <w:left w:val="single" w:color="auto" w:sz="4" w:space="0"/>
              <w:bottom w:val="single" w:color="auto" w:sz="4" w:space="0"/>
              <w:right w:val="single" w:color="auto" w:sz="4" w:space="0"/>
            </w:tcBorders>
            <w:vAlign w:val="center"/>
          </w:tcPr>
          <w:p w14:paraId="63AF0A90">
            <w:pPr>
              <w:spacing w:line="360" w:lineRule="exact"/>
              <w:jc w:val="center"/>
              <w:rPr>
                <w:rFonts w:hint="eastAsia" w:ascii="宋体" w:hAnsi="宋体"/>
                <w:color w:val="auto"/>
              </w:rPr>
            </w:pPr>
          </w:p>
        </w:tc>
        <w:tc>
          <w:tcPr>
            <w:tcW w:w="1275" w:type="dxa"/>
            <w:tcBorders>
              <w:top w:val="single" w:color="auto" w:sz="4" w:space="0"/>
              <w:left w:val="single" w:color="auto" w:sz="4" w:space="0"/>
              <w:bottom w:val="single" w:color="auto" w:sz="4" w:space="0"/>
              <w:right w:val="single" w:color="auto" w:sz="4" w:space="0"/>
            </w:tcBorders>
            <w:vAlign w:val="center"/>
          </w:tcPr>
          <w:p w14:paraId="4D351ACA">
            <w:pPr>
              <w:spacing w:line="360" w:lineRule="exact"/>
              <w:jc w:val="center"/>
              <w:rPr>
                <w:rFonts w:hint="eastAsia" w:ascii="宋体" w:hAnsi="宋体"/>
                <w:color w:val="auto"/>
              </w:rPr>
            </w:pPr>
          </w:p>
        </w:tc>
        <w:tc>
          <w:tcPr>
            <w:tcW w:w="709" w:type="dxa"/>
            <w:tcBorders>
              <w:top w:val="single" w:color="auto" w:sz="4" w:space="0"/>
              <w:left w:val="single" w:color="auto" w:sz="4" w:space="0"/>
              <w:bottom w:val="single" w:color="auto" w:sz="4" w:space="0"/>
              <w:right w:val="single" w:color="auto" w:sz="4" w:space="0"/>
            </w:tcBorders>
            <w:vAlign w:val="center"/>
          </w:tcPr>
          <w:p w14:paraId="0951A77B">
            <w:pPr>
              <w:spacing w:line="360" w:lineRule="exact"/>
              <w:jc w:val="center"/>
              <w:rPr>
                <w:rFonts w:hint="eastAsia" w:ascii="宋体" w:hAnsi="宋体" w:cs="宋体"/>
                <w:color w:val="auto"/>
                <w:szCs w:val="21"/>
              </w:rPr>
            </w:pPr>
          </w:p>
        </w:tc>
        <w:tc>
          <w:tcPr>
            <w:tcW w:w="567" w:type="dxa"/>
            <w:tcBorders>
              <w:top w:val="single" w:color="auto" w:sz="4" w:space="0"/>
              <w:left w:val="single" w:color="auto" w:sz="4" w:space="0"/>
              <w:bottom w:val="single" w:color="auto" w:sz="4" w:space="0"/>
              <w:right w:val="single" w:color="auto" w:sz="4" w:space="0"/>
            </w:tcBorders>
            <w:vAlign w:val="center"/>
          </w:tcPr>
          <w:p w14:paraId="1C92C2F9">
            <w:pPr>
              <w:spacing w:line="360" w:lineRule="exact"/>
              <w:jc w:val="center"/>
              <w:rPr>
                <w:rFonts w:hint="eastAsia"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vAlign w:val="center"/>
          </w:tcPr>
          <w:p w14:paraId="454E8128">
            <w:pPr>
              <w:spacing w:line="360" w:lineRule="exact"/>
              <w:jc w:val="center"/>
              <w:rPr>
                <w:rFonts w:hint="eastAsia" w:ascii="宋体" w:hAnsi="宋体"/>
                <w:b/>
                <w:bCs/>
                <w:color w:val="auto"/>
              </w:rPr>
            </w:pPr>
          </w:p>
        </w:tc>
        <w:tc>
          <w:tcPr>
            <w:tcW w:w="1275" w:type="dxa"/>
            <w:tcBorders>
              <w:top w:val="single" w:color="auto" w:sz="4" w:space="0"/>
              <w:left w:val="single" w:color="auto" w:sz="4" w:space="0"/>
              <w:bottom w:val="single" w:color="auto" w:sz="4" w:space="0"/>
            </w:tcBorders>
            <w:vAlign w:val="center"/>
          </w:tcPr>
          <w:p w14:paraId="6FBDA5EF">
            <w:pPr>
              <w:spacing w:line="360" w:lineRule="exact"/>
              <w:jc w:val="center"/>
              <w:rPr>
                <w:rFonts w:hint="eastAsia" w:ascii="宋体" w:hAnsi="宋体"/>
                <w:b/>
                <w:bCs/>
                <w:color w:val="auto"/>
              </w:rPr>
            </w:pPr>
          </w:p>
        </w:tc>
        <w:tc>
          <w:tcPr>
            <w:tcW w:w="851" w:type="dxa"/>
            <w:tcBorders>
              <w:top w:val="single" w:color="auto" w:sz="4" w:space="0"/>
              <w:left w:val="single" w:color="auto" w:sz="4" w:space="0"/>
              <w:bottom w:val="single" w:color="auto" w:sz="4" w:space="0"/>
            </w:tcBorders>
          </w:tcPr>
          <w:p w14:paraId="5993A9D3">
            <w:pPr>
              <w:spacing w:line="360" w:lineRule="exact"/>
              <w:jc w:val="center"/>
              <w:rPr>
                <w:rFonts w:hint="eastAsia" w:ascii="宋体" w:hAnsi="宋体"/>
                <w:b/>
                <w:bCs/>
                <w:color w:val="auto"/>
              </w:rPr>
            </w:pPr>
          </w:p>
        </w:tc>
      </w:tr>
      <w:tr w14:paraId="0D41C9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jc w:val="center"/>
        </w:trPr>
        <w:tc>
          <w:tcPr>
            <w:tcW w:w="543" w:type="dxa"/>
            <w:tcBorders>
              <w:top w:val="single" w:color="auto" w:sz="4" w:space="0"/>
              <w:left w:val="single" w:color="auto" w:sz="4" w:space="0"/>
              <w:right w:val="single" w:color="auto" w:sz="4" w:space="0"/>
            </w:tcBorders>
            <w:vAlign w:val="center"/>
          </w:tcPr>
          <w:p w14:paraId="047874B1">
            <w:pPr>
              <w:spacing w:line="360" w:lineRule="exact"/>
              <w:jc w:val="center"/>
              <w:rPr>
                <w:rFonts w:hint="eastAsia" w:ascii="宋体" w:hAnsi="宋体" w:cs="宋体"/>
                <w:color w:val="auto"/>
                <w:szCs w:val="21"/>
              </w:rPr>
            </w:pPr>
            <w:r>
              <w:rPr>
                <w:rFonts w:hint="eastAsia" w:ascii="宋体" w:hAnsi="宋体" w:cs="宋体"/>
                <w:color w:val="auto"/>
                <w:szCs w:val="21"/>
              </w:rPr>
              <w:t>2</w:t>
            </w:r>
          </w:p>
        </w:tc>
        <w:tc>
          <w:tcPr>
            <w:tcW w:w="1365" w:type="dxa"/>
            <w:tcBorders>
              <w:top w:val="single" w:color="auto" w:sz="4" w:space="0"/>
              <w:left w:val="single" w:color="auto" w:sz="4" w:space="0"/>
              <w:bottom w:val="single" w:color="auto" w:sz="4" w:space="0"/>
              <w:right w:val="single" w:color="auto" w:sz="4" w:space="0"/>
            </w:tcBorders>
            <w:vAlign w:val="center"/>
          </w:tcPr>
          <w:p w14:paraId="1C214C3F">
            <w:pPr>
              <w:spacing w:line="360" w:lineRule="exact"/>
              <w:jc w:val="center"/>
              <w:rPr>
                <w:rFonts w:hint="eastAsia" w:ascii="宋体" w:hAnsi="宋体"/>
                <w:color w:val="auto"/>
              </w:rPr>
            </w:pPr>
          </w:p>
        </w:tc>
        <w:tc>
          <w:tcPr>
            <w:tcW w:w="1494" w:type="dxa"/>
            <w:tcBorders>
              <w:top w:val="single" w:color="auto" w:sz="4" w:space="0"/>
              <w:left w:val="single" w:color="auto" w:sz="4" w:space="0"/>
              <w:bottom w:val="single" w:color="auto" w:sz="4" w:space="0"/>
              <w:right w:val="single" w:color="auto" w:sz="4" w:space="0"/>
            </w:tcBorders>
            <w:vAlign w:val="center"/>
          </w:tcPr>
          <w:p w14:paraId="4476CB3A">
            <w:pPr>
              <w:spacing w:line="360" w:lineRule="exact"/>
              <w:jc w:val="center"/>
              <w:rPr>
                <w:rFonts w:hint="eastAsia" w:ascii="宋体" w:hAnsi="宋体"/>
                <w:color w:val="auto"/>
              </w:rPr>
            </w:pPr>
          </w:p>
        </w:tc>
        <w:tc>
          <w:tcPr>
            <w:tcW w:w="993" w:type="dxa"/>
            <w:tcBorders>
              <w:top w:val="single" w:color="auto" w:sz="4" w:space="0"/>
              <w:left w:val="single" w:color="auto" w:sz="4" w:space="0"/>
              <w:bottom w:val="single" w:color="auto" w:sz="4" w:space="0"/>
              <w:right w:val="single" w:color="auto" w:sz="4" w:space="0"/>
            </w:tcBorders>
            <w:vAlign w:val="center"/>
          </w:tcPr>
          <w:p w14:paraId="1C5F4EB5">
            <w:pPr>
              <w:spacing w:line="360" w:lineRule="exact"/>
              <w:jc w:val="center"/>
              <w:rPr>
                <w:rFonts w:hint="eastAsia" w:ascii="宋体" w:hAnsi="宋体"/>
                <w:color w:val="auto"/>
              </w:rPr>
            </w:pPr>
          </w:p>
        </w:tc>
        <w:tc>
          <w:tcPr>
            <w:tcW w:w="1275" w:type="dxa"/>
            <w:tcBorders>
              <w:top w:val="single" w:color="auto" w:sz="4" w:space="0"/>
              <w:left w:val="single" w:color="auto" w:sz="4" w:space="0"/>
              <w:bottom w:val="single" w:color="auto" w:sz="4" w:space="0"/>
              <w:right w:val="single" w:color="auto" w:sz="4" w:space="0"/>
            </w:tcBorders>
            <w:vAlign w:val="center"/>
          </w:tcPr>
          <w:p w14:paraId="0F5B390B">
            <w:pPr>
              <w:spacing w:line="360" w:lineRule="exact"/>
              <w:jc w:val="center"/>
              <w:rPr>
                <w:rFonts w:hint="eastAsia" w:ascii="宋体" w:hAnsi="宋体"/>
                <w:color w:val="auto"/>
              </w:rPr>
            </w:pPr>
          </w:p>
        </w:tc>
        <w:tc>
          <w:tcPr>
            <w:tcW w:w="709" w:type="dxa"/>
            <w:tcBorders>
              <w:top w:val="single" w:color="auto" w:sz="4" w:space="0"/>
              <w:left w:val="single" w:color="auto" w:sz="4" w:space="0"/>
              <w:bottom w:val="single" w:color="auto" w:sz="4" w:space="0"/>
              <w:right w:val="single" w:color="auto" w:sz="4" w:space="0"/>
            </w:tcBorders>
            <w:vAlign w:val="center"/>
          </w:tcPr>
          <w:p w14:paraId="39A812D2">
            <w:pPr>
              <w:spacing w:line="360" w:lineRule="exact"/>
              <w:jc w:val="center"/>
              <w:rPr>
                <w:rFonts w:hint="eastAsia" w:ascii="宋体" w:hAnsi="宋体" w:cs="宋体"/>
                <w:color w:val="auto"/>
                <w:szCs w:val="21"/>
              </w:rPr>
            </w:pPr>
          </w:p>
        </w:tc>
        <w:tc>
          <w:tcPr>
            <w:tcW w:w="567" w:type="dxa"/>
            <w:tcBorders>
              <w:top w:val="single" w:color="auto" w:sz="4" w:space="0"/>
              <w:left w:val="single" w:color="auto" w:sz="4" w:space="0"/>
              <w:bottom w:val="single" w:color="auto" w:sz="4" w:space="0"/>
              <w:right w:val="single" w:color="auto" w:sz="4" w:space="0"/>
            </w:tcBorders>
            <w:vAlign w:val="center"/>
          </w:tcPr>
          <w:p w14:paraId="7FE6C220">
            <w:pPr>
              <w:spacing w:line="360" w:lineRule="exact"/>
              <w:jc w:val="center"/>
              <w:rPr>
                <w:rFonts w:hint="eastAsia"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vAlign w:val="center"/>
          </w:tcPr>
          <w:p w14:paraId="52B23C89">
            <w:pPr>
              <w:spacing w:line="360" w:lineRule="exact"/>
              <w:jc w:val="center"/>
              <w:rPr>
                <w:rFonts w:hint="eastAsia" w:ascii="宋体" w:hAnsi="宋体"/>
                <w:b/>
                <w:bCs/>
                <w:color w:val="auto"/>
              </w:rPr>
            </w:pPr>
          </w:p>
        </w:tc>
        <w:tc>
          <w:tcPr>
            <w:tcW w:w="1275" w:type="dxa"/>
            <w:tcBorders>
              <w:top w:val="single" w:color="auto" w:sz="4" w:space="0"/>
              <w:left w:val="single" w:color="auto" w:sz="4" w:space="0"/>
              <w:bottom w:val="single" w:color="auto" w:sz="4" w:space="0"/>
            </w:tcBorders>
            <w:vAlign w:val="center"/>
          </w:tcPr>
          <w:p w14:paraId="1AC937CD">
            <w:pPr>
              <w:spacing w:line="360" w:lineRule="exact"/>
              <w:jc w:val="center"/>
              <w:rPr>
                <w:rFonts w:hint="eastAsia" w:ascii="宋体" w:hAnsi="宋体"/>
                <w:b/>
                <w:bCs/>
                <w:color w:val="auto"/>
              </w:rPr>
            </w:pPr>
          </w:p>
        </w:tc>
        <w:tc>
          <w:tcPr>
            <w:tcW w:w="851" w:type="dxa"/>
            <w:tcBorders>
              <w:top w:val="single" w:color="auto" w:sz="4" w:space="0"/>
              <w:left w:val="single" w:color="auto" w:sz="4" w:space="0"/>
              <w:bottom w:val="single" w:color="auto" w:sz="4" w:space="0"/>
            </w:tcBorders>
          </w:tcPr>
          <w:p w14:paraId="346E79C2">
            <w:pPr>
              <w:spacing w:line="360" w:lineRule="exact"/>
              <w:jc w:val="center"/>
              <w:rPr>
                <w:rFonts w:hint="eastAsia" w:ascii="宋体" w:hAnsi="宋体"/>
                <w:b/>
                <w:bCs/>
                <w:color w:val="auto"/>
              </w:rPr>
            </w:pPr>
          </w:p>
        </w:tc>
      </w:tr>
      <w:tr w14:paraId="3FD094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jc w:val="center"/>
        </w:trPr>
        <w:tc>
          <w:tcPr>
            <w:tcW w:w="543" w:type="dxa"/>
            <w:tcBorders>
              <w:top w:val="single" w:color="auto" w:sz="4" w:space="0"/>
              <w:left w:val="single" w:color="auto" w:sz="4" w:space="0"/>
              <w:right w:val="single" w:color="auto" w:sz="4" w:space="0"/>
            </w:tcBorders>
            <w:vAlign w:val="center"/>
          </w:tcPr>
          <w:p w14:paraId="2FDB9B39">
            <w:pPr>
              <w:spacing w:line="360" w:lineRule="exact"/>
              <w:jc w:val="center"/>
              <w:rPr>
                <w:rFonts w:hint="eastAsia" w:ascii="宋体" w:hAnsi="宋体" w:cs="宋体"/>
                <w:color w:val="auto"/>
                <w:szCs w:val="21"/>
              </w:rPr>
            </w:pPr>
            <w:r>
              <w:rPr>
                <w:rFonts w:hint="eastAsia" w:ascii="宋体" w:hAnsi="宋体" w:cs="宋体"/>
                <w:color w:val="auto"/>
                <w:szCs w:val="21"/>
              </w:rPr>
              <w:t>…</w:t>
            </w:r>
          </w:p>
        </w:tc>
        <w:tc>
          <w:tcPr>
            <w:tcW w:w="1365" w:type="dxa"/>
            <w:tcBorders>
              <w:top w:val="single" w:color="auto" w:sz="4" w:space="0"/>
              <w:left w:val="single" w:color="auto" w:sz="4" w:space="0"/>
              <w:bottom w:val="single" w:color="auto" w:sz="4" w:space="0"/>
              <w:right w:val="single" w:color="auto" w:sz="4" w:space="0"/>
            </w:tcBorders>
            <w:vAlign w:val="center"/>
          </w:tcPr>
          <w:p w14:paraId="16DEB93E">
            <w:pPr>
              <w:spacing w:line="360" w:lineRule="exact"/>
              <w:jc w:val="center"/>
              <w:rPr>
                <w:rFonts w:hint="eastAsia" w:ascii="宋体" w:hAnsi="宋体"/>
                <w:color w:val="auto"/>
              </w:rPr>
            </w:pPr>
          </w:p>
        </w:tc>
        <w:tc>
          <w:tcPr>
            <w:tcW w:w="1494" w:type="dxa"/>
            <w:tcBorders>
              <w:top w:val="single" w:color="auto" w:sz="4" w:space="0"/>
              <w:left w:val="single" w:color="auto" w:sz="4" w:space="0"/>
              <w:bottom w:val="single" w:color="auto" w:sz="4" w:space="0"/>
              <w:right w:val="single" w:color="auto" w:sz="4" w:space="0"/>
            </w:tcBorders>
            <w:vAlign w:val="center"/>
          </w:tcPr>
          <w:p w14:paraId="797549B3">
            <w:pPr>
              <w:spacing w:line="360" w:lineRule="exact"/>
              <w:jc w:val="center"/>
              <w:rPr>
                <w:rFonts w:hint="eastAsia" w:ascii="宋体" w:hAnsi="宋体"/>
                <w:color w:val="auto"/>
              </w:rPr>
            </w:pPr>
          </w:p>
        </w:tc>
        <w:tc>
          <w:tcPr>
            <w:tcW w:w="993" w:type="dxa"/>
            <w:tcBorders>
              <w:top w:val="single" w:color="auto" w:sz="4" w:space="0"/>
              <w:left w:val="single" w:color="auto" w:sz="4" w:space="0"/>
              <w:bottom w:val="single" w:color="auto" w:sz="4" w:space="0"/>
              <w:right w:val="single" w:color="auto" w:sz="4" w:space="0"/>
            </w:tcBorders>
            <w:vAlign w:val="center"/>
          </w:tcPr>
          <w:p w14:paraId="2399517D">
            <w:pPr>
              <w:spacing w:line="360" w:lineRule="exact"/>
              <w:jc w:val="center"/>
              <w:rPr>
                <w:rFonts w:hint="eastAsia" w:ascii="宋体" w:hAnsi="宋体"/>
                <w:color w:val="auto"/>
              </w:rPr>
            </w:pPr>
          </w:p>
        </w:tc>
        <w:tc>
          <w:tcPr>
            <w:tcW w:w="1275" w:type="dxa"/>
            <w:tcBorders>
              <w:top w:val="single" w:color="auto" w:sz="4" w:space="0"/>
              <w:left w:val="single" w:color="auto" w:sz="4" w:space="0"/>
              <w:bottom w:val="single" w:color="auto" w:sz="4" w:space="0"/>
              <w:right w:val="single" w:color="auto" w:sz="4" w:space="0"/>
            </w:tcBorders>
            <w:vAlign w:val="center"/>
          </w:tcPr>
          <w:p w14:paraId="4BD7ECD2">
            <w:pPr>
              <w:spacing w:line="360" w:lineRule="exact"/>
              <w:jc w:val="center"/>
              <w:rPr>
                <w:rFonts w:hint="eastAsia" w:ascii="宋体" w:hAnsi="宋体"/>
                <w:color w:val="auto"/>
              </w:rPr>
            </w:pPr>
          </w:p>
        </w:tc>
        <w:tc>
          <w:tcPr>
            <w:tcW w:w="709" w:type="dxa"/>
            <w:tcBorders>
              <w:top w:val="single" w:color="auto" w:sz="4" w:space="0"/>
              <w:left w:val="single" w:color="auto" w:sz="4" w:space="0"/>
              <w:bottom w:val="single" w:color="auto" w:sz="4" w:space="0"/>
              <w:right w:val="single" w:color="auto" w:sz="4" w:space="0"/>
            </w:tcBorders>
            <w:vAlign w:val="center"/>
          </w:tcPr>
          <w:p w14:paraId="35A507E9">
            <w:pPr>
              <w:spacing w:line="360" w:lineRule="exact"/>
              <w:jc w:val="center"/>
              <w:rPr>
                <w:rFonts w:hint="eastAsia" w:ascii="宋体" w:hAnsi="宋体" w:cs="宋体"/>
                <w:color w:val="auto"/>
                <w:szCs w:val="21"/>
              </w:rPr>
            </w:pPr>
          </w:p>
        </w:tc>
        <w:tc>
          <w:tcPr>
            <w:tcW w:w="567" w:type="dxa"/>
            <w:tcBorders>
              <w:top w:val="single" w:color="auto" w:sz="4" w:space="0"/>
              <w:left w:val="single" w:color="auto" w:sz="4" w:space="0"/>
              <w:bottom w:val="single" w:color="auto" w:sz="4" w:space="0"/>
              <w:right w:val="single" w:color="auto" w:sz="4" w:space="0"/>
            </w:tcBorders>
            <w:vAlign w:val="center"/>
          </w:tcPr>
          <w:p w14:paraId="172D4466">
            <w:pPr>
              <w:spacing w:line="360" w:lineRule="exact"/>
              <w:jc w:val="center"/>
              <w:rPr>
                <w:rFonts w:hint="eastAsia"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vAlign w:val="center"/>
          </w:tcPr>
          <w:p w14:paraId="3EA5ACDC">
            <w:pPr>
              <w:spacing w:line="360" w:lineRule="exact"/>
              <w:jc w:val="center"/>
              <w:rPr>
                <w:rFonts w:hint="eastAsia" w:ascii="宋体" w:hAnsi="宋体"/>
                <w:b/>
                <w:bCs/>
                <w:color w:val="auto"/>
              </w:rPr>
            </w:pPr>
          </w:p>
        </w:tc>
        <w:tc>
          <w:tcPr>
            <w:tcW w:w="1275" w:type="dxa"/>
            <w:tcBorders>
              <w:top w:val="single" w:color="auto" w:sz="4" w:space="0"/>
              <w:left w:val="single" w:color="auto" w:sz="4" w:space="0"/>
              <w:bottom w:val="single" w:color="auto" w:sz="4" w:space="0"/>
            </w:tcBorders>
            <w:vAlign w:val="center"/>
          </w:tcPr>
          <w:p w14:paraId="74E5496A">
            <w:pPr>
              <w:spacing w:line="360" w:lineRule="exact"/>
              <w:jc w:val="center"/>
              <w:rPr>
                <w:rFonts w:hint="eastAsia" w:ascii="宋体" w:hAnsi="宋体"/>
                <w:b/>
                <w:bCs/>
                <w:color w:val="auto"/>
              </w:rPr>
            </w:pPr>
          </w:p>
        </w:tc>
        <w:tc>
          <w:tcPr>
            <w:tcW w:w="851" w:type="dxa"/>
            <w:tcBorders>
              <w:top w:val="single" w:color="auto" w:sz="4" w:space="0"/>
              <w:left w:val="single" w:color="auto" w:sz="4" w:space="0"/>
              <w:bottom w:val="single" w:color="auto" w:sz="4" w:space="0"/>
            </w:tcBorders>
          </w:tcPr>
          <w:p w14:paraId="1B3E4B04">
            <w:pPr>
              <w:spacing w:line="360" w:lineRule="exact"/>
              <w:jc w:val="center"/>
              <w:rPr>
                <w:rFonts w:hint="eastAsia" w:ascii="宋体" w:hAnsi="宋体"/>
                <w:b/>
                <w:bCs/>
                <w:color w:val="auto"/>
              </w:rPr>
            </w:pPr>
          </w:p>
        </w:tc>
      </w:tr>
      <w:tr w14:paraId="334174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jc w:val="center"/>
        </w:trPr>
        <w:tc>
          <w:tcPr>
            <w:tcW w:w="9923" w:type="dxa"/>
            <w:gridSpan w:val="10"/>
            <w:tcBorders>
              <w:top w:val="single" w:color="auto" w:sz="4" w:space="0"/>
              <w:left w:val="single" w:color="auto" w:sz="4" w:space="0"/>
              <w:bottom w:val="single" w:color="auto" w:sz="4" w:space="0"/>
            </w:tcBorders>
            <w:vAlign w:val="center"/>
          </w:tcPr>
          <w:p w14:paraId="3FD6ECA6">
            <w:pPr>
              <w:spacing w:line="360" w:lineRule="exact"/>
              <w:rPr>
                <w:rFonts w:hint="eastAsia" w:ascii="宋体" w:hAnsi="宋体"/>
                <w:color w:val="auto"/>
                <w:spacing w:val="-6"/>
              </w:rPr>
            </w:pPr>
            <w:r>
              <w:rPr>
                <w:rFonts w:hint="eastAsia" w:ascii="宋体" w:hAnsi="宋体"/>
                <w:color w:val="auto"/>
                <w:spacing w:val="-6"/>
              </w:rPr>
              <w:t>投标总</w:t>
            </w:r>
            <w:r>
              <w:rPr>
                <w:rFonts w:ascii="宋体" w:hAnsi="宋体"/>
                <w:color w:val="auto"/>
                <w:spacing w:val="-6"/>
              </w:rPr>
              <w:t xml:space="preserve">报价（大写）：                </w:t>
            </w:r>
            <w:r>
              <w:rPr>
                <w:rFonts w:hint="eastAsia" w:ascii="宋体" w:hAnsi="宋体"/>
                <w:color w:val="auto"/>
                <w:spacing w:val="-6"/>
              </w:rPr>
              <w:t xml:space="preserve">                          </w:t>
            </w:r>
            <w:r>
              <w:rPr>
                <w:rFonts w:ascii="宋体" w:hAnsi="宋体"/>
                <w:color w:val="auto"/>
                <w:spacing w:val="-6"/>
              </w:rPr>
              <w:t xml:space="preserve">  </w:t>
            </w:r>
            <w:r>
              <w:rPr>
                <w:rFonts w:hint="eastAsia" w:ascii="宋体" w:hAnsi="宋体"/>
                <w:color w:val="auto"/>
                <w:spacing w:val="-6"/>
              </w:rPr>
              <w:t>元</w:t>
            </w:r>
            <w:r>
              <w:rPr>
                <w:rFonts w:ascii="宋体" w:hAnsi="宋体"/>
                <w:color w:val="auto"/>
                <w:spacing w:val="-6"/>
              </w:rPr>
              <w:t>（￥                      ）人民币</w:t>
            </w:r>
          </w:p>
        </w:tc>
      </w:tr>
      <w:tr w14:paraId="4D0187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jc w:val="center"/>
        </w:trPr>
        <w:tc>
          <w:tcPr>
            <w:tcW w:w="9923" w:type="dxa"/>
            <w:gridSpan w:val="10"/>
            <w:tcBorders>
              <w:top w:val="single" w:color="auto" w:sz="4" w:space="0"/>
              <w:left w:val="single" w:color="auto" w:sz="4" w:space="0"/>
              <w:bottom w:val="single" w:color="auto" w:sz="4" w:space="0"/>
            </w:tcBorders>
            <w:vAlign w:val="center"/>
          </w:tcPr>
          <w:p w14:paraId="711EFDF5">
            <w:pPr>
              <w:spacing w:line="360" w:lineRule="exact"/>
              <w:rPr>
                <w:rFonts w:hint="eastAsia" w:ascii="宋体" w:hAnsi="宋体"/>
                <w:color w:val="auto"/>
                <w:spacing w:val="-6"/>
              </w:rPr>
            </w:pPr>
            <w:r>
              <w:rPr>
                <w:rFonts w:hint="eastAsia" w:ascii="宋体" w:hAnsi="宋体"/>
                <w:color w:val="auto"/>
                <w:spacing w:val="-6"/>
              </w:rPr>
              <w:t>本项目投标有效期为投标截止时间之日起90天。</w:t>
            </w:r>
          </w:p>
        </w:tc>
      </w:tr>
      <w:tr w14:paraId="0C9F03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jc w:val="center"/>
        </w:trPr>
        <w:tc>
          <w:tcPr>
            <w:tcW w:w="9923" w:type="dxa"/>
            <w:gridSpan w:val="10"/>
            <w:tcBorders>
              <w:top w:val="single" w:color="auto" w:sz="4" w:space="0"/>
              <w:left w:val="single" w:color="auto" w:sz="4" w:space="0"/>
              <w:bottom w:val="single" w:color="auto" w:sz="4" w:space="0"/>
            </w:tcBorders>
            <w:vAlign w:val="center"/>
          </w:tcPr>
          <w:p w14:paraId="4EB18DF0">
            <w:pPr>
              <w:spacing w:line="360" w:lineRule="exact"/>
              <w:rPr>
                <w:rFonts w:hint="eastAsia" w:ascii="宋体" w:hAnsi="宋体"/>
                <w:color w:val="auto"/>
                <w:spacing w:val="-6"/>
              </w:rPr>
            </w:pPr>
            <w:r>
              <w:rPr>
                <w:rFonts w:hint="eastAsia" w:ascii="宋体" w:hAnsi="宋体"/>
                <w:color w:val="auto"/>
                <w:spacing w:val="-6"/>
              </w:rPr>
              <w:t>免费保修期:</w:t>
            </w:r>
          </w:p>
        </w:tc>
      </w:tr>
    </w:tbl>
    <w:p w14:paraId="4B5C2B35">
      <w:pPr>
        <w:pStyle w:val="27"/>
        <w:spacing w:line="400" w:lineRule="exact"/>
        <w:ind w:firstLine="210" w:firstLineChars="100"/>
        <w:rPr>
          <w:rFonts w:hint="eastAsia" w:hAnsi="宋体"/>
          <w:color w:val="auto"/>
        </w:rPr>
      </w:pPr>
      <w:r>
        <w:rPr>
          <w:rFonts w:hint="eastAsia" w:hAnsi="宋体"/>
          <w:color w:val="auto"/>
        </w:rPr>
        <w:t>与本投标有关的正式通讯地址为：</w:t>
      </w:r>
    </w:p>
    <w:p w14:paraId="29F26EAA">
      <w:pPr>
        <w:pStyle w:val="27"/>
        <w:spacing w:line="400" w:lineRule="exact"/>
        <w:ind w:firstLine="200"/>
        <w:rPr>
          <w:rFonts w:hint="eastAsia" w:hAnsi="宋体"/>
          <w:color w:val="auto"/>
          <w:u w:val="single"/>
        </w:rPr>
      </w:pPr>
      <w:r>
        <w:rPr>
          <w:rFonts w:hint="eastAsia" w:hAnsi="宋体"/>
          <w:color w:val="auto"/>
        </w:rPr>
        <w:t>地址：</w:t>
      </w:r>
      <w:r>
        <w:rPr>
          <w:rFonts w:hint="eastAsia" w:hAnsi="宋体"/>
          <w:color w:val="auto"/>
          <w:u w:val="single"/>
        </w:rPr>
        <w:t xml:space="preserve">                                   </w:t>
      </w:r>
      <w:r>
        <w:rPr>
          <w:rFonts w:hint="eastAsia" w:hAnsi="宋体"/>
          <w:color w:val="auto"/>
        </w:rPr>
        <w:t xml:space="preserve"> 邮编：</w:t>
      </w:r>
      <w:r>
        <w:rPr>
          <w:rFonts w:hint="eastAsia" w:hAnsi="宋体"/>
          <w:color w:val="auto"/>
          <w:u w:val="single"/>
        </w:rPr>
        <w:t xml:space="preserve">          </w:t>
      </w:r>
      <w:r>
        <w:rPr>
          <w:rFonts w:hint="eastAsia" w:hAnsi="宋体"/>
          <w:color w:val="auto"/>
        </w:rPr>
        <w:t xml:space="preserve">  电话、传真：</w:t>
      </w:r>
      <w:r>
        <w:rPr>
          <w:rFonts w:hint="eastAsia" w:hAnsi="宋体"/>
          <w:color w:val="auto"/>
          <w:u w:val="single"/>
        </w:rPr>
        <w:t xml:space="preserve">            .</w:t>
      </w:r>
    </w:p>
    <w:p w14:paraId="548C4480">
      <w:pPr>
        <w:pStyle w:val="27"/>
        <w:spacing w:line="400" w:lineRule="exact"/>
        <w:ind w:firstLine="200"/>
        <w:rPr>
          <w:rFonts w:hint="eastAsia" w:hAnsi="宋体"/>
          <w:color w:val="auto"/>
        </w:rPr>
      </w:pPr>
      <w:r>
        <w:rPr>
          <w:rFonts w:hint="eastAsia" w:hAnsi="宋体"/>
          <w:color w:val="auto"/>
        </w:rPr>
        <w:t>开户名称：</w:t>
      </w:r>
      <w:r>
        <w:rPr>
          <w:rFonts w:hint="eastAsia" w:hAnsi="宋体"/>
          <w:color w:val="auto"/>
          <w:u w:val="single"/>
        </w:rPr>
        <w:t xml:space="preserve">                               .         </w:t>
      </w:r>
    </w:p>
    <w:p w14:paraId="242CCD0D">
      <w:pPr>
        <w:pStyle w:val="27"/>
        <w:spacing w:line="400" w:lineRule="exact"/>
        <w:ind w:firstLine="200"/>
        <w:rPr>
          <w:rFonts w:hint="eastAsia" w:hAnsi="宋体"/>
          <w:color w:val="auto"/>
        </w:rPr>
      </w:pPr>
      <w:r>
        <w:rPr>
          <w:rFonts w:hint="eastAsia" w:hAnsi="宋体"/>
          <w:color w:val="auto"/>
        </w:rPr>
        <w:t>开户银行：</w:t>
      </w:r>
      <w:r>
        <w:rPr>
          <w:rFonts w:hint="eastAsia" w:hAnsi="宋体"/>
          <w:color w:val="auto"/>
          <w:u w:val="single"/>
        </w:rPr>
        <w:t xml:space="preserve">                               .　       </w:t>
      </w:r>
    </w:p>
    <w:p w14:paraId="65C32A70">
      <w:pPr>
        <w:pStyle w:val="27"/>
        <w:spacing w:line="400" w:lineRule="exact"/>
        <w:ind w:firstLine="200"/>
        <w:rPr>
          <w:rFonts w:hint="eastAsia" w:hAnsi="宋体"/>
          <w:color w:val="auto"/>
        </w:rPr>
      </w:pPr>
      <w:r>
        <w:rPr>
          <w:rFonts w:hint="eastAsia" w:hAnsi="宋体"/>
          <w:color w:val="auto"/>
        </w:rPr>
        <w:t>账号：</w:t>
      </w:r>
      <w:r>
        <w:rPr>
          <w:rFonts w:hint="eastAsia" w:hAnsi="宋体"/>
          <w:color w:val="auto"/>
          <w:u w:val="single"/>
        </w:rPr>
        <w:t xml:space="preserve">                                   .　　　   </w:t>
      </w:r>
    </w:p>
    <w:p w14:paraId="0B3FE5CE">
      <w:pPr>
        <w:pStyle w:val="27"/>
        <w:spacing w:line="400" w:lineRule="exact"/>
        <w:ind w:firstLine="200"/>
        <w:rPr>
          <w:rFonts w:hint="eastAsia" w:hAnsi="宋体"/>
          <w:color w:val="auto"/>
        </w:rPr>
      </w:pPr>
      <w:r>
        <w:rPr>
          <w:rFonts w:hint="eastAsia" w:hAnsi="宋体"/>
          <w:color w:val="auto"/>
        </w:rPr>
        <w:t>投标人名称（加盖CA证书签章，自然人除外）：</w:t>
      </w:r>
      <w:r>
        <w:rPr>
          <w:rFonts w:hint="eastAsia" w:hAnsi="宋体"/>
          <w:color w:val="auto"/>
          <w:u w:val="single"/>
        </w:rPr>
        <w:t xml:space="preserve">                     .                         </w:t>
      </w:r>
    </w:p>
    <w:p w14:paraId="2D5FBE85">
      <w:pPr>
        <w:pStyle w:val="27"/>
        <w:spacing w:line="400" w:lineRule="exact"/>
        <w:ind w:firstLine="200"/>
        <w:rPr>
          <w:rFonts w:hint="eastAsia" w:hAnsi="宋体"/>
          <w:color w:val="auto"/>
        </w:rPr>
      </w:pPr>
      <w:r>
        <w:rPr>
          <w:rFonts w:hint="eastAsia" w:hAnsi="宋体"/>
          <w:color w:val="auto"/>
        </w:rPr>
        <w:t>法定代表人或负责人或自然人或相应的委托代理人签字（或加盖</w:t>
      </w:r>
      <w:r>
        <w:rPr>
          <w:rFonts w:hint="eastAsia" w:hAnsi="宋体" w:cs="宋体"/>
          <w:color w:val="auto"/>
        </w:rPr>
        <w:t>个人CA证书签章</w:t>
      </w:r>
      <w:r>
        <w:rPr>
          <w:rFonts w:hint="eastAsia" w:hAnsi="宋体"/>
          <w:color w:val="auto"/>
        </w:rPr>
        <w:t>）：</w:t>
      </w:r>
      <w:r>
        <w:rPr>
          <w:rFonts w:hint="eastAsia" w:hAnsi="宋体"/>
          <w:color w:val="auto"/>
          <w:u w:val="single"/>
        </w:rPr>
        <w:t xml:space="preserve">       。</w:t>
      </w:r>
    </w:p>
    <w:p w14:paraId="4D1CAE03">
      <w:pPr>
        <w:pStyle w:val="27"/>
        <w:spacing w:line="400" w:lineRule="exact"/>
        <w:ind w:firstLine="200"/>
        <w:rPr>
          <w:rFonts w:hint="eastAsia" w:hAnsi="宋体"/>
          <w:color w:val="auto"/>
        </w:rPr>
      </w:pPr>
      <w:r>
        <w:rPr>
          <w:rFonts w:hint="eastAsia" w:hAnsi="宋体"/>
          <w:color w:val="auto"/>
        </w:rPr>
        <w:t>投标日期：</w:t>
      </w:r>
      <w:r>
        <w:rPr>
          <w:rFonts w:hint="eastAsia" w:hAnsi="宋体"/>
          <w:color w:val="auto"/>
          <w:u w:val="single"/>
        </w:rPr>
        <w:t xml:space="preserve">              。                </w:t>
      </w:r>
    </w:p>
    <w:p w14:paraId="604C7DAF">
      <w:pPr>
        <w:tabs>
          <w:tab w:val="left" w:pos="1305"/>
        </w:tabs>
        <w:spacing w:line="320" w:lineRule="exact"/>
        <w:ind w:firstLine="205" w:firstLineChars="98"/>
        <w:rPr>
          <w:rFonts w:hint="eastAsia" w:ascii="宋体" w:hAnsi="宋体"/>
          <w:bCs/>
          <w:color w:val="auto"/>
          <w:szCs w:val="21"/>
        </w:rPr>
      </w:pPr>
    </w:p>
    <w:p w14:paraId="717E7F2F">
      <w:pPr>
        <w:tabs>
          <w:tab w:val="left" w:pos="1305"/>
        </w:tabs>
        <w:spacing w:line="320" w:lineRule="exact"/>
        <w:ind w:firstLine="205" w:firstLineChars="98"/>
        <w:rPr>
          <w:rFonts w:hint="eastAsia" w:ascii="宋体" w:hAnsi="宋体"/>
          <w:color w:val="auto"/>
          <w:szCs w:val="21"/>
        </w:rPr>
      </w:pPr>
      <w:r>
        <w:rPr>
          <w:rFonts w:hint="eastAsia" w:ascii="宋体" w:hAnsi="宋体"/>
          <w:bCs/>
          <w:color w:val="auto"/>
          <w:szCs w:val="21"/>
        </w:rPr>
        <w:t>注</w:t>
      </w:r>
      <w:r>
        <w:rPr>
          <w:rFonts w:hint="eastAsia" w:ascii="宋体" w:hAnsi="宋体"/>
          <w:b/>
          <w:bCs/>
          <w:color w:val="auto"/>
          <w:szCs w:val="21"/>
        </w:rPr>
        <w:t>：</w:t>
      </w:r>
      <w:r>
        <w:rPr>
          <w:rFonts w:hint="eastAsia" w:ascii="宋体" w:hAnsi="宋体"/>
          <w:bCs/>
          <w:color w:val="auto"/>
          <w:szCs w:val="21"/>
        </w:rPr>
        <w:t>（1）各投标人</w:t>
      </w:r>
      <w:r>
        <w:rPr>
          <w:rFonts w:hint="eastAsia" w:ascii="宋体" w:hAnsi="宋体"/>
          <w:color w:val="auto"/>
          <w:szCs w:val="21"/>
        </w:rPr>
        <w:t>必须就“货物采购需求”中所有货物和服务内容作完整唯一报价，否则，其投标将被拒绝。投标文件只允许有一个报价。</w:t>
      </w:r>
    </w:p>
    <w:p w14:paraId="1CE21B66">
      <w:pPr>
        <w:tabs>
          <w:tab w:val="left" w:pos="1305"/>
        </w:tabs>
        <w:spacing w:line="320" w:lineRule="exact"/>
        <w:ind w:firstLine="205" w:firstLineChars="98"/>
        <w:rPr>
          <w:rFonts w:hint="eastAsia" w:ascii="宋体" w:hAnsi="宋体"/>
          <w:color w:val="auto"/>
        </w:rPr>
      </w:pPr>
      <w:r>
        <w:rPr>
          <w:rFonts w:hint="eastAsia" w:ascii="宋体" w:hAnsi="宋体"/>
          <w:color w:val="auto"/>
        </w:rPr>
        <w:t>（2）投标人应根据所投货物如实填写投标报价表的各项内容。</w:t>
      </w:r>
    </w:p>
    <w:p w14:paraId="2941CC22">
      <w:pPr>
        <w:tabs>
          <w:tab w:val="left" w:pos="1305"/>
        </w:tabs>
        <w:spacing w:line="320" w:lineRule="exact"/>
        <w:ind w:firstLine="205" w:firstLineChars="98"/>
        <w:rPr>
          <w:rFonts w:hint="eastAsia" w:ascii="宋体" w:hAnsi="宋体"/>
          <w:bCs/>
          <w:color w:val="auto"/>
          <w:szCs w:val="21"/>
        </w:rPr>
      </w:pPr>
      <w:r>
        <w:rPr>
          <w:rFonts w:hint="eastAsia" w:ascii="宋体" w:hAnsi="宋体"/>
          <w:color w:val="auto"/>
        </w:rPr>
        <w:t>（3）如投标的全部或部分产品属于《节能产品政府采购清单》或《环境标志产品政府采购清单》目录范围的，投标人应在本表备注栏内写明各分项货物属于节能（或环境标志）产品,同时以提供节能产品认证证书复印件或环境标志产品认证证书复印件，以便评标委员会作为优先采购或评分的依据。</w:t>
      </w:r>
    </w:p>
    <w:p w14:paraId="5C40F10B">
      <w:pPr>
        <w:pStyle w:val="27"/>
        <w:spacing w:line="320" w:lineRule="exact"/>
        <w:ind w:left="630" w:leftChars="300"/>
        <w:rPr>
          <w:rFonts w:hint="eastAsia" w:hAnsi="宋体"/>
          <w:b/>
          <w:bCs/>
          <w:color w:val="auto"/>
          <w:szCs w:val="21"/>
        </w:rPr>
      </w:pPr>
    </w:p>
    <w:p w14:paraId="426C11C8">
      <w:pPr>
        <w:pStyle w:val="27"/>
        <w:spacing w:line="320" w:lineRule="exact"/>
        <w:rPr>
          <w:rFonts w:hint="eastAsia" w:hAnsi="宋体"/>
          <w:b/>
          <w:bCs/>
          <w:color w:val="auto"/>
          <w:szCs w:val="21"/>
        </w:rPr>
      </w:pPr>
    </w:p>
    <w:p w14:paraId="46F2F6E1">
      <w:pPr>
        <w:widowControl/>
        <w:jc w:val="left"/>
        <w:rPr>
          <w:rFonts w:hint="eastAsia" w:ascii="宋体" w:hAnsi="宋体"/>
          <w:color w:val="auto"/>
        </w:rPr>
      </w:pPr>
    </w:p>
    <w:p w14:paraId="71F5EBAE">
      <w:pPr>
        <w:pStyle w:val="232"/>
        <w:ind w:firstLine="480"/>
        <w:rPr>
          <w:rFonts w:hint="eastAsia" w:hAnsi="宋体"/>
          <w:color w:val="auto"/>
        </w:rPr>
      </w:pPr>
    </w:p>
    <w:p w14:paraId="025F592B">
      <w:pPr>
        <w:rPr>
          <w:rFonts w:hint="eastAsia" w:ascii="宋体" w:hAnsi="宋体"/>
          <w:color w:val="auto"/>
        </w:rPr>
      </w:pPr>
    </w:p>
    <w:p w14:paraId="1EEC69EA">
      <w:pPr>
        <w:pStyle w:val="2"/>
        <w:spacing w:before="480"/>
        <w:rPr>
          <w:rFonts w:hint="eastAsia" w:ascii="宋体" w:hAnsi="宋体"/>
          <w:color w:val="auto"/>
          <w:sz w:val="24"/>
        </w:rPr>
      </w:pPr>
      <w:bookmarkStart w:id="43" w:name="_Toc90288711"/>
      <w:r>
        <w:rPr>
          <w:rFonts w:hint="eastAsia" w:ascii="宋体" w:hAnsi="宋体"/>
          <w:b/>
          <w:color w:val="auto"/>
        </w:rPr>
        <w:t>二、资格性响应证明材料（格式）</w:t>
      </w:r>
      <w:bookmarkEnd w:id="43"/>
    </w:p>
    <w:p w14:paraId="6EA7FEB0">
      <w:pPr>
        <w:pStyle w:val="27"/>
        <w:spacing w:line="400" w:lineRule="exact"/>
        <w:rPr>
          <w:rFonts w:hint="eastAsia" w:hAnsi="宋体"/>
          <w:b/>
          <w:color w:val="auto"/>
          <w:sz w:val="32"/>
          <w:szCs w:val="32"/>
        </w:rPr>
      </w:pPr>
    </w:p>
    <w:p w14:paraId="3DE29E1F">
      <w:pPr>
        <w:tabs>
          <w:tab w:val="left" w:pos="1305"/>
        </w:tabs>
        <w:spacing w:line="400" w:lineRule="exact"/>
        <w:ind w:firstLine="643" w:firstLineChars="200"/>
        <w:rPr>
          <w:rFonts w:hint="eastAsia" w:ascii="宋体" w:hAnsi="宋体"/>
          <w:color w:val="auto"/>
          <w:szCs w:val="21"/>
        </w:rPr>
      </w:pPr>
      <w:r>
        <w:rPr>
          <w:rFonts w:hint="eastAsia" w:ascii="宋体" w:hAnsi="宋体"/>
          <w:b/>
          <w:color w:val="auto"/>
          <w:sz w:val="32"/>
          <w:szCs w:val="32"/>
        </w:rPr>
        <w:t>1.投标人相应的法定代表人或负责人或自然人身份证正反面复印件（必须提供）；</w:t>
      </w:r>
    </w:p>
    <w:p w14:paraId="39D8F297">
      <w:pPr>
        <w:tabs>
          <w:tab w:val="left" w:pos="1305"/>
        </w:tabs>
        <w:spacing w:line="400" w:lineRule="exact"/>
        <w:ind w:firstLine="643" w:firstLineChars="200"/>
        <w:rPr>
          <w:rFonts w:hint="eastAsia" w:ascii="宋体" w:hAnsi="宋体"/>
          <w:b/>
          <w:color w:val="auto"/>
          <w:sz w:val="32"/>
          <w:szCs w:val="32"/>
        </w:rPr>
      </w:pPr>
    </w:p>
    <w:p w14:paraId="52DF50D6">
      <w:pPr>
        <w:pStyle w:val="27"/>
        <w:spacing w:line="400" w:lineRule="exact"/>
        <w:rPr>
          <w:rFonts w:hint="eastAsia" w:hAnsi="宋体"/>
          <w:b/>
          <w:color w:val="auto"/>
          <w:sz w:val="32"/>
          <w:szCs w:val="32"/>
        </w:rPr>
      </w:pPr>
    </w:p>
    <w:p w14:paraId="5C2D149B">
      <w:pPr>
        <w:pStyle w:val="27"/>
        <w:spacing w:line="400" w:lineRule="exact"/>
        <w:ind w:firstLine="643" w:firstLineChars="200"/>
        <w:rPr>
          <w:rFonts w:hint="eastAsia" w:hAnsi="宋体"/>
          <w:b/>
          <w:color w:val="auto"/>
          <w:sz w:val="32"/>
          <w:szCs w:val="32"/>
        </w:rPr>
      </w:pPr>
      <w:r>
        <w:rPr>
          <w:rFonts w:hint="eastAsia" w:hAnsi="宋体"/>
          <w:b/>
          <w:color w:val="auto"/>
          <w:sz w:val="32"/>
          <w:szCs w:val="32"/>
        </w:rPr>
        <w:t>2.投标人的授权委托书原件（格式见附件）、委托代理人身份证正反面复印件以及由县级以上（含县级）社会养老保险经办机构出具的投标人为委托代理人交纳递交截止之日前半年内任意连续三个月社保证明复印件</w:t>
      </w:r>
      <w:r>
        <w:rPr>
          <w:rFonts w:hint="eastAsia" w:hAnsi="宋体"/>
          <w:b/>
          <w:color w:val="auto"/>
          <w:sz w:val="28"/>
          <w:szCs w:val="28"/>
        </w:rPr>
        <w:t>【自然人投标的应提供由县级以上（含县级）社会养老保险经办机构出具的自然人本人及委托代理人所交纳的社保证明复印件】</w:t>
      </w:r>
      <w:r>
        <w:rPr>
          <w:rFonts w:hint="eastAsia" w:hAnsi="宋体"/>
          <w:b/>
          <w:color w:val="auto"/>
          <w:sz w:val="32"/>
          <w:szCs w:val="32"/>
        </w:rPr>
        <w:t>（委托代理时必须提供；若为新成立的企业，请根据实际情况提供）；</w:t>
      </w:r>
    </w:p>
    <w:p w14:paraId="487C699B">
      <w:pPr>
        <w:pStyle w:val="27"/>
        <w:spacing w:line="400" w:lineRule="exact"/>
        <w:ind w:left="420" w:leftChars="200" w:firstLine="157" w:firstLineChars="49"/>
        <w:rPr>
          <w:rFonts w:hint="eastAsia" w:hAnsi="宋体"/>
          <w:b/>
          <w:color w:val="auto"/>
          <w:sz w:val="32"/>
          <w:szCs w:val="32"/>
        </w:rPr>
      </w:pPr>
      <w:r>
        <w:rPr>
          <w:rFonts w:hint="eastAsia" w:hAnsi="宋体"/>
          <w:b/>
          <w:color w:val="auto"/>
          <w:sz w:val="32"/>
          <w:szCs w:val="32"/>
        </w:rPr>
        <w:t>附件：</w:t>
      </w:r>
    </w:p>
    <w:p w14:paraId="67EC3D57">
      <w:pPr>
        <w:pStyle w:val="27"/>
        <w:jc w:val="center"/>
        <w:rPr>
          <w:rFonts w:hint="eastAsia" w:hAnsi="宋体"/>
          <w:b/>
          <w:color w:val="auto"/>
          <w:sz w:val="32"/>
        </w:rPr>
      </w:pPr>
      <w:r>
        <w:rPr>
          <w:rFonts w:hint="eastAsia" w:hAnsi="宋体"/>
          <w:b/>
          <w:color w:val="auto"/>
          <w:sz w:val="32"/>
        </w:rPr>
        <w:t xml:space="preserve">  授权委托书（格式一）</w:t>
      </w:r>
    </w:p>
    <w:p w14:paraId="6CFA313B">
      <w:pPr>
        <w:snapToGrid w:val="0"/>
        <w:spacing w:line="400" w:lineRule="exact"/>
        <w:rPr>
          <w:rFonts w:hint="eastAsia" w:ascii="宋体" w:hAnsi="宋体"/>
          <w:color w:val="auto"/>
        </w:rPr>
      </w:pPr>
      <w:r>
        <w:rPr>
          <w:rFonts w:hint="eastAsia" w:ascii="宋体" w:hAnsi="宋体"/>
          <w:b/>
          <w:color w:val="auto"/>
          <w:szCs w:val="21"/>
        </w:rPr>
        <w:t>致</w:t>
      </w:r>
      <w:r>
        <w:rPr>
          <w:rFonts w:hint="eastAsia" w:ascii="宋体" w:hAnsi="宋体"/>
          <w:color w:val="auto"/>
          <w:szCs w:val="21"/>
        </w:rPr>
        <w:t>：</w:t>
      </w:r>
      <w:r>
        <w:rPr>
          <w:rFonts w:hint="eastAsia" w:ascii="宋体" w:hAnsi="宋体"/>
          <w:color w:val="auto"/>
          <w:u w:val="single"/>
        </w:rPr>
        <w:t>×××××公司</w:t>
      </w:r>
    </w:p>
    <w:p w14:paraId="553FA396">
      <w:pPr>
        <w:snapToGrid w:val="0"/>
        <w:spacing w:line="400" w:lineRule="exact"/>
        <w:rPr>
          <w:rFonts w:hint="eastAsia" w:ascii="宋体" w:hAnsi="宋体"/>
          <w:color w:val="auto"/>
          <w:szCs w:val="21"/>
          <w:u w:val="single"/>
        </w:rPr>
      </w:pPr>
    </w:p>
    <w:p w14:paraId="057394C7">
      <w:pPr>
        <w:pStyle w:val="27"/>
        <w:spacing w:line="400" w:lineRule="exact"/>
        <w:ind w:firstLine="525" w:firstLineChars="250"/>
        <w:rPr>
          <w:rFonts w:hint="eastAsia" w:hAnsi="宋体"/>
          <w:color w:val="auto"/>
        </w:rPr>
      </w:pPr>
      <w:r>
        <w:rPr>
          <w:rFonts w:hint="eastAsia" w:hAnsi="宋体"/>
          <w:color w:val="auto"/>
          <w:kern w:val="0"/>
        </w:rPr>
        <w:t>我</w:t>
      </w:r>
      <w:r>
        <w:rPr>
          <w:rFonts w:hint="eastAsia" w:hAnsi="宋体"/>
          <w:color w:val="auto"/>
          <w:kern w:val="0"/>
          <w:u w:val="single"/>
        </w:rPr>
        <w:t xml:space="preserve">              </w:t>
      </w:r>
      <w:r>
        <w:rPr>
          <w:rFonts w:hint="eastAsia" w:hAnsi="宋体"/>
          <w:color w:val="auto"/>
          <w:kern w:val="0"/>
        </w:rPr>
        <w:t>（姓名）系</w:t>
      </w:r>
      <w:r>
        <w:rPr>
          <w:rFonts w:hint="eastAsia" w:hAnsi="宋体"/>
          <w:color w:val="auto"/>
          <w:kern w:val="0"/>
          <w:u w:val="single"/>
        </w:rPr>
        <w:t xml:space="preserve">                              </w:t>
      </w:r>
      <w:r>
        <w:rPr>
          <w:rFonts w:hint="eastAsia" w:hAnsi="宋体"/>
          <w:color w:val="auto"/>
          <w:kern w:val="0"/>
        </w:rPr>
        <w:t>（投标人名称）的法定代表人（负责人），现授权委托本单位在职职工</w:t>
      </w:r>
      <w:r>
        <w:rPr>
          <w:rFonts w:hint="eastAsia" w:hAnsi="宋体"/>
          <w:color w:val="auto"/>
          <w:kern w:val="0"/>
          <w:u w:val="single"/>
        </w:rPr>
        <w:t xml:space="preserve">            </w:t>
      </w:r>
      <w:r>
        <w:rPr>
          <w:rFonts w:hint="eastAsia" w:hAnsi="宋体"/>
          <w:color w:val="auto"/>
          <w:kern w:val="0"/>
        </w:rPr>
        <w:t>（姓名）以我公司名义参加</w:t>
      </w:r>
      <w:r>
        <w:rPr>
          <w:rFonts w:hint="eastAsia" w:hAnsi="宋体"/>
          <w:color w:val="auto"/>
          <w:kern w:val="0"/>
          <w:u w:val="single"/>
        </w:rPr>
        <w:t xml:space="preserve">      </w:t>
      </w:r>
      <w:r>
        <w:rPr>
          <w:rFonts w:hint="eastAsia" w:hAnsi="宋体"/>
          <w:color w:val="auto"/>
          <w:u w:val="single"/>
        </w:rPr>
        <w:t xml:space="preserve">（项目名称及项目编号）        </w:t>
      </w:r>
      <w:r>
        <w:rPr>
          <w:rFonts w:hint="eastAsia" w:hAnsi="宋体"/>
          <w:color w:val="auto"/>
        </w:rPr>
        <w:t>项目的投标活动，并代表我方全权办理针对上述项目的投标、开标、评标、签约等具体事务和签署相关文件。</w:t>
      </w:r>
    </w:p>
    <w:p w14:paraId="3E1F3D42">
      <w:pPr>
        <w:pStyle w:val="27"/>
        <w:spacing w:line="400" w:lineRule="exact"/>
        <w:ind w:firstLine="420" w:firstLineChars="200"/>
        <w:rPr>
          <w:rFonts w:hint="eastAsia" w:hAnsi="宋体"/>
          <w:color w:val="auto"/>
        </w:rPr>
      </w:pPr>
      <w:r>
        <w:rPr>
          <w:rFonts w:hint="eastAsia" w:hAnsi="宋体"/>
          <w:color w:val="auto"/>
        </w:rPr>
        <w:t>我方对被授权人的签字事项负全部责任。</w:t>
      </w:r>
    </w:p>
    <w:p w14:paraId="4F7DD1D6">
      <w:pPr>
        <w:pStyle w:val="27"/>
        <w:spacing w:line="400" w:lineRule="exact"/>
        <w:ind w:firstLine="420" w:firstLineChars="200"/>
        <w:rPr>
          <w:rFonts w:hint="eastAsia" w:hAnsi="宋体"/>
          <w:color w:val="auto"/>
          <w:u w:val="single"/>
        </w:rPr>
      </w:pPr>
      <w:r>
        <w:rPr>
          <w:rFonts w:hint="eastAsia" w:hAnsi="宋体"/>
          <w:color w:val="auto"/>
        </w:rPr>
        <w:t>授权委托代理期限：</w:t>
      </w:r>
      <w:r>
        <w:rPr>
          <w:rFonts w:hint="eastAsia" w:hAnsi="宋体" w:cs="宋体"/>
          <w:color w:val="auto"/>
        </w:rPr>
        <w:t>自即日起至该项目政府采购活动结束</w:t>
      </w:r>
      <w:r>
        <w:rPr>
          <w:rFonts w:hint="eastAsia" w:hAnsi="宋体"/>
          <w:color w:val="auto"/>
        </w:rPr>
        <w:t>。</w:t>
      </w:r>
    </w:p>
    <w:p w14:paraId="28E7D5D0">
      <w:pPr>
        <w:pStyle w:val="27"/>
        <w:spacing w:line="400" w:lineRule="exact"/>
        <w:rPr>
          <w:rFonts w:hint="eastAsia" w:hAnsi="宋体"/>
          <w:color w:val="auto"/>
          <w:u w:val="single"/>
        </w:rPr>
      </w:pPr>
      <w:r>
        <w:rPr>
          <w:rFonts w:hint="eastAsia" w:hAnsi="宋体"/>
          <w:color w:val="auto"/>
        </w:rPr>
        <w:t xml:space="preserve">                                                                                             </w:t>
      </w:r>
    </w:p>
    <w:p w14:paraId="61024296">
      <w:pPr>
        <w:spacing w:line="400" w:lineRule="exact"/>
        <w:ind w:firstLine="420" w:firstLineChars="200"/>
        <w:rPr>
          <w:rFonts w:hint="eastAsia" w:ascii="宋体" w:hAnsi="宋体"/>
          <w:color w:val="auto"/>
          <w:kern w:val="0"/>
        </w:rPr>
      </w:pPr>
      <w:r>
        <w:rPr>
          <w:rFonts w:hint="eastAsia" w:ascii="宋体" w:hAnsi="宋体"/>
          <w:color w:val="auto"/>
          <w:kern w:val="0"/>
        </w:rPr>
        <w:t>代理人无转委托权,特此委托。</w:t>
      </w:r>
      <w:r>
        <w:rPr>
          <w:rFonts w:ascii="宋体" w:hAnsi="宋体"/>
          <w:color w:val="auto"/>
          <w:kern w:val="0"/>
        </w:rPr>
        <w:t xml:space="preserve"> </w:t>
      </w:r>
    </w:p>
    <w:p w14:paraId="2EC14CE9">
      <w:pPr>
        <w:snapToGrid w:val="0"/>
        <w:spacing w:line="400" w:lineRule="exact"/>
        <w:ind w:firstLine="525"/>
        <w:rPr>
          <w:rFonts w:hint="eastAsia" w:ascii="宋体" w:hAnsi="宋体"/>
          <w:color w:val="auto"/>
          <w:szCs w:val="21"/>
        </w:rPr>
      </w:pPr>
    </w:p>
    <w:p w14:paraId="48B04702">
      <w:pPr>
        <w:snapToGrid w:val="0"/>
        <w:spacing w:line="400" w:lineRule="exact"/>
        <w:ind w:firstLine="420"/>
        <w:rPr>
          <w:rFonts w:hint="eastAsia" w:ascii="宋体" w:hAnsi="宋体"/>
          <w:color w:val="auto"/>
          <w:szCs w:val="21"/>
        </w:rPr>
      </w:pPr>
      <w:r>
        <w:rPr>
          <w:rFonts w:hint="eastAsia" w:ascii="宋体" w:hAnsi="宋体"/>
          <w:color w:val="auto"/>
          <w:szCs w:val="21"/>
        </w:rPr>
        <w:t>我已在下面签字，以资证明。</w:t>
      </w:r>
    </w:p>
    <w:p w14:paraId="2DA0F2B1">
      <w:pPr>
        <w:snapToGrid w:val="0"/>
        <w:spacing w:line="400" w:lineRule="exact"/>
        <w:rPr>
          <w:rFonts w:hint="eastAsia" w:ascii="宋体" w:hAnsi="宋体"/>
          <w:color w:val="auto"/>
          <w:szCs w:val="21"/>
        </w:rPr>
      </w:pPr>
    </w:p>
    <w:p w14:paraId="128B3769">
      <w:pPr>
        <w:snapToGrid w:val="0"/>
        <w:spacing w:line="400" w:lineRule="exact"/>
        <w:ind w:firstLine="420"/>
        <w:rPr>
          <w:rFonts w:hint="eastAsia" w:ascii="宋体" w:hAnsi="宋体" w:cs="宋体"/>
          <w:color w:val="auto"/>
          <w:szCs w:val="21"/>
          <w:u w:val="single"/>
        </w:rPr>
      </w:pPr>
      <w:r>
        <w:rPr>
          <w:rFonts w:hint="eastAsia" w:ascii="宋体" w:hAnsi="宋体" w:cs="宋体"/>
          <w:color w:val="auto"/>
          <w:szCs w:val="21"/>
        </w:rPr>
        <w:t>投标人名称（加盖CA证书签章）：</w:t>
      </w:r>
      <w:r>
        <w:rPr>
          <w:rFonts w:hint="eastAsia" w:ascii="宋体" w:hAnsi="宋体" w:cs="宋体"/>
          <w:color w:val="auto"/>
          <w:szCs w:val="21"/>
          <w:u w:val="single"/>
        </w:rPr>
        <w:t xml:space="preserve">                  ；              </w:t>
      </w:r>
    </w:p>
    <w:p w14:paraId="01D97916">
      <w:pPr>
        <w:snapToGrid w:val="0"/>
        <w:spacing w:line="400" w:lineRule="exact"/>
        <w:ind w:firstLine="420"/>
        <w:rPr>
          <w:rFonts w:hint="eastAsia" w:ascii="宋体" w:hAnsi="宋体" w:cs="宋体"/>
          <w:color w:val="auto"/>
          <w:szCs w:val="21"/>
        </w:rPr>
      </w:pPr>
    </w:p>
    <w:p w14:paraId="0F06EE7A">
      <w:pPr>
        <w:snapToGrid w:val="0"/>
        <w:spacing w:line="400" w:lineRule="exact"/>
        <w:ind w:firstLine="420"/>
        <w:rPr>
          <w:rFonts w:hint="eastAsia" w:ascii="宋体" w:hAnsi="宋体"/>
          <w:color w:val="auto"/>
          <w:szCs w:val="21"/>
        </w:rPr>
      </w:pPr>
      <w:r>
        <w:rPr>
          <w:rFonts w:hint="eastAsia" w:ascii="宋体" w:hAnsi="宋体" w:cs="宋体"/>
          <w:color w:val="auto"/>
          <w:szCs w:val="21"/>
        </w:rPr>
        <w:t>法定代表人（负责人）签字（或加盖个人CA证书签章）：</w:t>
      </w:r>
      <w:r>
        <w:rPr>
          <w:rFonts w:hint="eastAsia" w:ascii="宋体" w:hAnsi="宋体" w:cs="宋体"/>
          <w:color w:val="auto"/>
          <w:szCs w:val="21"/>
          <w:u w:val="single"/>
        </w:rPr>
        <w:t xml:space="preserve">           </w:t>
      </w:r>
      <w:r>
        <w:rPr>
          <w:rFonts w:hint="eastAsia" w:ascii="宋体" w:hAnsi="宋体" w:cs="宋体"/>
          <w:color w:val="auto"/>
          <w:szCs w:val="21"/>
        </w:rPr>
        <w:t xml:space="preserve"> </w:t>
      </w:r>
      <w:r>
        <w:rPr>
          <w:rFonts w:hint="eastAsia" w:ascii="宋体" w:hAnsi="宋体"/>
          <w:color w:val="auto"/>
          <w:szCs w:val="21"/>
        </w:rPr>
        <w:t xml:space="preserve">   </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14:paraId="17F77B9E">
      <w:pPr>
        <w:pStyle w:val="27"/>
        <w:spacing w:line="400" w:lineRule="exact"/>
        <w:ind w:firstLine="602" w:firstLineChars="250"/>
        <w:rPr>
          <w:rFonts w:hint="eastAsia" w:hAnsi="宋体"/>
          <w:b/>
          <w:color w:val="auto"/>
          <w:sz w:val="24"/>
          <w:szCs w:val="24"/>
        </w:rPr>
      </w:pPr>
    </w:p>
    <w:p w14:paraId="0C4E16D9">
      <w:pPr>
        <w:pStyle w:val="27"/>
        <w:spacing w:line="400" w:lineRule="exact"/>
        <w:ind w:firstLine="602" w:firstLineChars="250"/>
        <w:rPr>
          <w:rFonts w:hint="eastAsia" w:hAnsi="宋体"/>
          <w:b/>
          <w:color w:val="auto"/>
          <w:sz w:val="24"/>
          <w:szCs w:val="24"/>
        </w:rPr>
      </w:pPr>
      <w:r>
        <w:rPr>
          <w:rFonts w:hint="eastAsia" w:hAnsi="宋体"/>
          <w:b/>
          <w:color w:val="auto"/>
          <w:sz w:val="24"/>
          <w:szCs w:val="24"/>
        </w:rPr>
        <w:t>附：委托代理人身份证正反面复印件以及由县级以上（含县级）社会养老保险经办机构出具的投标人为委托代理人交纳递交截止之日前半年内任意连续三个月社保证明复印件（委托代理时必须提供）。</w:t>
      </w:r>
    </w:p>
    <w:p w14:paraId="2ACF2A05">
      <w:pPr>
        <w:snapToGrid w:val="0"/>
        <w:spacing w:line="400" w:lineRule="exact"/>
        <w:rPr>
          <w:rFonts w:hint="eastAsia" w:ascii="宋体" w:hAnsi="宋体"/>
          <w:color w:val="auto"/>
          <w:szCs w:val="21"/>
        </w:rPr>
      </w:pPr>
    </w:p>
    <w:p w14:paraId="688BDB94">
      <w:pPr>
        <w:pStyle w:val="27"/>
        <w:jc w:val="center"/>
        <w:rPr>
          <w:rFonts w:hint="eastAsia" w:hAnsi="宋体"/>
          <w:b/>
          <w:color w:val="auto"/>
          <w:sz w:val="32"/>
        </w:rPr>
      </w:pPr>
      <w:r>
        <w:rPr>
          <w:rFonts w:hint="eastAsia" w:hAnsi="宋体"/>
          <w:b/>
          <w:color w:val="auto"/>
          <w:sz w:val="32"/>
        </w:rPr>
        <w:t>授权委托书（格式二）（适用于自然人投标）</w:t>
      </w:r>
    </w:p>
    <w:p w14:paraId="5873ADD5">
      <w:pPr>
        <w:snapToGrid w:val="0"/>
        <w:spacing w:line="400" w:lineRule="exact"/>
        <w:rPr>
          <w:rFonts w:hint="eastAsia" w:ascii="宋体" w:hAnsi="宋体"/>
          <w:b/>
          <w:color w:val="auto"/>
          <w:szCs w:val="21"/>
        </w:rPr>
      </w:pPr>
    </w:p>
    <w:p w14:paraId="68E0A1E3">
      <w:pPr>
        <w:snapToGrid w:val="0"/>
        <w:spacing w:line="400" w:lineRule="exact"/>
        <w:rPr>
          <w:rFonts w:hint="eastAsia" w:ascii="宋体" w:hAnsi="宋体"/>
          <w:color w:val="auto"/>
        </w:rPr>
      </w:pPr>
      <w:r>
        <w:rPr>
          <w:rFonts w:hint="eastAsia" w:ascii="宋体" w:hAnsi="宋体"/>
          <w:b/>
          <w:color w:val="auto"/>
          <w:szCs w:val="21"/>
        </w:rPr>
        <w:t>致</w:t>
      </w:r>
      <w:r>
        <w:rPr>
          <w:rFonts w:hint="eastAsia" w:ascii="宋体" w:hAnsi="宋体"/>
          <w:color w:val="auto"/>
          <w:szCs w:val="21"/>
        </w:rPr>
        <w:t>：</w:t>
      </w:r>
      <w:r>
        <w:rPr>
          <w:rFonts w:hint="eastAsia" w:ascii="宋体" w:hAnsi="宋体"/>
          <w:color w:val="auto"/>
          <w:u w:val="single"/>
        </w:rPr>
        <w:t>×××××公司</w:t>
      </w:r>
    </w:p>
    <w:p w14:paraId="0CAF75AF">
      <w:pPr>
        <w:snapToGrid w:val="0"/>
        <w:spacing w:line="400" w:lineRule="exact"/>
        <w:rPr>
          <w:rFonts w:hint="eastAsia" w:ascii="宋体" w:hAnsi="宋体"/>
          <w:color w:val="auto"/>
          <w:szCs w:val="21"/>
          <w:u w:val="single"/>
        </w:rPr>
      </w:pPr>
    </w:p>
    <w:p w14:paraId="4242637C">
      <w:pPr>
        <w:pStyle w:val="27"/>
        <w:spacing w:line="340" w:lineRule="exact"/>
        <w:ind w:firstLine="420" w:firstLineChars="200"/>
        <w:rPr>
          <w:rFonts w:hint="eastAsia" w:hAnsi="宋体"/>
          <w:color w:val="auto"/>
        </w:rPr>
      </w:pPr>
      <w:r>
        <w:rPr>
          <w:rFonts w:hint="eastAsia" w:hAnsi="宋体"/>
          <w:color w:val="auto"/>
          <w:kern w:val="0"/>
        </w:rPr>
        <w:t>我</w:t>
      </w:r>
      <w:r>
        <w:rPr>
          <w:rFonts w:hint="eastAsia" w:hAnsi="宋体"/>
          <w:color w:val="auto"/>
          <w:kern w:val="0"/>
          <w:u w:val="single"/>
        </w:rPr>
        <w:t xml:space="preserve">              </w:t>
      </w:r>
      <w:r>
        <w:rPr>
          <w:rFonts w:hint="eastAsia" w:hAnsi="宋体"/>
          <w:color w:val="auto"/>
          <w:kern w:val="0"/>
        </w:rPr>
        <w:t>（姓名）系自然人，现授权委托</w:t>
      </w:r>
      <w:r>
        <w:rPr>
          <w:rFonts w:hint="eastAsia" w:hAnsi="宋体"/>
          <w:color w:val="auto"/>
          <w:kern w:val="0"/>
          <w:u w:val="single"/>
        </w:rPr>
        <w:t xml:space="preserve">            </w:t>
      </w:r>
      <w:r>
        <w:rPr>
          <w:rFonts w:hint="eastAsia" w:hAnsi="宋体"/>
          <w:color w:val="auto"/>
          <w:kern w:val="0"/>
        </w:rPr>
        <w:t>（姓 名）以本人名义参加</w:t>
      </w:r>
      <w:r>
        <w:rPr>
          <w:rFonts w:hint="eastAsia" w:hAnsi="宋体"/>
          <w:color w:val="auto"/>
          <w:kern w:val="0"/>
          <w:u w:val="single"/>
        </w:rPr>
        <w:t xml:space="preserve">      </w:t>
      </w:r>
      <w:r>
        <w:rPr>
          <w:rFonts w:hint="eastAsia" w:hAnsi="宋体"/>
          <w:color w:val="auto"/>
          <w:u w:val="single"/>
        </w:rPr>
        <w:t xml:space="preserve">（项目名称及项目编号）        </w:t>
      </w:r>
      <w:r>
        <w:rPr>
          <w:rFonts w:hint="eastAsia" w:hAnsi="宋体"/>
          <w:color w:val="auto"/>
        </w:rPr>
        <w:t>项目的投标活动，并代表本人全权办理针对上述项目的投标、开标、评标、签约等具体事务和签署相关文件。</w:t>
      </w:r>
    </w:p>
    <w:p w14:paraId="07EF6CA2">
      <w:pPr>
        <w:pStyle w:val="27"/>
        <w:spacing w:line="340" w:lineRule="exact"/>
        <w:ind w:firstLine="420" w:firstLineChars="200"/>
        <w:rPr>
          <w:rFonts w:hint="eastAsia" w:hAnsi="宋体"/>
          <w:color w:val="auto"/>
        </w:rPr>
      </w:pPr>
      <w:r>
        <w:rPr>
          <w:rFonts w:hint="eastAsia" w:hAnsi="宋体"/>
          <w:color w:val="auto"/>
        </w:rPr>
        <w:t>本人对被授权人的签字事项负全部责任。</w:t>
      </w:r>
    </w:p>
    <w:p w14:paraId="07273B80">
      <w:pPr>
        <w:pStyle w:val="27"/>
        <w:spacing w:line="340" w:lineRule="exact"/>
        <w:ind w:firstLine="420" w:firstLineChars="200"/>
        <w:rPr>
          <w:rFonts w:hint="eastAsia" w:hAnsi="宋体"/>
          <w:color w:val="auto"/>
          <w:u w:val="single"/>
        </w:rPr>
      </w:pPr>
      <w:r>
        <w:rPr>
          <w:rFonts w:hint="eastAsia" w:hAnsi="宋体"/>
          <w:color w:val="auto"/>
        </w:rPr>
        <w:t>授权委托代理期限：</w:t>
      </w:r>
      <w:r>
        <w:rPr>
          <w:rFonts w:hint="eastAsia" w:hAnsi="宋体" w:cs="宋体"/>
          <w:color w:val="auto"/>
        </w:rPr>
        <w:t>自即日起至该项目政府采购活动结束</w:t>
      </w:r>
      <w:r>
        <w:rPr>
          <w:rFonts w:hint="eastAsia" w:hAnsi="宋体"/>
          <w:color w:val="auto"/>
        </w:rPr>
        <w:t>。</w:t>
      </w:r>
    </w:p>
    <w:p w14:paraId="07225D45">
      <w:pPr>
        <w:pStyle w:val="27"/>
        <w:spacing w:line="340" w:lineRule="exact"/>
        <w:rPr>
          <w:rFonts w:hint="eastAsia" w:hAnsi="宋体"/>
          <w:color w:val="auto"/>
          <w:u w:val="single"/>
        </w:rPr>
      </w:pPr>
      <w:r>
        <w:rPr>
          <w:rFonts w:hint="eastAsia" w:hAnsi="宋体"/>
          <w:color w:val="auto"/>
        </w:rPr>
        <w:t xml:space="preserve">                                                                                             </w:t>
      </w:r>
    </w:p>
    <w:p w14:paraId="4C60C348">
      <w:pPr>
        <w:spacing w:line="340" w:lineRule="exact"/>
        <w:ind w:firstLine="420" w:firstLineChars="200"/>
        <w:rPr>
          <w:rFonts w:hint="eastAsia" w:ascii="宋体" w:hAnsi="宋体"/>
          <w:color w:val="auto"/>
          <w:kern w:val="0"/>
        </w:rPr>
      </w:pPr>
      <w:r>
        <w:rPr>
          <w:rFonts w:hint="eastAsia" w:ascii="宋体" w:hAnsi="宋体"/>
          <w:color w:val="auto"/>
          <w:kern w:val="0"/>
        </w:rPr>
        <w:t>代理人无转委托权,特此委托。</w:t>
      </w:r>
      <w:r>
        <w:rPr>
          <w:rFonts w:ascii="宋体" w:hAnsi="宋体"/>
          <w:color w:val="auto"/>
          <w:kern w:val="0"/>
        </w:rPr>
        <w:t xml:space="preserve"> </w:t>
      </w:r>
    </w:p>
    <w:p w14:paraId="3730893C">
      <w:pPr>
        <w:snapToGrid w:val="0"/>
        <w:spacing w:line="340" w:lineRule="exact"/>
        <w:ind w:firstLine="525"/>
        <w:rPr>
          <w:rFonts w:hint="eastAsia" w:ascii="宋体" w:hAnsi="宋体"/>
          <w:color w:val="auto"/>
          <w:szCs w:val="21"/>
        </w:rPr>
      </w:pPr>
    </w:p>
    <w:p w14:paraId="5C0D81BC">
      <w:pPr>
        <w:snapToGrid w:val="0"/>
        <w:spacing w:line="340" w:lineRule="exact"/>
        <w:ind w:firstLine="420"/>
        <w:rPr>
          <w:rFonts w:hint="eastAsia" w:ascii="宋体" w:hAnsi="宋体"/>
          <w:color w:val="auto"/>
          <w:szCs w:val="21"/>
        </w:rPr>
      </w:pPr>
      <w:r>
        <w:rPr>
          <w:rFonts w:hint="eastAsia" w:ascii="宋体" w:hAnsi="宋体"/>
          <w:color w:val="auto"/>
          <w:szCs w:val="21"/>
        </w:rPr>
        <w:t>我已在下面签字，以资证明。</w:t>
      </w:r>
    </w:p>
    <w:p w14:paraId="0D36F951">
      <w:pPr>
        <w:snapToGrid w:val="0"/>
        <w:spacing w:line="340" w:lineRule="exact"/>
        <w:ind w:firstLine="420"/>
        <w:rPr>
          <w:rFonts w:hint="eastAsia" w:ascii="宋体" w:hAnsi="宋体"/>
          <w:color w:val="auto"/>
          <w:szCs w:val="21"/>
        </w:rPr>
      </w:pPr>
    </w:p>
    <w:p w14:paraId="1107611C">
      <w:pPr>
        <w:snapToGrid w:val="0"/>
        <w:spacing w:line="340" w:lineRule="exact"/>
        <w:ind w:firstLine="420"/>
        <w:rPr>
          <w:rFonts w:hint="eastAsia" w:ascii="宋体" w:hAnsi="宋体"/>
          <w:color w:val="auto"/>
          <w:szCs w:val="21"/>
        </w:rPr>
      </w:pPr>
      <w:r>
        <w:rPr>
          <w:rFonts w:hint="eastAsia" w:ascii="宋体" w:hAnsi="宋体"/>
          <w:color w:val="auto"/>
          <w:szCs w:val="21"/>
        </w:rPr>
        <w:t>自然人签字并在签名处加盖食指指印</w:t>
      </w:r>
      <w:r>
        <w:rPr>
          <w:rFonts w:hint="eastAsia" w:ascii="宋体" w:hAnsi="宋体" w:cs="宋体"/>
          <w:color w:val="auto"/>
          <w:szCs w:val="21"/>
        </w:rPr>
        <w:t>或加盖个人CA证书签章</w:t>
      </w:r>
      <w:r>
        <w:rPr>
          <w:rFonts w:hint="eastAsia" w:ascii="宋体" w:hAnsi="宋体"/>
          <w:color w:val="auto"/>
          <w:szCs w:val="21"/>
        </w:rPr>
        <w:t>：</w:t>
      </w:r>
      <w:r>
        <w:rPr>
          <w:rFonts w:hint="eastAsia" w:ascii="宋体" w:hAnsi="宋体"/>
          <w:color w:val="auto"/>
          <w:szCs w:val="21"/>
          <w:u w:val="single"/>
        </w:rPr>
        <w:t xml:space="preserve">         </w:t>
      </w:r>
      <w:r>
        <w:rPr>
          <w:rFonts w:hint="eastAsia" w:ascii="宋体" w:hAnsi="宋体"/>
          <w:color w:val="auto"/>
          <w:szCs w:val="21"/>
        </w:rPr>
        <w:t xml:space="preserve"> </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14:paraId="632529FD">
      <w:pPr>
        <w:snapToGrid w:val="0"/>
        <w:spacing w:line="340" w:lineRule="exact"/>
        <w:ind w:firstLine="420"/>
        <w:rPr>
          <w:rFonts w:hint="eastAsia" w:ascii="宋体" w:hAnsi="宋体"/>
          <w:color w:val="auto"/>
          <w:szCs w:val="21"/>
        </w:rPr>
      </w:pPr>
    </w:p>
    <w:p w14:paraId="23C8BF4E">
      <w:pPr>
        <w:pStyle w:val="27"/>
        <w:spacing w:line="400" w:lineRule="exact"/>
        <w:ind w:firstLine="602" w:firstLineChars="250"/>
        <w:rPr>
          <w:rFonts w:hint="eastAsia" w:hAnsi="宋体"/>
          <w:b/>
          <w:color w:val="auto"/>
          <w:sz w:val="24"/>
          <w:szCs w:val="24"/>
        </w:rPr>
      </w:pPr>
      <w:r>
        <w:rPr>
          <w:rFonts w:hint="eastAsia" w:hAnsi="宋体"/>
          <w:b/>
          <w:color w:val="auto"/>
          <w:sz w:val="24"/>
          <w:szCs w:val="24"/>
        </w:rPr>
        <w:t>附：委托代理人身份证正反面复印件以及由县级以上（含县级）社会养老保险经办机构出具的自然人本人及委托代理人所交纳的社保证明复印件（委托代理时必须提供）。</w:t>
      </w:r>
    </w:p>
    <w:p w14:paraId="675FD87E">
      <w:pPr>
        <w:pStyle w:val="27"/>
        <w:spacing w:line="400" w:lineRule="exact"/>
        <w:rPr>
          <w:rFonts w:hint="eastAsia" w:hAnsi="宋体"/>
          <w:color w:val="auto"/>
        </w:rPr>
      </w:pPr>
    </w:p>
    <w:p w14:paraId="63014CB6">
      <w:pPr>
        <w:pStyle w:val="27"/>
        <w:spacing w:line="400" w:lineRule="exact"/>
        <w:rPr>
          <w:rFonts w:hint="eastAsia" w:hAnsi="宋体"/>
          <w:b/>
          <w:color w:val="auto"/>
          <w:sz w:val="32"/>
          <w:szCs w:val="32"/>
        </w:rPr>
      </w:pPr>
    </w:p>
    <w:p w14:paraId="43E8D462">
      <w:pPr>
        <w:pStyle w:val="27"/>
        <w:spacing w:line="400" w:lineRule="exact"/>
        <w:rPr>
          <w:rFonts w:hint="eastAsia" w:hAnsi="宋体"/>
          <w:b/>
          <w:color w:val="auto"/>
          <w:sz w:val="32"/>
          <w:szCs w:val="32"/>
        </w:rPr>
      </w:pPr>
    </w:p>
    <w:p w14:paraId="56288D84">
      <w:pPr>
        <w:pStyle w:val="27"/>
        <w:spacing w:line="400" w:lineRule="exact"/>
        <w:rPr>
          <w:rFonts w:hint="eastAsia" w:hAnsi="宋体"/>
          <w:b/>
          <w:color w:val="auto"/>
          <w:sz w:val="32"/>
          <w:szCs w:val="32"/>
        </w:rPr>
      </w:pPr>
    </w:p>
    <w:p w14:paraId="6CC9D997">
      <w:pPr>
        <w:pStyle w:val="27"/>
        <w:spacing w:line="400" w:lineRule="exact"/>
        <w:rPr>
          <w:rFonts w:hint="eastAsia" w:hAnsi="宋体"/>
          <w:b/>
          <w:color w:val="auto"/>
          <w:sz w:val="32"/>
          <w:szCs w:val="32"/>
        </w:rPr>
      </w:pPr>
    </w:p>
    <w:p w14:paraId="16AD717D">
      <w:pPr>
        <w:pStyle w:val="27"/>
        <w:spacing w:line="400" w:lineRule="exact"/>
        <w:rPr>
          <w:rFonts w:hint="eastAsia" w:hAnsi="宋体"/>
          <w:b/>
          <w:color w:val="auto"/>
          <w:sz w:val="32"/>
          <w:szCs w:val="32"/>
        </w:rPr>
      </w:pPr>
    </w:p>
    <w:p w14:paraId="16E7972A">
      <w:pPr>
        <w:pStyle w:val="27"/>
        <w:spacing w:line="400" w:lineRule="exact"/>
        <w:rPr>
          <w:rFonts w:hint="eastAsia" w:hAnsi="宋体"/>
          <w:b/>
          <w:color w:val="auto"/>
          <w:sz w:val="32"/>
          <w:szCs w:val="32"/>
        </w:rPr>
      </w:pPr>
    </w:p>
    <w:p w14:paraId="4D9ED610">
      <w:pPr>
        <w:pStyle w:val="27"/>
        <w:spacing w:line="400" w:lineRule="exact"/>
        <w:rPr>
          <w:rFonts w:hint="eastAsia" w:hAnsi="宋体"/>
          <w:b/>
          <w:color w:val="auto"/>
          <w:sz w:val="32"/>
          <w:szCs w:val="32"/>
        </w:rPr>
      </w:pPr>
    </w:p>
    <w:p w14:paraId="6186F94E">
      <w:pPr>
        <w:pStyle w:val="27"/>
        <w:spacing w:line="400" w:lineRule="exact"/>
        <w:rPr>
          <w:rFonts w:hint="eastAsia" w:hAnsi="宋体"/>
          <w:b/>
          <w:color w:val="auto"/>
          <w:sz w:val="32"/>
          <w:szCs w:val="32"/>
        </w:rPr>
      </w:pPr>
    </w:p>
    <w:p w14:paraId="121708D8">
      <w:pPr>
        <w:pStyle w:val="27"/>
        <w:spacing w:line="400" w:lineRule="exact"/>
        <w:rPr>
          <w:rFonts w:hint="eastAsia" w:hAnsi="宋体"/>
          <w:b/>
          <w:color w:val="auto"/>
          <w:sz w:val="32"/>
          <w:szCs w:val="32"/>
        </w:rPr>
      </w:pPr>
    </w:p>
    <w:p w14:paraId="18BB0257">
      <w:pPr>
        <w:pStyle w:val="27"/>
        <w:spacing w:line="400" w:lineRule="exact"/>
        <w:rPr>
          <w:rFonts w:hint="eastAsia" w:hAnsi="宋体"/>
          <w:b/>
          <w:color w:val="auto"/>
          <w:sz w:val="32"/>
          <w:szCs w:val="32"/>
        </w:rPr>
      </w:pPr>
    </w:p>
    <w:p w14:paraId="59557C1A">
      <w:pPr>
        <w:pStyle w:val="27"/>
        <w:spacing w:line="400" w:lineRule="exact"/>
        <w:rPr>
          <w:rFonts w:hint="eastAsia" w:hAnsi="宋体"/>
          <w:b/>
          <w:color w:val="auto"/>
          <w:sz w:val="32"/>
          <w:szCs w:val="32"/>
        </w:rPr>
      </w:pPr>
    </w:p>
    <w:p w14:paraId="3F86C9A3">
      <w:pPr>
        <w:pStyle w:val="27"/>
        <w:spacing w:line="400" w:lineRule="exact"/>
        <w:rPr>
          <w:rFonts w:hint="eastAsia" w:hAnsi="宋体"/>
          <w:b/>
          <w:color w:val="auto"/>
          <w:sz w:val="32"/>
          <w:szCs w:val="32"/>
        </w:rPr>
      </w:pPr>
    </w:p>
    <w:p w14:paraId="30F2440A">
      <w:pPr>
        <w:pStyle w:val="27"/>
        <w:spacing w:line="400" w:lineRule="exact"/>
        <w:rPr>
          <w:rFonts w:hint="eastAsia" w:hAnsi="宋体"/>
          <w:b/>
          <w:color w:val="auto"/>
          <w:sz w:val="32"/>
          <w:szCs w:val="32"/>
        </w:rPr>
      </w:pPr>
    </w:p>
    <w:p w14:paraId="5928F498">
      <w:pPr>
        <w:pStyle w:val="27"/>
        <w:spacing w:line="400" w:lineRule="exact"/>
        <w:rPr>
          <w:rFonts w:hint="eastAsia" w:hAnsi="宋体"/>
          <w:b/>
          <w:color w:val="auto"/>
          <w:sz w:val="32"/>
          <w:szCs w:val="32"/>
        </w:rPr>
      </w:pPr>
    </w:p>
    <w:p w14:paraId="133C5791">
      <w:pPr>
        <w:widowControl/>
        <w:jc w:val="left"/>
        <w:rPr>
          <w:color w:val="auto"/>
        </w:rPr>
      </w:pPr>
    </w:p>
    <w:p w14:paraId="0CF8222E">
      <w:pPr>
        <w:pStyle w:val="232"/>
        <w:ind w:firstLine="480"/>
        <w:rPr>
          <w:rFonts w:ascii="Times New Roman"/>
          <w:color w:val="auto"/>
        </w:rPr>
      </w:pPr>
    </w:p>
    <w:p w14:paraId="264403A6">
      <w:pPr>
        <w:pStyle w:val="27"/>
        <w:spacing w:line="400" w:lineRule="exact"/>
        <w:ind w:firstLine="472" w:firstLineChars="147"/>
        <w:rPr>
          <w:rFonts w:hint="eastAsia" w:hAnsi="宋体"/>
          <w:b/>
          <w:color w:val="auto"/>
          <w:sz w:val="32"/>
          <w:szCs w:val="32"/>
        </w:rPr>
      </w:pPr>
      <w:r>
        <w:rPr>
          <w:rFonts w:hint="eastAsia" w:hAnsi="宋体"/>
          <w:b/>
          <w:color w:val="auto"/>
          <w:sz w:val="32"/>
          <w:szCs w:val="32"/>
        </w:rPr>
        <w:t>3.投标人的法人或者其他组织营业执照等证明文件（必须提供，自然人除外）；</w:t>
      </w:r>
    </w:p>
    <w:p w14:paraId="1A4CAEFB">
      <w:pPr>
        <w:tabs>
          <w:tab w:val="left" w:pos="1305"/>
        </w:tabs>
        <w:spacing w:line="380" w:lineRule="exact"/>
        <w:ind w:firstLine="422" w:firstLineChars="200"/>
        <w:rPr>
          <w:rFonts w:hint="eastAsia" w:ascii="宋体" w:hAnsi="宋体"/>
          <w:color w:val="auto"/>
          <w:szCs w:val="21"/>
        </w:rPr>
      </w:pPr>
      <w:r>
        <w:rPr>
          <w:rFonts w:hint="eastAsia" w:ascii="宋体" w:hAnsi="宋体"/>
          <w:b/>
          <w:color w:val="auto"/>
          <w:szCs w:val="21"/>
        </w:rPr>
        <w:t>注：投标人为企业（包括合伙企业），应提供工商部门注册的有效“企业法人营业执照”或“营业执照；投标人为事业单位，应提供有效的“事业单位法人证书”；投标人为非企业专业服务机构的，应提供执业许可证等证明文件；投标人为个体工商户，应提供有效的“个体工商户营业执照”。</w:t>
      </w:r>
    </w:p>
    <w:p w14:paraId="0AE18517">
      <w:pPr>
        <w:pStyle w:val="27"/>
        <w:spacing w:line="400" w:lineRule="exact"/>
        <w:rPr>
          <w:rFonts w:hint="eastAsia" w:hAnsi="宋体"/>
          <w:b/>
          <w:color w:val="auto"/>
          <w:sz w:val="32"/>
          <w:szCs w:val="32"/>
        </w:rPr>
      </w:pPr>
    </w:p>
    <w:p w14:paraId="08BB75C9">
      <w:pPr>
        <w:pStyle w:val="27"/>
        <w:spacing w:line="400" w:lineRule="exact"/>
        <w:rPr>
          <w:rFonts w:hint="eastAsia" w:hAnsi="宋体"/>
          <w:b/>
          <w:color w:val="auto"/>
          <w:sz w:val="32"/>
          <w:szCs w:val="32"/>
        </w:rPr>
      </w:pPr>
    </w:p>
    <w:p w14:paraId="1AA25CDD">
      <w:pPr>
        <w:pStyle w:val="27"/>
        <w:spacing w:line="400" w:lineRule="exact"/>
        <w:rPr>
          <w:rFonts w:hint="eastAsia" w:hAnsi="宋体"/>
          <w:b/>
          <w:color w:val="auto"/>
          <w:sz w:val="32"/>
          <w:szCs w:val="32"/>
        </w:rPr>
      </w:pPr>
    </w:p>
    <w:p w14:paraId="0E843E6E">
      <w:pPr>
        <w:pStyle w:val="27"/>
        <w:spacing w:line="400" w:lineRule="exact"/>
        <w:ind w:firstLine="630" w:firstLineChars="196"/>
        <w:rPr>
          <w:rFonts w:hint="eastAsia" w:hAnsi="宋体"/>
          <w:b/>
          <w:color w:val="auto"/>
          <w:sz w:val="32"/>
          <w:szCs w:val="32"/>
        </w:rPr>
      </w:pPr>
      <w:r>
        <w:rPr>
          <w:rFonts w:hint="eastAsia" w:hAnsi="宋体"/>
          <w:b/>
          <w:color w:val="auto"/>
          <w:sz w:val="32"/>
          <w:szCs w:val="32"/>
        </w:rPr>
        <w:t>4.投标人的投标人参加政府采购活动前3年内在经营活动中没有重大违法记录及有关信用信息的书面声明（格式见附件，必须提供）；</w:t>
      </w:r>
    </w:p>
    <w:p w14:paraId="025BBB83">
      <w:pPr>
        <w:pStyle w:val="27"/>
        <w:spacing w:line="400" w:lineRule="exact"/>
        <w:rPr>
          <w:rFonts w:hint="eastAsia" w:hAnsi="宋体"/>
          <w:b/>
          <w:color w:val="auto"/>
          <w:sz w:val="32"/>
          <w:szCs w:val="32"/>
        </w:rPr>
      </w:pPr>
    </w:p>
    <w:p w14:paraId="143530E3">
      <w:pPr>
        <w:pStyle w:val="27"/>
        <w:spacing w:line="400" w:lineRule="exact"/>
        <w:ind w:left="420" w:leftChars="200" w:firstLine="157" w:firstLineChars="49"/>
        <w:rPr>
          <w:rFonts w:hint="eastAsia" w:hAnsi="宋体"/>
          <w:b/>
          <w:color w:val="auto"/>
          <w:sz w:val="32"/>
          <w:szCs w:val="32"/>
        </w:rPr>
      </w:pPr>
      <w:r>
        <w:rPr>
          <w:rFonts w:hint="eastAsia" w:hAnsi="宋体"/>
          <w:b/>
          <w:color w:val="auto"/>
          <w:sz w:val="32"/>
          <w:szCs w:val="32"/>
        </w:rPr>
        <w:t xml:space="preserve">                       </w:t>
      </w:r>
    </w:p>
    <w:p w14:paraId="57A132F5">
      <w:pPr>
        <w:pStyle w:val="27"/>
        <w:spacing w:line="400" w:lineRule="exact"/>
        <w:jc w:val="left"/>
        <w:rPr>
          <w:rFonts w:hint="eastAsia" w:hAnsi="宋体"/>
          <w:b/>
          <w:color w:val="auto"/>
          <w:sz w:val="32"/>
          <w:szCs w:val="32"/>
        </w:rPr>
      </w:pPr>
      <w:r>
        <w:rPr>
          <w:rFonts w:hint="eastAsia" w:hAnsi="宋体"/>
          <w:b/>
          <w:color w:val="auto"/>
          <w:sz w:val="24"/>
          <w:szCs w:val="24"/>
        </w:rPr>
        <w:t xml:space="preserve">附件：                            </w:t>
      </w:r>
      <w:r>
        <w:rPr>
          <w:rFonts w:hint="eastAsia" w:hAnsi="宋体"/>
          <w:b/>
          <w:color w:val="auto"/>
          <w:sz w:val="32"/>
          <w:szCs w:val="32"/>
        </w:rPr>
        <w:t>声明函（格式）</w:t>
      </w:r>
    </w:p>
    <w:p w14:paraId="5E2CBE37">
      <w:pPr>
        <w:snapToGrid w:val="0"/>
        <w:spacing w:line="400" w:lineRule="exact"/>
        <w:rPr>
          <w:rFonts w:hint="eastAsia" w:ascii="宋体" w:hAnsi="宋体"/>
          <w:b/>
          <w:color w:val="auto"/>
          <w:szCs w:val="21"/>
        </w:rPr>
      </w:pPr>
    </w:p>
    <w:p w14:paraId="758A1C51">
      <w:pPr>
        <w:snapToGrid w:val="0"/>
        <w:spacing w:line="400" w:lineRule="exact"/>
        <w:rPr>
          <w:rFonts w:hint="eastAsia" w:ascii="宋体" w:hAnsi="宋体"/>
          <w:color w:val="auto"/>
        </w:rPr>
      </w:pPr>
      <w:r>
        <w:rPr>
          <w:rFonts w:hint="eastAsia" w:ascii="宋体" w:hAnsi="宋体"/>
          <w:b/>
          <w:color w:val="auto"/>
          <w:szCs w:val="21"/>
        </w:rPr>
        <w:t>致</w:t>
      </w:r>
      <w:r>
        <w:rPr>
          <w:rFonts w:hint="eastAsia" w:ascii="宋体" w:hAnsi="宋体"/>
          <w:color w:val="auto"/>
          <w:szCs w:val="21"/>
        </w:rPr>
        <w:t>：</w:t>
      </w:r>
      <w:r>
        <w:rPr>
          <w:rFonts w:hint="eastAsia" w:ascii="宋体" w:hAnsi="宋体"/>
          <w:color w:val="auto"/>
          <w:u w:val="single"/>
        </w:rPr>
        <w:t>×××××公司</w:t>
      </w:r>
    </w:p>
    <w:p w14:paraId="4E6D558C">
      <w:pPr>
        <w:snapToGrid w:val="0"/>
        <w:spacing w:line="400" w:lineRule="exact"/>
        <w:rPr>
          <w:rFonts w:hint="eastAsia" w:ascii="宋体" w:hAnsi="宋体"/>
          <w:color w:val="auto"/>
          <w:szCs w:val="21"/>
          <w:u w:val="single"/>
        </w:rPr>
      </w:pPr>
    </w:p>
    <w:p w14:paraId="5377BB18">
      <w:pPr>
        <w:pStyle w:val="27"/>
        <w:spacing w:line="380" w:lineRule="exact"/>
        <w:ind w:firstLine="420" w:firstLineChars="200"/>
        <w:rPr>
          <w:rFonts w:hint="eastAsia" w:hAnsi="宋体"/>
          <w:color w:val="auto"/>
        </w:rPr>
      </w:pPr>
      <w:r>
        <w:rPr>
          <w:rFonts w:hint="eastAsia" w:hAnsi="宋体"/>
          <w:color w:val="auto"/>
        </w:rPr>
        <w:t>我（公司）郑重声明：</w:t>
      </w:r>
    </w:p>
    <w:p w14:paraId="33515C64">
      <w:pPr>
        <w:pStyle w:val="27"/>
        <w:spacing w:line="380" w:lineRule="exact"/>
        <w:ind w:firstLine="420" w:firstLineChars="200"/>
        <w:rPr>
          <w:rFonts w:hint="eastAsia" w:hAnsi="宋体"/>
          <w:color w:val="auto"/>
        </w:rPr>
      </w:pPr>
      <w:r>
        <w:rPr>
          <w:rFonts w:hint="eastAsia" w:hAnsi="宋体"/>
          <w:color w:val="auto"/>
        </w:rPr>
        <w:t>1.在参加本项目政府采购活动前3年内在经营活动中没有重大违法记录（重大违法记录是指投标人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投标人资格条件。</w:t>
      </w:r>
    </w:p>
    <w:p w14:paraId="5352258B">
      <w:pPr>
        <w:pStyle w:val="27"/>
        <w:spacing w:line="380" w:lineRule="exact"/>
        <w:ind w:firstLine="420" w:firstLineChars="200"/>
        <w:rPr>
          <w:rFonts w:hint="eastAsia" w:hAnsi="宋体"/>
          <w:color w:val="auto"/>
        </w:rPr>
      </w:pPr>
      <w:r>
        <w:rPr>
          <w:rFonts w:hint="eastAsia" w:hAnsi="宋体"/>
          <w:color w:val="auto"/>
        </w:rPr>
        <w:t>2. 在参加本项目政府采购活动前不属于</w:t>
      </w:r>
      <w:r>
        <w:rPr>
          <w:rFonts w:hint="eastAsia" w:hAnsi="宋体" w:cs="Arial"/>
          <w:color w:val="auto"/>
        </w:rPr>
        <w:t>为本采购项目提供整体设计、规范编制或者项目管理、监理、检测等服务的投标人。</w:t>
      </w:r>
    </w:p>
    <w:p w14:paraId="11772EB3">
      <w:pPr>
        <w:pStyle w:val="27"/>
        <w:spacing w:line="380" w:lineRule="exact"/>
        <w:ind w:firstLine="420" w:firstLineChars="200"/>
        <w:rPr>
          <w:rFonts w:hint="eastAsia" w:hAnsi="宋体"/>
          <w:color w:val="auto"/>
        </w:rPr>
      </w:pPr>
      <w:r>
        <w:rPr>
          <w:rFonts w:hint="eastAsia" w:hAnsi="宋体"/>
          <w:color w:val="auto"/>
        </w:rPr>
        <w:t>我方对此声明负全部法律责任。</w:t>
      </w:r>
    </w:p>
    <w:p w14:paraId="24473D67">
      <w:pPr>
        <w:pStyle w:val="27"/>
        <w:spacing w:line="380" w:lineRule="exact"/>
        <w:rPr>
          <w:rFonts w:hint="eastAsia" w:hAnsi="宋体"/>
          <w:color w:val="auto"/>
        </w:rPr>
      </w:pPr>
    </w:p>
    <w:p w14:paraId="5C0B70FB">
      <w:pPr>
        <w:snapToGrid w:val="0"/>
        <w:spacing w:line="400" w:lineRule="exact"/>
        <w:ind w:firstLine="4515" w:firstLineChars="2150"/>
        <w:rPr>
          <w:rFonts w:hint="eastAsia" w:ascii="宋体" w:hAnsi="宋体"/>
          <w:color w:val="auto"/>
          <w:szCs w:val="21"/>
        </w:rPr>
      </w:pPr>
    </w:p>
    <w:p w14:paraId="3DFA41D9">
      <w:pPr>
        <w:pStyle w:val="232"/>
        <w:ind w:firstLine="480"/>
        <w:rPr>
          <w:rFonts w:hint="eastAsia" w:hAnsi="宋体"/>
          <w:color w:val="auto"/>
        </w:rPr>
      </w:pPr>
    </w:p>
    <w:p w14:paraId="44BCF48E">
      <w:pPr>
        <w:pStyle w:val="27"/>
        <w:spacing w:line="500" w:lineRule="exact"/>
        <w:ind w:firstLine="3339" w:firstLineChars="1590"/>
        <w:rPr>
          <w:rFonts w:hint="eastAsia" w:hAnsi="宋体"/>
          <w:color w:val="auto"/>
        </w:rPr>
      </w:pPr>
      <w:r>
        <w:rPr>
          <w:rFonts w:hint="eastAsia" w:hAnsi="宋体"/>
          <w:color w:val="auto"/>
        </w:rPr>
        <w:t>投标人名称（加盖CA证书签章，自然人除外）：</w:t>
      </w:r>
      <w:r>
        <w:rPr>
          <w:rFonts w:hint="eastAsia" w:hAnsi="宋体"/>
          <w:color w:val="auto"/>
          <w:u w:val="single"/>
        </w:rPr>
        <w:t xml:space="preserve">          ；                        </w:t>
      </w:r>
    </w:p>
    <w:p w14:paraId="1FFEB372">
      <w:pPr>
        <w:pStyle w:val="27"/>
        <w:spacing w:line="500" w:lineRule="exact"/>
        <w:ind w:firstLine="2551" w:firstLineChars="1215"/>
        <w:rPr>
          <w:rFonts w:hint="eastAsia" w:hAnsi="宋体" w:cs="宋体"/>
          <w:color w:val="auto"/>
        </w:rPr>
      </w:pPr>
      <w:r>
        <w:rPr>
          <w:rFonts w:hint="eastAsia" w:hAnsi="宋体"/>
          <w:color w:val="auto"/>
        </w:rPr>
        <w:t>法定代表人或负责人或自然人或相应的委托代理人签字（或加盖</w:t>
      </w:r>
      <w:r>
        <w:rPr>
          <w:rFonts w:hint="eastAsia" w:hAnsi="宋体" w:cs="宋体"/>
          <w:color w:val="auto"/>
        </w:rPr>
        <w:t>个人CA</w:t>
      </w:r>
    </w:p>
    <w:p w14:paraId="0936D750">
      <w:pPr>
        <w:pStyle w:val="27"/>
        <w:spacing w:line="500" w:lineRule="exact"/>
        <w:ind w:firstLine="3234" w:firstLineChars="1540"/>
        <w:rPr>
          <w:rFonts w:hint="eastAsia" w:hAnsi="宋体"/>
          <w:color w:val="auto"/>
        </w:rPr>
      </w:pPr>
      <w:r>
        <w:rPr>
          <w:rFonts w:hint="eastAsia" w:hAnsi="宋体" w:cs="宋体"/>
          <w:color w:val="auto"/>
        </w:rPr>
        <w:t>证书签章</w:t>
      </w:r>
      <w:r>
        <w:rPr>
          <w:rFonts w:hint="eastAsia" w:hAnsi="宋体"/>
          <w:color w:val="auto"/>
        </w:rPr>
        <w:t>）：</w:t>
      </w:r>
      <w:r>
        <w:rPr>
          <w:rFonts w:hint="eastAsia" w:hAnsi="宋体"/>
          <w:color w:val="auto"/>
          <w:u w:val="single"/>
        </w:rPr>
        <w:t xml:space="preserve">                 ；</w:t>
      </w:r>
    </w:p>
    <w:p w14:paraId="17EEC2B3">
      <w:pPr>
        <w:pStyle w:val="27"/>
        <w:spacing w:line="500" w:lineRule="exact"/>
        <w:ind w:firstLine="3360" w:firstLineChars="1600"/>
        <w:rPr>
          <w:rFonts w:hint="eastAsia" w:hAnsi="宋体"/>
          <w:bCs/>
          <w:color w:val="auto"/>
          <w:szCs w:val="21"/>
          <w:u w:val="single"/>
        </w:rPr>
      </w:pPr>
      <w:r>
        <w:rPr>
          <w:rFonts w:hint="eastAsia" w:hAnsi="宋体"/>
          <w:bCs/>
          <w:color w:val="auto"/>
          <w:szCs w:val="21"/>
        </w:rPr>
        <w:t>日期：</w:t>
      </w:r>
      <w:r>
        <w:rPr>
          <w:rFonts w:hint="eastAsia" w:hAnsi="宋体"/>
          <w:bCs/>
          <w:color w:val="auto"/>
          <w:szCs w:val="21"/>
          <w:u w:val="single"/>
        </w:rPr>
        <w:t xml:space="preserve">                      ；</w:t>
      </w:r>
    </w:p>
    <w:p w14:paraId="3DB00E11">
      <w:pPr>
        <w:spacing w:line="340" w:lineRule="exact"/>
        <w:ind w:firstLine="1890" w:firstLineChars="900"/>
        <w:rPr>
          <w:rFonts w:hint="eastAsia" w:ascii="宋体" w:hAnsi="宋体"/>
          <w:color w:val="auto"/>
          <w:szCs w:val="21"/>
          <w:u w:val="single"/>
        </w:rPr>
      </w:pPr>
      <w:r>
        <w:rPr>
          <w:rFonts w:hint="eastAsia" w:ascii="宋体" w:hAnsi="宋体"/>
          <w:color w:val="auto"/>
          <w:u w:val="single"/>
        </w:rPr>
        <w:t xml:space="preserve">                          </w:t>
      </w:r>
    </w:p>
    <w:p w14:paraId="26186F21">
      <w:pPr>
        <w:pStyle w:val="27"/>
        <w:spacing w:line="400" w:lineRule="exact"/>
        <w:ind w:firstLine="643" w:firstLineChars="200"/>
        <w:rPr>
          <w:rFonts w:hint="eastAsia" w:hAnsi="宋体"/>
          <w:b/>
          <w:color w:val="auto"/>
          <w:sz w:val="32"/>
          <w:szCs w:val="32"/>
        </w:rPr>
      </w:pPr>
      <w:r>
        <w:rPr>
          <w:rFonts w:hint="eastAsia" w:hAnsi="宋体"/>
          <w:b/>
          <w:color w:val="auto"/>
          <w:sz w:val="32"/>
          <w:szCs w:val="32"/>
        </w:rPr>
        <w:t>5、投标人2024年财务状况报告复印件或银行出具的资信证明复印件 (财务状况报告的内容应包括：资产负债表、利润表、现金流量表，三表缺一不可，三表可以是投标人自行编制或是第三方审计的；若投标人为新成立的企业，请根据实际情况提供。)(必须提供)；</w:t>
      </w:r>
    </w:p>
    <w:p w14:paraId="126C0D5F">
      <w:pPr>
        <w:snapToGrid w:val="0"/>
        <w:spacing w:line="360" w:lineRule="exact"/>
        <w:ind w:left="937" w:leftChars="196" w:hanging="525" w:hangingChars="250"/>
        <w:jc w:val="left"/>
        <w:rPr>
          <w:rFonts w:hint="eastAsia" w:ascii="宋体" w:hAnsi="宋体"/>
          <w:color w:val="auto"/>
        </w:rPr>
      </w:pPr>
    </w:p>
    <w:p w14:paraId="5649BAD2">
      <w:pPr>
        <w:tabs>
          <w:tab w:val="left" w:pos="864"/>
        </w:tabs>
        <w:rPr>
          <w:rFonts w:hint="eastAsia" w:ascii="宋体" w:hAnsi="宋体"/>
          <w:color w:val="auto"/>
        </w:rPr>
      </w:pPr>
    </w:p>
    <w:p w14:paraId="6590E4CD">
      <w:pPr>
        <w:rPr>
          <w:color w:val="auto"/>
        </w:rPr>
      </w:pPr>
    </w:p>
    <w:p w14:paraId="02A67680">
      <w:pPr>
        <w:snapToGrid w:val="0"/>
        <w:spacing w:line="360" w:lineRule="exact"/>
        <w:ind w:left="937" w:leftChars="196" w:hanging="525" w:hangingChars="250"/>
        <w:jc w:val="left"/>
        <w:rPr>
          <w:rFonts w:hint="eastAsia" w:ascii="宋体" w:hAnsi="宋体"/>
          <w:color w:val="auto"/>
        </w:rPr>
      </w:pPr>
    </w:p>
    <w:p w14:paraId="471CC0CD">
      <w:pPr>
        <w:tabs>
          <w:tab w:val="left" w:pos="1305"/>
        </w:tabs>
        <w:spacing w:line="380" w:lineRule="exact"/>
        <w:rPr>
          <w:rFonts w:hint="eastAsia" w:ascii="宋体" w:hAnsi="宋体"/>
          <w:color w:val="auto"/>
          <w:kern w:val="0"/>
        </w:rPr>
      </w:pPr>
      <w:bookmarkStart w:id="44" w:name="_Toc90288712"/>
    </w:p>
    <w:p w14:paraId="351D4A13">
      <w:pPr>
        <w:rPr>
          <w:rFonts w:hint="eastAsia" w:ascii="宋体" w:hAnsi="宋体"/>
          <w:b/>
          <w:color w:val="auto"/>
          <w:spacing w:val="6"/>
          <w:sz w:val="32"/>
          <w:szCs w:val="32"/>
        </w:rPr>
      </w:pPr>
    </w:p>
    <w:p w14:paraId="3FAF7DF7">
      <w:pPr>
        <w:tabs>
          <w:tab w:val="left" w:pos="1305"/>
        </w:tabs>
        <w:spacing w:line="380" w:lineRule="exact"/>
        <w:ind w:firstLine="667" w:firstLineChars="200"/>
        <w:jc w:val="left"/>
        <w:rPr>
          <w:rFonts w:hint="eastAsia" w:ascii="宋体" w:hAnsi="宋体" w:cs="宋体"/>
          <w:color w:val="auto"/>
          <w:kern w:val="0"/>
        </w:rPr>
      </w:pPr>
      <w:r>
        <w:rPr>
          <w:rFonts w:hint="eastAsia" w:ascii="宋体" w:hAnsi="宋体"/>
          <w:b/>
          <w:color w:val="auto"/>
          <w:spacing w:val="6"/>
          <w:sz w:val="32"/>
          <w:szCs w:val="32"/>
        </w:rPr>
        <w:t>6、投标人截止开标时间前近半年内任意一个月或任一季度依法缴纳税收的证明材料【增值税发票(税收完税证明)或企业所得税完税证明或税务部门出具的免税证明】复印件（必须提供）；</w:t>
      </w:r>
    </w:p>
    <w:p w14:paraId="4A803603">
      <w:pPr>
        <w:tabs>
          <w:tab w:val="left" w:pos="1305"/>
        </w:tabs>
        <w:spacing w:line="380" w:lineRule="exact"/>
        <w:ind w:firstLine="420" w:firstLineChars="200"/>
        <w:jc w:val="left"/>
        <w:rPr>
          <w:rFonts w:hint="eastAsia" w:ascii="宋体" w:hAnsi="宋体" w:cs="宋体"/>
          <w:color w:val="auto"/>
          <w:kern w:val="0"/>
        </w:rPr>
      </w:pPr>
    </w:p>
    <w:p w14:paraId="33A4DD4B">
      <w:pPr>
        <w:rPr>
          <w:rFonts w:hint="eastAsia" w:ascii="宋体" w:hAnsi="宋体"/>
          <w:b/>
          <w:color w:val="auto"/>
          <w:spacing w:val="6"/>
          <w:sz w:val="32"/>
          <w:szCs w:val="32"/>
        </w:rPr>
      </w:pPr>
    </w:p>
    <w:p w14:paraId="56CA55AB">
      <w:pPr>
        <w:tabs>
          <w:tab w:val="left" w:pos="1305"/>
        </w:tabs>
        <w:spacing w:line="380" w:lineRule="exact"/>
        <w:ind w:firstLine="667" w:firstLineChars="200"/>
        <w:jc w:val="left"/>
        <w:rPr>
          <w:rFonts w:hint="eastAsia" w:ascii="宋体" w:hAnsi="宋体"/>
          <w:b/>
          <w:color w:val="auto"/>
          <w:spacing w:val="6"/>
          <w:sz w:val="32"/>
          <w:szCs w:val="32"/>
        </w:rPr>
      </w:pPr>
    </w:p>
    <w:p w14:paraId="2B456FA4">
      <w:pPr>
        <w:tabs>
          <w:tab w:val="left" w:pos="1305"/>
        </w:tabs>
        <w:spacing w:line="380" w:lineRule="exact"/>
        <w:ind w:firstLine="667" w:firstLineChars="200"/>
        <w:jc w:val="left"/>
        <w:rPr>
          <w:rFonts w:hint="eastAsia" w:ascii="宋体" w:hAnsi="宋体"/>
          <w:b/>
          <w:color w:val="auto"/>
          <w:spacing w:val="6"/>
          <w:sz w:val="32"/>
          <w:szCs w:val="32"/>
        </w:rPr>
      </w:pPr>
    </w:p>
    <w:p w14:paraId="21D8BD59">
      <w:pPr>
        <w:rPr>
          <w:rFonts w:hint="eastAsia" w:ascii="宋体" w:hAnsi="宋体"/>
          <w:b/>
          <w:color w:val="auto"/>
          <w:spacing w:val="6"/>
          <w:sz w:val="32"/>
          <w:szCs w:val="32"/>
        </w:rPr>
      </w:pPr>
      <w:r>
        <w:rPr>
          <w:rFonts w:hint="eastAsia" w:ascii="宋体" w:hAnsi="宋体"/>
          <w:b/>
          <w:color w:val="auto"/>
          <w:spacing w:val="6"/>
          <w:sz w:val="32"/>
          <w:szCs w:val="32"/>
        </w:rPr>
        <w:br w:type="page"/>
      </w:r>
    </w:p>
    <w:p w14:paraId="12E4BFD9">
      <w:pPr>
        <w:pStyle w:val="2"/>
        <w:spacing w:before="480"/>
        <w:rPr>
          <w:rFonts w:hint="eastAsia" w:ascii="宋体" w:hAnsi="宋体"/>
          <w:b/>
          <w:color w:val="auto"/>
        </w:rPr>
      </w:pPr>
      <w:r>
        <w:rPr>
          <w:rFonts w:hint="eastAsia" w:ascii="宋体" w:hAnsi="宋体"/>
          <w:b/>
          <w:color w:val="auto"/>
        </w:rPr>
        <w:t>三、商务、技术性响应及其他有效证明材料（格式）</w:t>
      </w:r>
      <w:bookmarkEnd w:id="44"/>
    </w:p>
    <w:p w14:paraId="6CA0AA5E">
      <w:pPr>
        <w:pStyle w:val="27"/>
        <w:spacing w:line="400" w:lineRule="exact"/>
        <w:ind w:left="420" w:firstLine="643"/>
        <w:rPr>
          <w:rFonts w:hint="eastAsia" w:hAnsi="宋体"/>
          <w:b/>
          <w:color w:val="auto"/>
          <w:sz w:val="32"/>
          <w:szCs w:val="32"/>
        </w:rPr>
      </w:pPr>
    </w:p>
    <w:p w14:paraId="6AB4BD60">
      <w:pPr>
        <w:pStyle w:val="27"/>
        <w:spacing w:line="400" w:lineRule="exact"/>
        <w:ind w:left="420" w:firstLine="643"/>
        <w:rPr>
          <w:rFonts w:hint="eastAsia" w:hAnsi="宋体"/>
          <w:b/>
          <w:color w:val="auto"/>
          <w:sz w:val="32"/>
          <w:szCs w:val="32"/>
        </w:rPr>
      </w:pPr>
      <w:r>
        <w:rPr>
          <w:rFonts w:hint="eastAsia" w:hAnsi="宋体"/>
          <w:b/>
          <w:color w:val="auto"/>
          <w:sz w:val="32"/>
          <w:szCs w:val="32"/>
        </w:rPr>
        <w:t>1.</w:t>
      </w:r>
      <w:r>
        <w:rPr>
          <w:rFonts w:hint="eastAsia" w:hAnsi="宋体"/>
          <w:color w:val="auto"/>
        </w:rPr>
        <w:t xml:space="preserve"> </w:t>
      </w:r>
      <w:r>
        <w:rPr>
          <w:rFonts w:hint="eastAsia" w:hAnsi="宋体"/>
          <w:b/>
          <w:color w:val="auto"/>
          <w:sz w:val="32"/>
          <w:szCs w:val="32"/>
        </w:rPr>
        <w:t>技术规格响应偏离表（必须提供）</w:t>
      </w:r>
    </w:p>
    <w:p w14:paraId="32D1F500">
      <w:pPr>
        <w:pStyle w:val="27"/>
        <w:ind w:firstLine="354" w:firstLineChars="147"/>
        <w:rPr>
          <w:rFonts w:hint="eastAsia" w:hAnsi="宋体"/>
          <w:b/>
          <w:color w:val="auto"/>
          <w:sz w:val="24"/>
          <w:szCs w:val="24"/>
        </w:rPr>
      </w:pPr>
    </w:p>
    <w:p w14:paraId="3BB0D4C5">
      <w:pPr>
        <w:pStyle w:val="27"/>
        <w:ind w:firstLine="354" w:firstLineChars="147"/>
        <w:rPr>
          <w:rFonts w:hint="eastAsia" w:hAnsi="宋体"/>
          <w:b/>
          <w:color w:val="auto"/>
          <w:sz w:val="24"/>
          <w:szCs w:val="24"/>
        </w:rPr>
      </w:pPr>
      <w:r>
        <w:rPr>
          <w:rFonts w:hint="eastAsia" w:hAnsi="宋体"/>
          <w:b/>
          <w:color w:val="auto"/>
          <w:sz w:val="24"/>
          <w:szCs w:val="24"/>
        </w:rPr>
        <w:t xml:space="preserve">附件：            </w:t>
      </w:r>
    </w:p>
    <w:p w14:paraId="09DF6642">
      <w:pPr>
        <w:pStyle w:val="27"/>
        <w:ind w:firstLine="472" w:firstLineChars="147"/>
        <w:jc w:val="center"/>
        <w:rPr>
          <w:rFonts w:hint="eastAsia" w:hAnsi="宋体"/>
          <w:b/>
          <w:bCs/>
          <w:color w:val="auto"/>
          <w:sz w:val="32"/>
        </w:rPr>
      </w:pPr>
      <w:r>
        <w:rPr>
          <w:rFonts w:hint="eastAsia" w:hAnsi="宋体"/>
          <w:b/>
          <w:bCs/>
          <w:color w:val="auto"/>
          <w:sz w:val="32"/>
        </w:rPr>
        <w:t>技术规格响应偏离表（格式）</w:t>
      </w:r>
    </w:p>
    <w:p w14:paraId="5A62998A">
      <w:pPr>
        <w:pStyle w:val="27"/>
        <w:jc w:val="left"/>
        <w:rPr>
          <w:rFonts w:hint="eastAsia" w:hAnsi="宋体"/>
          <w:b/>
          <w:bCs/>
          <w:color w:val="auto"/>
          <w:szCs w:val="21"/>
        </w:rPr>
      </w:pP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766"/>
        <w:gridCol w:w="3022"/>
        <w:gridCol w:w="2264"/>
        <w:gridCol w:w="1822"/>
      </w:tblGrid>
      <w:tr w14:paraId="19441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654" w:type="dxa"/>
            <w:vAlign w:val="center"/>
          </w:tcPr>
          <w:p w14:paraId="13A91961">
            <w:pPr>
              <w:pStyle w:val="27"/>
              <w:spacing w:line="360" w:lineRule="exact"/>
              <w:jc w:val="center"/>
              <w:rPr>
                <w:rFonts w:hint="eastAsia" w:hAnsi="宋体"/>
                <w:color w:val="auto"/>
                <w:szCs w:val="24"/>
              </w:rPr>
            </w:pPr>
            <w:r>
              <w:rPr>
                <w:rFonts w:hint="eastAsia" w:hAnsi="宋体"/>
                <w:color w:val="auto"/>
                <w:szCs w:val="24"/>
              </w:rPr>
              <w:t>项号</w:t>
            </w:r>
          </w:p>
        </w:tc>
        <w:tc>
          <w:tcPr>
            <w:tcW w:w="1766" w:type="dxa"/>
            <w:vAlign w:val="center"/>
          </w:tcPr>
          <w:p w14:paraId="593F5456">
            <w:pPr>
              <w:pStyle w:val="27"/>
              <w:spacing w:line="360" w:lineRule="exact"/>
              <w:jc w:val="center"/>
              <w:rPr>
                <w:rFonts w:hint="eastAsia" w:hAnsi="宋体"/>
                <w:color w:val="auto"/>
                <w:szCs w:val="24"/>
              </w:rPr>
            </w:pPr>
            <w:r>
              <w:rPr>
                <w:rFonts w:hint="eastAsia" w:hAnsi="宋体"/>
                <w:color w:val="auto"/>
                <w:szCs w:val="24"/>
              </w:rPr>
              <w:t>货物名称</w:t>
            </w:r>
          </w:p>
        </w:tc>
        <w:tc>
          <w:tcPr>
            <w:tcW w:w="3022" w:type="dxa"/>
            <w:vAlign w:val="center"/>
          </w:tcPr>
          <w:p w14:paraId="6D9346A0">
            <w:pPr>
              <w:pStyle w:val="27"/>
              <w:spacing w:line="360" w:lineRule="exact"/>
              <w:jc w:val="center"/>
              <w:rPr>
                <w:rFonts w:hint="eastAsia" w:hAnsi="宋体"/>
                <w:color w:val="auto"/>
                <w:szCs w:val="24"/>
              </w:rPr>
            </w:pPr>
            <w:r>
              <w:rPr>
                <w:rFonts w:hint="eastAsia" w:hAnsi="宋体"/>
                <w:color w:val="auto"/>
                <w:szCs w:val="24"/>
              </w:rPr>
              <w:t>招标采购需求（</w:t>
            </w:r>
            <w:r>
              <w:rPr>
                <w:rFonts w:hint="eastAsia" w:hAnsi="宋体" w:cs="宋体"/>
                <w:b/>
                <w:color w:val="auto"/>
                <w:szCs w:val="21"/>
              </w:rPr>
              <w:t>技术参数要求）</w:t>
            </w:r>
          </w:p>
        </w:tc>
        <w:tc>
          <w:tcPr>
            <w:tcW w:w="2264" w:type="dxa"/>
            <w:vAlign w:val="center"/>
          </w:tcPr>
          <w:p w14:paraId="46094ABB">
            <w:pPr>
              <w:pStyle w:val="27"/>
              <w:spacing w:line="360" w:lineRule="exact"/>
              <w:jc w:val="center"/>
              <w:rPr>
                <w:rFonts w:hint="eastAsia" w:hAnsi="宋体"/>
                <w:color w:val="auto"/>
                <w:szCs w:val="24"/>
              </w:rPr>
            </w:pPr>
            <w:r>
              <w:rPr>
                <w:rFonts w:hint="eastAsia" w:hAnsi="宋体"/>
                <w:color w:val="auto"/>
                <w:szCs w:val="24"/>
              </w:rPr>
              <w:t>投标文件的响应情况</w:t>
            </w:r>
          </w:p>
        </w:tc>
        <w:tc>
          <w:tcPr>
            <w:tcW w:w="1822" w:type="dxa"/>
            <w:vAlign w:val="center"/>
          </w:tcPr>
          <w:p w14:paraId="6D84C345">
            <w:pPr>
              <w:pStyle w:val="27"/>
              <w:spacing w:line="360" w:lineRule="exact"/>
              <w:jc w:val="center"/>
              <w:rPr>
                <w:rFonts w:hint="eastAsia" w:hAnsi="宋体"/>
                <w:color w:val="auto"/>
                <w:szCs w:val="24"/>
              </w:rPr>
            </w:pPr>
            <w:r>
              <w:rPr>
                <w:rFonts w:hint="eastAsia" w:hAnsi="宋体"/>
                <w:color w:val="auto"/>
                <w:szCs w:val="24"/>
              </w:rPr>
              <w:t>响应偏离情况</w:t>
            </w:r>
          </w:p>
        </w:tc>
      </w:tr>
      <w:tr w14:paraId="42ECA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654" w:type="dxa"/>
            <w:vAlign w:val="center"/>
          </w:tcPr>
          <w:p w14:paraId="645A254C">
            <w:pPr>
              <w:pStyle w:val="27"/>
              <w:spacing w:line="360" w:lineRule="exact"/>
              <w:jc w:val="center"/>
              <w:rPr>
                <w:rFonts w:hint="eastAsia" w:hAnsi="宋体"/>
                <w:color w:val="auto"/>
                <w:szCs w:val="24"/>
              </w:rPr>
            </w:pPr>
            <w:r>
              <w:rPr>
                <w:rFonts w:hint="eastAsia" w:hAnsi="宋体"/>
                <w:color w:val="auto"/>
                <w:szCs w:val="24"/>
              </w:rPr>
              <w:t>1</w:t>
            </w:r>
          </w:p>
        </w:tc>
        <w:tc>
          <w:tcPr>
            <w:tcW w:w="1766" w:type="dxa"/>
            <w:vAlign w:val="center"/>
          </w:tcPr>
          <w:p w14:paraId="7155B843">
            <w:pPr>
              <w:pStyle w:val="27"/>
              <w:spacing w:line="360" w:lineRule="exact"/>
              <w:jc w:val="center"/>
              <w:rPr>
                <w:rFonts w:hint="eastAsia" w:hAnsi="宋体"/>
                <w:color w:val="auto"/>
                <w:szCs w:val="24"/>
              </w:rPr>
            </w:pPr>
          </w:p>
        </w:tc>
        <w:tc>
          <w:tcPr>
            <w:tcW w:w="3022" w:type="dxa"/>
            <w:vAlign w:val="center"/>
          </w:tcPr>
          <w:p w14:paraId="008AD283">
            <w:pPr>
              <w:pStyle w:val="27"/>
              <w:spacing w:line="360" w:lineRule="exact"/>
              <w:jc w:val="center"/>
              <w:rPr>
                <w:rFonts w:hint="eastAsia" w:hAnsi="宋体"/>
                <w:color w:val="auto"/>
                <w:szCs w:val="24"/>
              </w:rPr>
            </w:pPr>
          </w:p>
        </w:tc>
        <w:tc>
          <w:tcPr>
            <w:tcW w:w="2264" w:type="dxa"/>
            <w:vAlign w:val="center"/>
          </w:tcPr>
          <w:p w14:paraId="68BA9BEB">
            <w:pPr>
              <w:pStyle w:val="27"/>
              <w:spacing w:line="360" w:lineRule="exact"/>
              <w:jc w:val="center"/>
              <w:rPr>
                <w:rFonts w:hint="eastAsia" w:hAnsi="宋体"/>
                <w:color w:val="auto"/>
                <w:szCs w:val="24"/>
              </w:rPr>
            </w:pPr>
          </w:p>
        </w:tc>
        <w:tc>
          <w:tcPr>
            <w:tcW w:w="1822" w:type="dxa"/>
            <w:vAlign w:val="center"/>
          </w:tcPr>
          <w:p w14:paraId="59FC6647">
            <w:pPr>
              <w:pStyle w:val="27"/>
              <w:spacing w:line="360" w:lineRule="exact"/>
              <w:jc w:val="center"/>
              <w:rPr>
                <w:rFonts w:hint="eastAsia" w:hAnsi="宋体"/>
                <w:color w:val="auto"/>
                <w:szCs w:val="24"/>
              </w:rPr>
            </w:pPr>
          </w:p>
        </w:tc>
      </w:tr>
      <w:tr w14:paraId="2DB14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654" w:type="dxa"/>
            <w:vAlign w:val="center"/>
          </w:tcPr>
          <w:p w14:paraId="0C4D42A2">
            <w:pPr>
              <w:pStyle w:val="27"/>
              <w:spacing w:line="360" w:lineRule="exact"/>
              <w:jc w:val="center"/>
              <w:rPr>
                <w:rFonts w:hint="eastAsia" w:hAnsi="宋体"/>
                <w:color w:val="auto"/>
                <w:szCs w:val="24"/>
              </w:rPr>
            </w:pPr>
            <w:r>
              <w:rPr>
                <w:rFonts w:hint="eastAsia" w:hAnsi="宋体"/>
                <w:color w:val="auto"/>
                <w:szCs w:val="24"/>
              </w:rPr>
              <w:t>2</w:t>
            </w:r>
          </w:p>
        </w:tc>
        <w:tc>
          <w:tcPr>
            <w:tcW w:w="1766" w:type="dxa"/>
            <w:vAlign w:val="center"/>
          </w:tcPr>
          <w:p w14:paraId="0B01F65B">
            <w:pPr>
              <w:pStyle w:val="27"/>
              <w:spacing w:line="360" w:lineRule="exact"/>
              <w:jc w:val="center"/>
              <w:rPr>
                <w:rFonts w:hint="eastAsia" w:hAnsi="宋体"/>
                <w:color w:val="auto"/>
                <w:szCs w:val="24"/>
              </w:rPr>
            </w:pPr>
          </w:p>
        </w:tc>
        <w:tc>
          <w:tcPr>
            <w:tcW w:w="3022" w:type="dxa"/>
            <w:vAlign w:val="center"/>
          </w:tcPr>
          <w:p w14:paraId="6554A8B2">
            <w:pPr>
              <w:pStyle w:val="27"/>
              <w:spacing w:line="360" w:lineRule="exact"/>
              <w:jc w:val="center"/>
              <w:rPr>
                <w:rFonts w:hint="eastAsia" w:hAnsi="宋体"/>
                <w:color w:val="auto"/>
                <w:szCs w:val="24"/>
              </w:rPr>
            </w:pPr>
          </w:p>
        </w:tc>
        <w:tc>
          <w:tcPr>
            <w:tcW w:w="2264" w:type="dxa"/>
            <w:vAlign w:val="center"/>
          </w:tcPr>
          <w:p w14:paraId="7BD891DF">
            <w:pPr>
              <w:pStyle w:val="27"/>
              <w:spacing w:line="360" w:lineRule="exact"/>
              <w:jc w:val="center"/>
              <w:rPr>
                <w:rFonts w:hint="eastAsia" w:hAnsi="宋体"/>
                <w:color w:val="auto"/>
                <w:szCs w:val="24"/>
              </w:rPr>
            </w:pPr>
          </w:p>
        </w:tc>
        <w:tc>
          <w:tcPr>
            <w:tcW w:w="1822" w:type="dxa"/>
            <w:vAlign w:val="center"/>
          </w:tcPr>
          <w:p w14:paraId="3E6116B7">
            <w:pPr>
              <w:pStyle w:val="27"/>
              <w:spacing w:line="360" w:lineRule="exact"/>
              <w:jc w:val="center"/>
              <w:rPr>
                <w:rFonts w:hint="eastAsia" w:hAnsi="宋体"/>
                <w:color w:val="auto"/>
                <w:szCs w:val="24"/>
              </w:rPr>
            </w:pPr>
          </w:p>
        </w:tc>
      </w:tr>
      <w:tr w14:paraId="76BB6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654" w:type="dxa"/>
            <w:vAlign w:val="center"/>
          </w:tcPr>
          <w:p w14:paraId="057CC51E">
            <w:pPr>
              <w:pStyle w:val="27"/>
              <w:spacing w:line="360" w:lineRule="exact"/>
              <w:jc w:val="center"/>
              <w:rPr>
                <w:rFonts w:hint="eastAsia" w:hAnsi="宋体"/>
                <w:color w:val="auto"/>
                <w:szCs w:val="24"/>
              </w:rPr>
            </w:pPr>
            <w:r>
              <w:rPr>
                <w:rFonts w:hint="eastAsia" w:hAnsi="宋体"/>
                <w:color w:val="auto"/>
                <w:szCs w:val="24"/>
              </w:rPr>
              <w:t>3</w:t>
            </w:r>
          </w:p>
        </w:tc>
        <w:tc>
          <w:tcPr>
            <w:tcW w:w="1766" w:type="dxa"/>
            <w:vAlign w:val="center"/>
          </w:tcPr>
          <w:p w14:paraId="1EA2D283">
            <w:pPr>
              <w:pStyle w:val="27"/>
              <w:spacing w:line="360" w:lineRule="exact"/>
              <w:jc w:val="center"/>
              <w:rPr>
                <w:rFonts w:hint="eastAsia" w:hAnsi="宋体" w:cs="宋体"/>
                <w:bCs/>
                <w:color w:val="auto"/>
                <w:szCs w:val="21"/>
              </w:rPr>
            </w:pPr>
          </w:p>
        </w:tc>
        <w:tc>
          <w:tcPr>
            <w:tcW w:w="3022" w:type="dxa"/>
            <w:vAlign w:val="center"/>
          </w:tcPr>
          <w:p w14:paraId="6772B16C">
            <w:pPr>
              <w:pStyle w:val="27"/>
              <w:spacing w:line="360" w:lineRule="exact"/>
              <w:jc w:val="center"/>
              <w:rPr>
                <w:rFonts w:hint="eastAsia" w:hAnsi="宋体"/>
                <w:color w:val="auto"/>
                <w:szCs w:val="24"/>
              </w:rPr>
            </w:pPr>
          </w:p>
        </w:tc>
        <w:tc>
          <w:tcPr>
            <w:tcW w:w="2264" w:type="dxa"/>
            <w:vAlign w:val="center"/>
          </w:tcPr>
          <w:p w14:paraId="360D612A">
            <w:pPr>
              <w:pStyle w:val="27"/>
              <w:spacing w:line="360" w:lineRule="exact"/>
              <w:jc w:val="center"/>
              <w:rPr>
                <w:rFonts w:hint="eastAsia" w:hAnsi="宋体"/>
                <w:color w:val="auto"/>
                <w:szCs w:val="24"/>
              </w:rPr>
            </w:pPr>
          </w:p>
        </w:tc>
        <w:tc>
          <w:tcPr>
            <w:tcW w:w="1822" w:type="dxa"/>
            <w:vAlign w:val="center"/>
          </w:tcPr>
          <w:p w14:paraId="3A55556F">
            <w:pPr>
              <w:pStyle w:val="27"/>
              <w:spacing w:line="360" w:lineRule="exact"/>
              <w:jc w:val="center"/>
              <w:rPr>
                <w:rFonts w:hint="eastAsia" w:hAnsi="宋体"/>
                <w:color w:val="auto"/>
                <w:szCs w:val="24"/>
              </w:rPr>
            </w:pPr>
          </w:p>
        </w:tc>
      </w:tr>
      <w:tr w14:paraId="7C5DC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654" w:type="dxa"/>
          </w:tcPr>
          <w:p w14:paraId="0D761FFC">
            <w:pPr>
              <w:pStyle w:val="27"/>
              <w:spacing w:line="360" w:lineRule="exact"/>
              <w:jc w:val="center"/>
              <w:rPr>
                <w:rFonts w:hint="eastAsia" w:hAnsi="宋体"/>
                <w:color w:val="auto"/>
                <w:szCs w:val="24"/>
              </w:rPr>
            </w:pPr>
            <w:r>
              <w:rPr>
                <w:rFonts w:hint="eastAsia" w:hAnsi="宋体"/>
                <w:color w:val="auto"/>
                <w:szCs w:val="24"/>
              </w:rPr>
              <w:t>…</w:t>
            </w:r>
          </w:p>
        </w:tc>
        <w:tc>
          <w:tcPr>
            <w:tcW w:w="1766" w:type="dxa"/>
            <w:vAlign w:val="center"/>
          </w:tcPr>
          <w:p w14:paraId="07B5BBD3">
            <w:pPr>
              <w:pStyle w:val="27"/>
              <w:spacing w:line="360" w:lineRule="exact"/>
              <w:jc w:val="center"/>
              <w:rPr>
                <w:rFonts w:hint="eastAsia" w:hAnsi="宋体"/>
                <w:color w:val="auto"/>
                <w:szCs w:val="24"/>
              </w:rPr>
            </w:pPr>
          </w:p>
        </w:tc>
        <w:tc>
          <w:tcPr>
            <w:tcW w:w="3022" w:type="dxa"/>
            <w:vAlign w:val="center"/>
          </w:tcPr>
          <w:p w14:paraId="61F346BF">
            <w:pPr>
              <w:pStyle w:val="27"/>
              <w:spacing w:line="360" w:lineRule="exact"/>
              <w:jc w:val="center"/>
              <w:rPr>
                <w:rFonts w:hint="eastAsia" w:hAnsi="宋体"/>
                <w:color w:val="auto"/>
                <w:szCs w:val="24"/>
              </w:rPr>
            </w:pPr>
          </w:p>
        </w:tc>
        <w:tc>
          <w:tcPr>
            <w:tcW w:w="2264" w:type="dxa"/>
            <w:vAlign w:val="center"/>
          </w:tcPr>
          <w:p w14:paraId="4CEDF6F6">
            <w:pPr>
              <w:pStyle w:val="27"/>
              <w:spacing w:line="360" w:lineRule="exact"/>
              <w:jc w:val="center"/>
              <w:rPr>
                <w:rFonts w:hint="eastAsia" w:hAnsi="宋体"/>
                <w:color w:val="auto"/>
                <w:szCs w:val="24"/>
              </w:rPr>
            </w:pPr>
          </w:p>
        </w:tc>
        <w:tc>
          <w:tcPr>
            <w:tcW w:w="1822" w:type="dxa"/>
            <w:vAlign w:val="center"/>
          </w:tcPr>
          <w:p w14:paraId="60281295">
            <w:pPr>
              <w:pStyle w:val="27"/>
              <w:spacing w:line="360" w:lineRule="exact"/>
              <w:jc w:val="center"/>
              <w:rPr>
                <w:rFonts w:hint="eastAsia" w:hAnsi="宋体"/>
                <w:color w:val="auto"/>
                <w:szCs w:val="24"/>
              </w:rPr>
            </w:pPr>
          </w:p>
        </w:tc>
      </w:tr>
    </w:tbl>
    <w:p w14:paraId="34DFDA51">
      <w:pPr>
        <w:pStyle w:val="27"/>
        <w:rPr>
          <w:rFonts w:hint="eastAsia" w:hAnsi="宋体"/>
          <w:color w:val="auto"/>
        </w:rPr>
      </w:pPr>
    </w:p>
    <w:p w14:paraId="0AC716B1">
      <w:pPr>
        <w:pStyle w:val="27"/>
        <w:ind w:firstLine="3465" w:firstLineChars="1650"/>
        <w:rPr>
          <w:rFonts w:hint="eastAsia" w:hAnsi="宋体"/>
          <w:color w:val="auto"/>
        </w:rPr>
      </w:pPr>
    </w:p>
    <w:p w14:paraId="12BE3FCC">
      <w:pPr>
        <w:pStyle w:val="27"/>
        <w:ind w:firstLine="3465" w:firstLineChars="1650"/>
        <w:rPr>
          <w:rFonts w:hint="eastAsia" w:hAnsi="宋体"/>
          <w:color w:val="auto"/>
        </w:rPr>
      </w:pPr>
    </w:p>
    <w:p w14:paraId="27A23121">
      <w:pPr>
        <w:pStyle w:val="27"/>
        <w:spacing w:line="500" w:lineRule="exact"/>
        <w:ind w:firstLine="3339" w:firstLineChars="1590"/>
        <w:rPr>
          <w:rFonts w:hint="eastAsia" w:hAnsi="宋体"/>
          <w:color w:val="auto"/>
        </w:rPr>
      </w:pPr>
      <w:r>
        <w:rPr>
          <w:rFonts w:hint="eastAsia" w:hAnsi="宋体"/>
          <w:color w:val="auto"/>
        </w:rPr>
        <w:t>投标人名称（加盖CA证书签章，自然人除外）：</w:t>
      </w:r>
      <w:r>
        <w:rPr>
          <w:rFonts w:hint="eastAsia" w:hAnsi="宋体"/>
          <w:color w:val="auto"/>
          <w:u w:val="single"/>
        </w:rPr>
        <w:t xml:space="preserve">          ；                        </w:t>
      </w:r>
    </w:p>
    <w:p w14:paraId="1443856D">
      <w:pPr>
        <w:pStyle w:val="27"/>
        <w:spacing w:line="500" w:lineRule="exact"/>
        <w:ind w:firstLine="2814" w:firstLineChars="1340"/>
        <w:jc w:val="center"/>
        <w:rPr>
          <w:rFonts w:hint="eastAsia" w:hAnsi="宋体"/>
          <w:color w:val="auto"/>
        </w:rPr>
      </w:pPr>
      <w:r>
        <w:rPr>
          <w:rFonts w:hint="eastAsia" w:hAnsi="宋体"/>
          <w:color w:val="auto"/>
        </w:rPr>
        <w:t>法定代表人或负责人或自然人或相应的委托代理人签字（或加盖</w:t>
      </w:r>
      <w:r>
        <w:rPr>
          <w:rFonts w:hint="eastAsia" w:hAnsi="宋体" w:cs="宋体"/>
          <w:color w:val="auto"/>
        </w:rPr>
        <w:t>个人CA证书签章</w:t>
      </w:r>
      <w:r>
        <w:rPr>
          <w:rFonts w:hint="eastAsia" w:hAnsi="宋体"/>
          <w:color w:val="auto"/>
        </w:rPr>
        <w:t>）：</w:t>
      </w:r>
      <w:r>
        <w:rPr>
          <w:rFonts w:hint="eastAsia" w:hAnsi="宋体"/>
          <w:color w:val="auto"/>
          <w:u w:val="single"/>
        </w:rPr>
        <w:t xml:space="preserve">                 ；</w:t>
      </w:r>
    </w:p>
    <w:p w14:paraId="7D62502E">
      <w:pPr>
        <w:pStyle w:val="27"/>
        <w:spacing w:line="500" w:lineRule="exact"/>
        <w:ind w:firstLine="3255" w:firstLineChars="1550"/>
        <w:rPr>
          <w:rFonts w:hint="eastAsia" w:hAnsi="宋体"/>
          <w:bCs/>
          <w:color w:val="auto"/>
          <w:szCs w:val="21"/>
          <w:u w:val="single"/>
        </w:rPr>
      </w:pPr>
      <w:r>
        <w:rPr>
          <w:rFonts w:hint="eastAsia" w:hAnsi="宋体"/>
          <w:bCs/>
          <w:color w:val="auto"/>
          <w:szCs w:val="21"/>
        </w:rPr>
        <w:t xml:space="preserve"> 日期：</w:t>
      </w:r>
      <w:r>
        <w:rPr>
          <w:rFonts w:hint="eastAsia" w:hAnsi="宋体"/>
          <w:bCs/>
          <w:color w:val="auto"/>
          <w:szCs w:val="21"/>
          <w:u w:val="single"/>
        </w:rPr>
        <w:t xml:space="preserve">                      ；</w:t>
      </w:r>
    </w:p>
    <w:p w14:paraId="3FAAEDA5">
      <w:pPr>
        <w:pStyle w:val="27"/>
        <w:spacing w:line="360" w:lineRule="exact"/>
        <w:ind w:left="3570" w:leftChars="1650" w:hanging="105" w:hangingChars="50"/>
        <w:rPr>
          <w:rFonts w:hint="eastAsia" w:hAnsi="宋体"/>
          <w:color w:val="auto"/>
          <w:szCs w:val="21"/>
          <w:u w:val="single"/>
        </w:rPr>
      </w:pPr>
      <w:r>
        <w:rPr>
          <w:rFonts w:hint="eastAsia" w:hAnsi="宋体"/>
          <w:color w:val="auto"/>
          <w:szCs w:val="21"/>
          <w:u w:val="single"/>
        </w:rPr>
        <w:t xml:space="preserve">        </w:t>
      </w:r>
    </w:p>
    <w:p w14:paraId="1B6BB360">
      <w:pPr>
        <w:pStyle w:val="27"/>
        <w:spacing w:line="360" w:lineRule="exact"/>
        <w:ind w:left="3570" w:leftChars="1650" w:hanging="105" w:hangingChars="50"/>
        <w:rPr>
          <w:rFonts w:hint="eastAsia" w:hAnsi="宋体"/>
          <w:color w:val="auto"/>
          <w:szCs w:val="21"/>
          <w:u w:val="single"/>
        </w:rPr>
      </w:pPr>
    </w:p>
    <w:p w14:paraId="0DCD3AF3">
      <w:pPr>
        <w:pStyle w:val="27"/>
        <w:spacing w:line="320" w:lineRule="exact"/>
        <w:ind w:firstLine="420" w:firstLineChars="200"/>
        <w:rPr>
          <w:rFonts w:hint="eastAsia" w:hAnsi="宋体"/>
          <w:bCs/>
          <w:color w:val="auto"/>
          <w:szCs w:val="21"/>
        </w:rPr>
      </w:pPr>
    </w:p>
    <w:p w14:paraId="155B4449">
      <w:pPr>
        <w:widowControl/>
        <w:jc w:val="left"/>
        <w:rPr>
          <w:rFonts w:hint="eastAsia" w:ascii="宋体" w:hAnsi="宋体"/>
          <w:color w:val="auto"/>
        </w:rPr>
      </w:pPr>
    </w:p>
    <w:p w14:paraId="69576D59">
      <w:pPr>
        <w:pStyle w:val="27"/>
        <w:spacing w:line="400" w:lineRule="atLeast"/>
        <w:ind w:firstLine="422" w:firstLineChars="200"/>
        <w:jc w:val="left"/>
        <w:rPr>
          <w:rFonts w:hint="eastAsia" w:hAnsi="宋体" w:cs="宋体"/>
          <w:b/>
          <w:color w:val="auto"/>
          <w:szCs w:val="21"/>
        </w:rPr>
      </w:pPr>
      <w:r>
        <w:rPr>
          <w:rFonts w:hint="eastAsia" w:hAnsi="宋体" w:cs="宋体"/>
          <w:b/>
          <w:color w:val="auto"/>
          <w:szCs w:val="21"/>
        </w:rPr>
        <w:t>注：①投标人应对照《货物采购需求》表中的技术参数要求在本表的“投标文件的响应情况（对技术参数要求的承诺）”栏中进行逐条内容响应，并在“响应偏离情况”栏注明无偏离、正偏离、负偏离，当出现“正偏离”情况时应对应填写偏离情况说明。</w:t>
      </w:r>
    </w:p>
    <w:p w14:paraId="5A0ADE73">
      <w:pPr>
        <w:pStyle w:val="27"/>
        <w:spacing w:line="400" w:lineRule="atLeast"/>
        <w:ind w:firstLine="422" w:firstLineChars="200"/>
        <w:jc w:val="left"/>
        <w:rPr>
          <w:rFonts w:hint="eastAsia" w:hAnsi="宋体"/>
          <w:b/>
          <w:bCs/>
          <w:color w:val="auto"/>
          <w:szCs w:val="21"/>
        </w:rPr>
      </w:pPr>
      <w:r>
        <w:rPr>
          <w:rFonts w:hint="eastAsia" w:hAnsi="宋体" w:cs="宋体"/>
          <w:b/>
          <w:color w:val="auto"/>
          <w:szCs w:val="21"/>
        </w:rPr>
        <w:t>②</w:t>
      </w:r>
      <w:r>
        <w:rPr>
          <w:rFonts w:hint="eastAsia" w:hAnsi="宋体"/>
          <w:b/>
          <w:bCs/>
          <w:color w:val="auto"/>
          <w:szCs w:val="21"/>
        </w:rPr>
        <w:t>本表须由法定代表人或负责人或自然人或相应的委托代理人签字（或加盖个人CA证书签章）并加盖投标人CA证书签章，自然人除外。</w:t>
      </w:r>
    </w:p>
    <w:p w14:paraId="6E04C9ED">
      <w:pPr>
        <w:pStyle w:val="232"/>
        <w:ind w:firstLine="480"/>
        <w:rPr>
          <w:rFonts w:hint="eastAsia" w:hAnsi="宋体"/>
          <w:color w:val="auto"/>
        </w:rPr>
      </w:pPr>
    </w:p>
    <w:p w14:paraId="48C3755E">
      <w:pPr>
        <w:snapToGrid w:val="0"/>
        <w:spacing w:line="400" w:lineRule="exact"/>
        <w:ind w:firstLine="643" w:firstLineChars="200"/>
        <w:rPr>
          <w:rFonts w:hint="eastAsia" w:ascii="宋体" w:hAnsi="宋体"/>
          <w:b/>
          <w:bCs/>
          <w:color w:val="auto"/>
          <w:sz w:val="32"/>
          <w:szCs w:val="20"/>
        </w:rPr>
      </w:pPr>
    </w:p>
    <w:p w14:paraId="0D7A8320">
      <w:pPr>
        <w:snapToGrid w:val="0"/>
        <w:spacing w:line="400" w:lineRule="exact"/>
        <w:ind w:firstLine="643" w:firstLineChars="200"/>
        <w:rPr>
          <w:rFonts w:hint="eastAsia" w:ascii="宋体" w:hAnsi="宋体"/>
          <w:b/>
          <w:bCs/>
          <w:color w:val="auto"/>
          <w:sz w:val="32"/>
          <w:szCs w:val="20"/>
        </w:rPr>
      </w:pPr>
    </w:p>
    <w:p w14:paraId="30050C49">
      <w:pPr>
        <w:pStyle w:val="232"/>
        <w:ind w:firstLine="480"/>
        <w:rPr>
          <w:rFonts w:ascii="Times New Roman"/>
          <w:color w:val="auto"/>
        </w:rPr>
      </w:pPr>
    </w:p>
    <w:p w14:paraId="4CB5260F">
      <w:pPr>
        <w:snapToGrid w:val="0"/>
        <w:spacing w:line="400" w:lineRule="exact"/>
        <w:ind w:firstLine="643" w:firstLineChars="200"/>
        <w:rPr>
          <w:rFonts w:hint="eastAsia" w:ascii="宋体" w:hAnsi="宋体"/>
          <w:b/>
          <w:bCs/>
          <w:color w:val="auto"/>
          <w:sz w:val="32"/>
          <w:szCs w:val="20"/>
        </w:rPr>
      </w:pPr>
    </w:p>
    <w:p w14:paraId="5C81E99C">
      <w:pPr>
        <w:snapToGrid w:val="0"/>
        <w:spacing w:line="400" w:lineRule="exact"/>
        <w:ind w:firstLine="643" w:firstLineChars="200"/>
        <w:outlineLvl w:val="4"/>
        <w:rPr>
          <w:rFonts w:hint="eastAsia" w:ascii="宋体" w:hAnsi="宋体"/>
          <w:b/>
          <w:bCs/>
          <w:color w:val="auto"/>
          <w:sz w:val="32"/>
          <w:szCs w:val="20"/>
        </w:rPr>
      </w:pPr>
      <w:r>
        <w:rPr>
          <w:rFonts w:hint="eastAsia" w:ascii="宋体" w:hAnsi="宋体"/>
          <w:b/>
          <w:bCs/>
          <w:color w:val="auto"/>
          <w:sz w:val="32"/>
          <w:szCs w:val="20"/>
        </w:rPr>
        <w:t>2.</w:t>
      </w:r>
      <w:r>
        <w:rPr>
          <w:rFonts w:hint="eastAsia" w:ascii="宋体" w:hAnsi="宋体"/>
          <w:color w:val="auto"/>
        </w:rPr>
        <w:t xml:space="preserve"> </w:t>
      </w:r>
      <w:r>
        <w:rPr>
          <w:rFonts w:hint="eastAsia" w:ascii="宋体" w:hAnsi="宋体"/>
          <w:b/>
          <w:bCs/>
          <w:color w:val="auto"/>
          <w:sz w:val="32"/>
          <w:szCs w:val="20"/>
        </w:rPr>
        <w:t>商务响应偏离表（必须提供）</w:t>
      </w:r>
    </w:p>
    <w:p w14:paraId="7EEBEF8B">
      <w:pPr>
        <w:pStyle w:val="27"/>
        <w:ind w:firstLine="354" w:firstLineChars="147"/>
        <w:rPr>
          <w:rFonts w:hint="eastAsia" w:hAnsi="宋体"/>
          <w:b/>
          <w:color w:val="auto"/>
          <w:sz w:val="24"/>
          <w:szCs w:val="24"/>
        </w:rPr>
      </w:pPr>
    </w:p>
    <w:p w14:paraId="3C519A96">
      <w:pPr>
        <w:pStyle w:val="27"/>
        <w:ind w:firstLine="354" w:firstLineChars="147"/>
        <w:rPr>
          <w:rFonts w:hint="eastAsia" w:hAnsi="宋体"/>
          <w:b/>
          <w:color w:val="auto"/>
          <w:sz w:val="24"/>
          <w:szCs w:val="24"/>
        </w:rPr>
      </w:pPr>
      <w:r>
        <w:rPr>
          <w:rFonts w:hint="eastAsia" w:hAnsi="宋体"/>
          <w:b/>
          <w:color w:val="auto"/>
          <w:sz w:val="24"/>
          <w:szCs w:val="24"/>
        </w:rPr>
        <w:t xml:space="preserve">附件：            </w:t>
      </w:r>
    </w:p>
    <w:p w14:paraId="21A44655">
      <w:pPr>
        <w:pStyle w:val="27"/>
        <w:ind w:firstLine="472" w:firstLineChars="147"/>
        <w:jc w:val="center"/>
        <w:rPr>
          <w:rFonts w:hint="eastAsia" w:hAnsi="宋体"/>
          <w:b/>
          <w:bCs/>
          <w:color w:val="auto"/>
          <w:sz w:val="32"/>
        </w:rPr>
      </w:pPr>
      <w:r>
        <w:rPr>
          <w:rFonts w:hint="eastAsia" w:hAnsi="宋体"/>
          <w:b/>
          <w:bCs/>
          <w:color w:val="auto"/>
          <w:sz w:val="32"/>
        </w:rPr>
        <w:t>商务响应偏离表（格式）</w:t>
      </w:r>
    </w:p>
    <w:p w14:paraId="362AFC8D">
      <w:pPr>
        <w:pStyle w:val="232"/>
        <w:ind w:firstLine="480"/>
        <w:rPr>
          <w:rFonts w:hint="eastAsia" w:hAnsi="宋体"/>
          <w:color w:val="auto"/>
        </w:rPr>
      </w:pP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766"/>
        <w:gridCol w:w="3022"/>
        <w:gridCol w:w="2264"/>
        <w:gridCol w:w="1822"/>
      </w:tblGrid>
      <w:tr w14:paraId="159E2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654" w:type="dxa"/>
            <w:vAlign w:val="center"/>
          </w:tcPr>
          <w:p w14:paraId="2A27869D">
            <w:pPr>
              <w:pStyle w:val="27"/>
              <w:spacing w:line="360" w:lineRule="exact"/>
              <w:jc w:val="center"/>
              <w:rPr>
                <w:rFonts w:hint="eastAsia" w:hAnsi="宋体"/>
                <w:color w:val="auto"/>
                <w:szCs w:val="24"/>
              </w:rPr>
            </w:pPr>
            <w:r>
              <w:rPr>
                <w:rFonts w:hint="eastAsia" w:hAnsi="宋体"/>
                <w:color w:val="auto"/>
                <w:szCs w:val="24"/>
              </w:rPr>
              <w:t>项号</w:t>
            </w:r>
          </w:p>
        </w:tc>
        <w:tc>
          <w:tcPr>
            <w:tcW w:w="1766" w:type="dxa"/>
            <w:vAlign w:val="center"/>
          </w:tcPr>
          <w:p w14:paraId="49640343">
            <w:pPr>
              <w:pStyle w:val="27"/>
              <w:spacing w:line="360" w:lineRule="exact"/>
              <w:jc w:val="center"/>
              <w:rPr>
                <w:rFonts w:hint="eastAsia" w:hAnsi="宋体"/>
                <w:color w:val="auto"/>
                <w:szCs w:val="24"/>
              </w:rPr>
            </w:pPr>
            <w:r>
              <w:rPr>
                <w:rFonts w:hint="eastAsia" w:hAnsi="宋体"/>
                <w:color w:val="auto"/>
                <w:szCs w:val="24"/>
              </w:rPr>
              <w:t>条款名称</w:t>
            </w:r>
          </w:p>
        </w:tc>
        <w:tc>
          <w:tcPr>
            <w:tcW w:w="3022" w:type="dxa"/>
            <w:vAlign w:val="center"/>
          </w:tcPr>
          <w:p w14:paraId="1CDDED18">
            <w:pPr>
              <w:pStyle w:val="27"/>
              <w:spacing w:line="360" w:lineRule="exact"/>
              <w:jc w:val="center"/>
              <w:rPr>
                <w:rFonts w:hint="eastAsia" w:hAnsi="宋体"/>
                <w:color w:val="auto"/>
                <w:szCs w:val="24"/>
              </w:rPr>
            </w:pPr>
            <w:r>
              <w:rPr>
                <w:rFonts w:hint="eastAsia" w:hAnsi="宋体"/>
                <w:color w:val="auto"/>
                <w:szCs w:val="24"/>
              </w:rPr>
              <w:t>招标采购要求</w:t>
            </w:r>
          </w:p>
        </w:tc>
        <w:tc>
          <w:tcPr>
            <w:tcW w:w="2264" w:type="dxa"/>
            <w:vAlign w:val="center"/>
          </w:tcPr>
          <w:p w14:paraId="08DD7DB3">
            <w:pPr>
              <w:pStyle w:val="27"/>
              <w:spacing w:line="360" w:lineRule="exact"/>
              <w:jc w:val="center"/>
              <w:rPr>
                <w:rFonts w:hint="eastAsia" w:hAnsi="宋体"/>
                <w:color w:val="auto"/>
                <w:szCs w:val="24"/>
              </w:rPr>
            </w:pPr>
            <w:r>
              <w:rPr>
                <w:rFonts w:hint="eastAsia" w:hAnsi="宋体"/>
                <w:color w:val="auto"/>
                <w:szCs w:val="24"/>
              </w:rPr>
              <w:t>投标文件的响应情况</w:t>
            </w:r>
          </w:p>
        </w:tc>
        <w:tc>
          <w:tcPr>
            <w:tcW w:w="1822" w:type="dxa"/>
            <w:vAlign w:val="center"/>
          </w:tcPr>
          <w:p w14:paraId="342BF68C">
            <w:pPr>
              <w:pStyle w:val="27"/>
              <w:spacing w:line="360" w:lineRule="exact"/>
              <w:jc w:val="center"/>
              <w:rPr>
                <w:rFonts w:hint="eastAsia" w:hAnsi="宋体"/>
                <w:color w:val="auto"/>
                <w:szCs w:val="24"/>
              </w:rPr>
            </w:pPr>
            <w:r>
              <w:rPr>
                <w:rFonts w:hint="eastAsia" w:hAnsi="宋体"/>
                <w:color w:val="auto"/>
                <w:szCs w:val="24"/>
              </w:rPr>
              <w:t>偏离情况说明</w:t>
            </w:r>
          </w:p>
        </w:tc>
      </w:tr>
      <w:tr w14:paraId="304DC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54" w:type="dxa"/>
            <w:vAlign w:val="center"/>
          </w:tcPr>
          <w:p w14:paraId="703FB7E1">
            <w:pPr>
              <w:pStyle w:val="27"/>
              <w:spacing w:line="360" w:lineRule="exact"/>
              <w:jc w:val="center"/>
              <w:rPr>
                <w:rFonts w:hint="eastAsia" w:hAnsi="宋体"/>
                <w:color w:val="auto"/>
                <w:szCs w:val="24"/>
              </w:rPr>
            </w:pPr>
            <w:r>
              <w:rPr>
                <w:rFonts w:hint="eastAsia" w:hAnsi="宋体"/>
                <w:color w:val="auto"/>
                <w:szCs w:val="24"/>
              </w:rPr>
              <w:t>1</w:t>
            </w:r>
          </w:p>
        </w:tc>
        <w:tc>
          <w:tcPr>
            <w:tcW w:w="1766" w:type="dxa"/>
            <w:vAlign w:val="center"/>
          </w:tcPr>
          <w:p w14:paraId="577E242E">
            <w:pPr>
              <w:jc w:val="center"/>
              <w:rPr>
                <w:rFonts w:hint="eastAsia" w:ascii="宋体" w:hAnsi="宋体"/>
                <w:color w:val="auto"/>
              </w:rPr>
            </w:pPr>
          </w:p>
        </w:tc>
        <w:tc>
          <w:tcPr>
            <w:tcW w:w="3022" w:type="dxa"/>
          </w:tcPr>
          <w:p w14:paraId="1D3ED2DA">
            <w:pPr>
              <w:pStyle w:val="27"/>
              <w:spacing w:line="360" w:lineRule="exact"/>
              <w:rPr>
                <w:rFonts w:hint="eastAsia" w:hAnsi="宋体"/>
                <w:color w:val="auto"/>
                <w:szCs w:val="24"/>
              </w:rPr>
            </w:pPr>
          </w:p>
        </w:tc>
        <w:tc>
          <w:tcPr>
            <w:tcW w:w="2264" w:type="dxa"/>
          </w:tcPr>
          <w:p w14:paraId="0E2BBC61">
            <w:pPr>
              <w:pStyle w:val="27"/>
              <w:spacing w:line="360" w:lineRule="exact"/>
              <w:rPr>
                <w:rFonts w:hint="eastAsia" w:hAnsi="宋体"/>
                <w:color w:val="auto"/>
                <w:szCs w:val="24"/>
              </w:rPr>
            </w:pPr>
          </w:p>
        </w:tc>
        <w:tc>
          <w:tcPr>
            <w:tcW w:w="1822" w:type="dxa"/>
          </w:tcPr>
          <w:p w14:paraId="3EE69E25">
            <w:pPr>
              <w:pStyle w:val="27"/>
              <w:spacing w:line="360" w:lineRule="exact"/>
              <w:rPr>
                <w:rFonts w:hint="eastAsia" w:hAnsi="宋体"/>
                <w:color w:val="auto"/>
                <w:szCs w:val="24"/>
              </w:rPr>
            </w:pPr>
          </w:p>
        </w:tc>
      </w:tr>
      <w:tr w14:paraId="2D0D0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654" w:type="dxa"/>
            <w:vAlign w:val="center"/>
          </w:tcPr>
          <w:p w14:paraId="31F84C4A">
            <w:pPr>
              <w:pStyle w:val="27"/>
              <w:spacing w:line="360" w:lineRule="exact"/>
              <w:jc w:val="center"/>
              <w:rPr>
                <w:rFonts w:hint="eastAsia" w:hAnsi="宋体"/>
                <w:color w:val="auto"/>
                <w:szCs w:val="24"/>
              </w:rPr>
            </w:pPr>
            <w:r>
              <w:rPr>
                <w:rFonts w:hint="eastAsia" w:hAnsi="宋体"/>
                <w:color w:val="auto"/>
                <w:szCs w:val="24"/>
              </w:rPr>
              <w:t>2</w:t>
            </w:r>
          </w:p>
        </w:tc>
        <w:tc>
          <w:tcPr>
            <w:tcW w:w="1766" w:type="dxa"/>
            <w:vAlign w:val="center"/>
          </w:tcPr>
          <w:p w14:paraId="1D93792B">
            <w:pPr>
              <w:jc w:val="center"/>
              <w:rPr>
                <w:rFonts w:hint="eastAsia" w:ascii="宋体" w:hAnsi="宋体"/>
                <w:color w:val="auto"/>
              </w:rPr>
            </w:pPr>
          </w:p>
        </w:tc>
        <w:tc>
          <w:tcPr>
            <w:tcW w:w="3022" w:type="dxa"/>
          </w:tcPr>
          <w:p w14:paraId="3D9C28A2">
            <w:pPr>
              <w:pStyle w:val="27"/>
              <w:spacing w:line="360" w:lineRule="exact"/>
              <w:rPr>
                <w:rFonts w:hint="eastAsia" w:hAnsi="宋体"/>
                <w:color w:val="auto"/>
                <w:szCs w:val="24"/>
              </w:rPr>
            </w:pPr>
          </w:p>
        </w:tc>
        <w:tc>
          <w:tcPr>
            <w:tcW w:w="2264" w:type="dxa"/>
          </w:tcPr>
          <w:p w14:paraId="2ACFA9AB">
            <w:pPr>
              <w:pStyle w:val="27"/>
              <w:spacing w:line="360" w:lineRule="exact"/>
              <w:rPr>
                <w:rFonts w:hint="eastAsia" w:hAnsi="宋体"/>
                <w:color w:val="auto"/>
                <w:szCs w:val="24"/>
              </w:rPr>
            </w:pPr>
          </w:p>
        </w:tc>
        <w:tc>
          <w:tcPr>
            <w:tcW w:w="1822" w:type="dxa"/>
          </w:tcPr>
          <w:p w14:paraId="7BACBE4A">
            <w:pPr>
              <w:pStyle w:val="27"/>
              <w:spacing w:line="360" w:lineRule="exact"/>
              <w:rPr>
                <w:rFonts w:hint="eastAsia" w:hAnsi="宋体"/>
                <w:color w:val="auto"/>
                <w:szCs w:val="24"/>
              </w:rPr>
            </w:pPr>
          </w:p>
        </w:tc>
      </w:tr>
      <w:tr w14:paraId="614CC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654" w:type="dxa"/>
            <w:vAlign w:val="center"/>
          </w:tcPr>
          <w:p w14:paraId="68C8E1D7">
            <w:pPr>
              <w:pStyle w:val="27"/>
              <w:spacing w:line="360" w:lineRule="exact"/>
              <w:jc w:val="center"/>
              <w:rPr>
                <w:rFonts w:hint="eastAsia" w:hAnsi="宋体"/>
                <w:color w:val="auto"/>
                <w:szCs w:val="24"/>
              </w:rPr>
            </w:pPr>
            <w:r>
              <w:rPr>
                <w:rFonts w:hint="eastAsia" w:hAnsi="宋体"/>
                <w:color w:val="auto"/>
                <w:szCs w:val="24"/>
              </w:rPr>
              <w:t>3</w:t>
            </w:r>
          </w:p>
        </w:tc>
        <w:tc>
          <w:tcPr>
            <w:tcW w:w="1766" w:type="dxa"/>
            <w:vAlign w:val="center"/>
          </w:tcPr>
          <w:p w14:paraId="7D8CEDBD">
            <w:pPr>
              <w:adjustRightInd w:val="0"/>
              <w:spacing w:line="380" w:lineRule="exact"/>
              <w:jc w:val="center"/>
              <w:rPr>
                <w:rFonts w:hint="eastAsia" w:ascii="宋体" w:hAnsi="宋体"/>
                <w:color w:val="auto"/>
                <w:kern w:val="0"/>
                <w:szCs w:val="21"/>
              </w:rPr>
            </w:pPr>
          </w:p>
        </w:tc>
        <w:tc>
          <w:tcPr>
            <w:tcW w:w="3022" w:type="dxa"/>
          </w:tcPr>
          <w:p w14:paraId="2289566F">
            <w:pPr>
              <w:pStyle w:val="27"/>
              <w:spacing w:line="360" w:lineRule="exact"/>
              <w:rPr>
                <w:rFonts w:hint="eastAsia" w:hAnsi="宋体"/>
                <w:color w:val="auto"/>
                <w:szCs w:val="24"/>
              </w:rPr>
            </w:pPr>
          </w:p>
        </w:tc>
        <w:tc>
          <w:tcPr>
            <w:tcW w:w="2264" w:type="dxa"/>
          </w:tcPr>
          <w:p w14:paraId="09C5B406">
            <w:pPr>
              <w:pStyle w:val="27"/>
              <w:spacing w:line="360" w:lineRule="exact"/>
              <w:rPr>
                <w:rFonts w:hint="eastAsia" w:hAnsi="宋体"/>
                <w:color w:val="auto"/>
                <w:szCs w:val="24"/>
              </w:rPr>
            </w:pPr>
          </w:p>
        </w:tc>
        <w:tc>
          <w:tcPr>
            <w:tcW w:w="1822" w:type="dxa"/>
          </w:tcPr>
          <w:p w14:paraId="0097F98A">
            <w:pPr>
              <w:pStyle w:val="27"/>
              <w:spacing w:line="360" w:lineRule="exact"/>
              <w:rPr>
                <w:rFonts w:hint="eastAsia" w:hAnsi="宋体"/>
                <w:color w:val="auto"/>
                <w:szCs w:val="24"/>
              </w:rPr>
            </w:pPr>
          </w:p>
        </w:tc>
      </w:tr>
      <w:tr w14:paraId="5F716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654" w:type="dxa"/>
            <w:vAlign w:val="center"/>
          </w:tcPr>
          <w:p w14:paraId="5AA6FDCB">
            <w:pPr>
              <w:pStyle w:val="27"/>
              <w:spacing w:line="360" w:lineRule="exact"/>
              <w:jc w:val="center"/>
              <w:rPr>
                <w:rFonts w:hint="eastAsia" w:hAnsi="宋体"/>
                <w:color w:val="auto"/>
                <w:szCs w:val="24"/>
              </w:rPr>
            </w:pPr>
            <w:r>
              <w:rPr>
                <w:rFonts w:hint="eastAsia" w:hAnsi="宋体"/>
                <w:color w:val="auto"/>
                <w:szCs w:val="24"/>
              </w:rPr>
              <w:t>4</w:t>
            </w:r>
          </w:p>
        </w:tc>
        <w:tc>
          <w:tcPr>
            <w:tcW w:w="1766" w:type="dxa"/>
            <w:vAlign w:val="center"/>
          </w:tcPr>
          <w:p w14:paraId="53634031">
            <w:pPr>
              <w:adjustRightInd w:val="0"/>
              <w:spacing w:line="380" w:lineRule="exact"/>
              <w:jc w:val="center"/>
              <w:rPr>
                <w:rFonts w:hint="eastAsia" w:ascii="宋体" w:hAnsi="宋体"/>
                <w:color w:val="auto"/>
                <w:kern w:val="0"/>
                <w:szCs w:val="21"/>
              </w:rPr>
            </w:pPr>
          </w:p>
        </w:tc>
        <w:tc>
          <w:tcPr>
            <w:tcW w:w="3022" w:type="dxa"/>
          </w:tcPr>
          <w:p w14:paraId="21A283C6">
            <w:pPr>
              <w:pStyle w:val="27"/>
              <w:spacing w:line="360" w:lineRule="exact"/>
              <w:rPr>
                <w:rFonts w:hint="eastAsia" w:hAnsi="宋体"/>
                <w:color w:val="auto"/>
                <w:szCs w:val="24"/>
              </w:rPr>
            </w:pPr>
          </w:p>
        </w:tc>
        <w:tc>
          <w:tcPr>
            <w:tcW w:w="2264" w:type="dxa"/>
          </w:tcPr>
          <w:p w14:paraId="72A612F3">
            <w:pPr>
              <w:pStyle w:val="27"/>
              <w:spacing w:line="360" w:lineRule="exact"/>
              <w:rPr>
                <w:rFonts w:hint="eastAsia" w:hAnsi="宋体"/>
                <w:color w:val="auto"/>
                <w:szCs w:val="24"/>
              </w:rPr>
            </w:pPr>
          </w:p>
        </w:tc>
        <w:tc>
          <w:tcPr>
            <w:tcW w:w="1822" w:type="dxa"/>
          </w:tcPr>
          <w:p w14:paraId="6831F42E">
            <w:pPr>
              <w:pStyle w:val="27"/>
              <w:spacing w:line="360" w:lineRule="exact"/>
              <w:rPr>
                <w:rFonts w:hint="eastAsia" w:hAnsi="宋体"/>
                <w:color w:val="auto"/>
                <w:szCs w:val="24"/>
              </w:rPr>
            </w:pPr>
          </w:p>
        </w:tc>
      </w:tr>
      <w:tr w14:paraId="0FD13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654" w:type="dxa"/>
            <w:vAlign w:val="center"/>
          </w:tcPr>
          <w:p w14:paraId="1C3A88C2">
            <w:pPr>
              <w:pStyle w:val="27"/>
              <w:spacing w:line="360" w:lineRule="exact"/>
              <w:jc w:val="center"/>
              <w:rPr>
                <w:rFonts w:hint="eastAsia" w:hAnsi="宋体"/>
                <w:color w:val="auto"/>
                <w:szCs w:val="24"/>
              </w:rPr>
            </w:pPr>
            <w:r>
              <w:rPr>
                <w:rFonts w:hint="eastAsia" w:hAnsi="宋体"/>
                <w:color w:val="auto"/>
                <w:szCs w:val="24"/>
              </w:rPr>
              <w:t>5</w:t>
            </w:r>
          </w:p>
        </w:tc>
        <w:tc>
          <w:tcPr>
            <w:tcW w:w="1766" w:type="dxa"/>
            <w:vAlign w:val="center"/>
          </w:tcPr>
          <w:p w14:paraId="0C9D4316">
            <w:pPr>
              <w:adjustRightInd w:val="0"/>
              <w:spacing w:line="380" w:lineRule="exact"/>
              <w:jc w:val="center"/>
              <w:rPr>
                <w:rFonts w:hint="eastAsia" w:ascii="宋体" w:hAnsi="宋体"/>
                <w:color w:val="auto"/>
                <w:kern w:val="0"/>
                <w:szCs w:val="21"/>
              </w:rPr>
            </w:pPr>
          </w:p>
        </w:tc>
        <w:tc>
          <w:tcPr>
            <w:tcW w:w="3022" w:type="dxa"/>
          </w:tcPr>
          <w:p w14:paraId="082356D9">
            <w:pPr>
              <w:pStyle w:val="27"/>
              <w:spacing w:line="360" w:lineRule="exact"/>
              <w:rPr>
                <w:rFonts w:hint="eastAsia" w:hAnsi="宋体"/>
                <w:color w:val="auto"/>
                <w:szCs w:val="24"/>
              </w:rPr>
            </w:pPr>
          </w:p>
        </w:tc>
        <w:tc>
          <w:tcPr>
            <w:tcW w:w="2264" w:type="dxa"/>
          </w:tcPr>
          <w:p w14:paraId="4EC76A9E">
            <w:pPr>
              <w:pStyle w:val="27"/>
              <w:spacing w:line="360" w:lineRule="exact"/>
              <w:rPr>
                <w:rFonts w:hint="eastAsia" w:hAnsi="宋体"/>
                <w:color w:val="auto"/>
                <w:szCs w:val="24"/>
              </w:rPr>
            </w:pPr>
          </w:p>
        </w:tc>
        <w:tc>
          <w:tcPr>
            <w:tcW w:w="1822" w:type="dxa"/>
          </w:tcPr>
          <w:p w14:paraId="53521A8C">
            <w:pPr>
              <w:pStyle w:val="27"/>
              <w:spacing w:line="360" w:lineRule="exact"/>
              <w:rPr>
                <w:rFonts w:hint="eastAsia" w:hAnsi="宋体"/>
                <w:color w:val="auto"/>
                <w:szCs w:val="24"/>
              </w:rPr>
            </w:pPr>
          </w:p>
        </w:tc>
      </w:tr>
      <w:tr w14:paraId="20E30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54" w:type="dxa"/>
            <w:vAlign w:val="center"/>
          </w:tcPr>
          <w:p w14:paraId="691C6382">
            <w:pPr>
              <w:pStyle w:val="27"/>
              <w:spacing w:line="360" w:lineRule="exact"/>
              <w:jc w:val="center"/>
              <w:rPr>
                <w:rFonts w:hint="eastAsia" w:hAnsi="宋体"/>
                <w:color w:val="auto"/>
                <w:szCs w:val="24"/>
              </w:rPr>
            </w:pPr>
            <w:r>
              <w:rPr>
                <w:rFonts w:hint="eastAsia" w:hAnsi="宋体"/>
                <w:color w:val="auto"/>
                <w:szCs w:val="24"/>
              </w:rPr>
              <w:t>6</w:t>
            </w:r>
          </w:p>
        </w:tc>
        <w:tc>
          <w:tcPr>
            <w:tcW w:w="1766" w:type="dxa"/>
            <w:vAlign w:val="center"/>
          </w:tcPr>
          <w:p w14:paraId="012270A2">
            <w:pPr>
              <w:spacing w:line="380" w:lineRule="exact"/>
              <w:jc w:val="center"/>
              <w:rPr>
                <w:rFonts w:hint="eastAsia" w:ascii="宋体" w:hAnsi="宋体"/>
                <w:color w:val="auto"/>
                <w:kern w:val="0"/>
                <w:szCs w:val="21"/>
              </w:rPr>
            </w:pPr>
          </w:p>
        </w:tc>
        <w:tc>
          <w:tcPr>
            <w:tcW w:w="3022" w:type="dxa"/>
          </w:tcPr>
          <w:p w14:paraId="2147BABD">
            <w:pPr>
              <w:pStyle w:val="27"/>
              <w:spacing w:line="360" w:lineRule="exact"/>
              <w:rPr>
                <w:rFonts w:hint="eastAsia" w:hAnsi="宋体"/>
                <w:color w:val="auto"/>
                <w:szCs w:val="24"/>
              </w:rPr>
            </w:pPr>
          </w:p>
        </w:tc>
        <w:tc>
          <w:tcPr>
            <w:tcW w:w="2264" w:type="dxa"/>
          </w:tcPr>
          <w:p w14:paraId="57D3ADDD">
            <w:pPr>
              <w:pStyle w:val="27"/>
              <w:spacing w:line="360" w:lineRule="exact"/>
              <w:rPr>
                <w:rFonts w:hint="eastAsia" w:hAnsi="宋体"/>
                <w:color w:val="auto"/>
                <w:szCs w:val="24"/>
              </w:rPr>
            </w:pPr>
          </w:p>
        </w:tc>
        <w:tc>
          <w:tcPr>
            <w:tcW w:w="1822" w:type="dxa"/>
          </w:tcPr>
          <w:p w14:paraId="6EC1EE62">
            <w:pPr>
              <w:pStyle w:val="27"/>
              <w:spacing w:line="360" w:lineRule="exact"/>
              <w:rPr>
                <w:rFonts w:hint="eastAsia" w:hAnsi="宋体"/>
                <w:color w:val="auto"/>
                <w:szCs w:val="24"/>
              </w:rPr>
            </w:pPr>
          </w:p>
        </w:tc>
      </w:tr>
    </w:tbl>
    <w:p w14:paraId="40AD7585">
      <w:pPr>
        <w:snapToGrid w:val="0"/>
        <w:spacing w:line="400" w:lineRule="exact"/>
        <w:rPr>
          <w:rFonts w:hint="eastAsia" w:ascii="宋体" w:hAnsi="宋体"/>
          <w:b/>
          <w:bCs/>
          <w:color w:val="auto"/>
          <w:sz w:val="32"/>
          <w:szCs w:val="20"/>
        </w:rPr>
      </w:pPr>
    </w:p>
    <w:p w14:paraId="59823333">
      <w:pPr>
        <w:pStyle w:val="27"/>
        <w:spacing w:line="500" w:lineRule="exact"/>
        <w:ind w:firstLine="3339" w:firstLineChars="1590"/>
        <w:rPr>
          <w:rFonts w:hint="eastAsia" w:hAnsi="宋体"/>
          <w:color w:val="auto"/>
        </w:rPr>
      </w:pPr>
      <w:r>
        <w:rPr>
          <w:rFonts w:hint="eastAsia" w:hAnsi="宋体"/>
          <w:color w:val="auto"/>
        </w:rPr>
        <w:t>投标人名称（加盖CA证书签章，自然人除外）：</w:t>
      </w:r>
      <w:r>
        <w:rPr>
          <w:rFonts w:hint="eastAsia" w:hAnsi="宋体"/>
          <w:color w:val="auto"/>
          <w:u w:val="single"/>
        </w:rPr>
        <w:t xml:space="preserve">          ；                        </w:t>
      </w:r>
    </w:p>
    <w:p w14:paraId="72F31B18">
      <w:pPr>
        <w:pStyle w:val="27"/>
        <w:spacing w:line="500" w:lineRule="exact"/>
        <w:ind w:firstLine="2814" w:firstLineChars="1340"/>
        <w:jc w:val="center"/>
        <w:rPr>
          <w:rFonts w:hint="eastAsia" w:hAnsi="宋体"/>
          <w:color w:val="auto"/>
        </w:rPr>
      </w:pPr>
      <w:r>
        <w:rPr>
          <w:rFonts w:hint="eastAsia" w:hAnsi="宋体"/>
          <w:color w:val="auto"/>
        </w:rPr>
        <w:t>法定代表人或负责人或自然人或相应的委托代理人签字（或加盖</w:t>
      </w:r>
      <w:r>
        <w:rPr>
          <w:rFonts w:hint="eastAsia" w:hAnsi="宋体" w:cs="宋体"/>
          <w:color w:val="auto"/>
        </w:rPr>
        <w:t>个人CA证书签章</w:t>
      </w:r>
      <w:r>
        <w:rPr>
          <w:rFonts w:hint="eastAsia" w:hAnsi="宋体"/>
          <w:color w:val="auto"/>
        </w:rPr>
        <w:t>）：</w:t>
      </w:r>
      <w:r>
        <w:rPr>
          <w:rFonts w:hint="eastAsia" w:hAnsi="宋体"/>
          <w:color w:val="auto"/>
          <w:u w:val="single"/>
        </w:rPr>
        <w:t xml:space="preserve">                 ；</w:t>
      </w:r>
    </w:p>
    <w:p w14:paraId="73635350">
      <w:pPr>
        <w:pStyle w:val="27"/>
        <w:spacing w:line="500" w:lineRule="exact"/>
        <w:ind w:firstLine="3360" w:firstLineChars="1600"/>
        <w:rPr>
          <w:rFonts w:hint="eastAsia" w:hAnsi="宋体"/>
          <w:bCs/>
          <w:color w:val="auto"/>
          <w:szCs w:val="21"/>
          <w:u w:val="single"/>
        </w:rPr>
      </w:pPr>
      <w:r>
        <w:rPr>
          <w:rFonts w:hint="eastAsia" w:hAnsi="宋体"/>
          <w:bCs/>
          <w:color w:val="auto"/>
          <w:szCs w:val="21"/>
        </w:rPr>
        <w:t>日期：</w:t>
      </w:r>
      <w:r>
        <w:rPr>
          <w:rFonts w:hint="eastAsia" w:hAnsi="宋体"/>
          <w:bCs/>
          <w:color w:val="auto"/>
          <w:szCs w:val="21"/>
          <w:u w:val="single"/>
        </w:rPr>
        <w:t xml:space="preserve">                      ；</w:t>
      </w:r>
    </w:p>
    <w:p w14:paraId="44801DF9">
      <w:pPr>
        <w:pStyle w:val="27"/>
        <w:spacing w:line="340" w:lineRule="exact"/>
        <w:rPr>
          <w:rFonts w:hint="eastAsia" w:hAnsi="宋体"/>
          <w:bCs/>
          <w:color w:val="auto"/>
          <w:szCs w:val="21"/>
        </w:rPr>
      </w:pPr>
    </w:p>
    <w:p w14:paraId="020AA151">
      <w:pPr>
        <w:widowControl/>
        <w:jc w:val="left"/>
        <w:rPr>
          <w:rFonts w:hint="eastAsia" w:ascii="宋体" w:hAnsi="宋体"/>
          <w:color w:val="auto"/>
        </w:rPr>
      </w:pPr>
    </w:p>
    <w:p w14:paraId="6CDB5B51">
      <w:pPr>
        <w:pStyle w:val="27"/>
        <w:spacing w:line="340" w:lineRule="exact"/>
        <w:rPr>
          <w:rFonts w:hint="eastAsia" w:hAnsi="宋体"/>
          <w:bCs/>
          <w:color w:val="auto"/>
          <w:szCs w:val="21"/>
        </w:rPr>
      </w:pPr>
    </w:p>
    <w:p w14:paraId="364B29CA">
      <w:pPr>
        <w:pStyle w:val="27"/>
        <w:spacing w:line="400" w:lineRule="atLeast"/>
        <w:ind w:firstLine="422" w:firstLineChars="200"/>
        <w:jc w:val="left"/>
        <w:rPr>
          <w:rFonts w:hint="eastAsia" w:hAnsi="宋体" w:cs="宋体"/>
          <w:b/>
          <w:color w:val="auto"/>
          <w:szCs w:val="21"/>
        </w:rPr>
      </w:pPr>
      <w:r>
        <w:rPr>
          <w:rFonts w:hint="eastAsia" w:hAnsi="宋体" w:cs="宋体"/>
          <w:b/>
          <w:color w:val="auto"/>
          <w:szCs w:val="21"/>
        </w:rPr>
        <w:t>注：①投标人应对照《货物采购需求》表中商务要求的内容在本表的“投标文件的响应情况（对商务要求的承诺）”栏中进行逐条内容响应，并在“响应偏离情况”栏注明无偏离、正偏离、负偏离，当出现“正偏离”情况时应对应填写偏离情况说明。</w:t>
      </w:r>
    </w:p>
    <w:p w14:paraId="7C8F026C">
      <w:pPr>
        <w:pStyle w:val="27"/>
        <w:spacing w:line="400" w:lineRule="atLeast"/>
        <w:ind w:firstLine="422" w:firstLineChars="200"/>
        <w:jc w:val="left"/>
        <w:rPr>
          <w:rFonts w:hint="eastAsia" w:hAnsi="宋体"/>
          <w:b/>
          <w:bCs/>
          <w:color w:val="auto"/>
          <w:szCs w:val="21"/>
        </w:rPr>
      </w:pPr>
      <w:r>
        <w:rPr>
          <w:rFonts w:hint="eastAsia" w:hAnsi="宋体" w:cs="宋体"/>
          <w:b/>
          <w:color w:val="auto"/>
          <w:szCs w:val="21"/>
        </w:rPr>
        <w:t>②</w:t>
      </w:r>
      <w:r>
        <w:rPr>
          <w:rFonts w:hint="eastAsia" w:hAnsi="宋体"/>
          <w:b/>
          <w:bCs/>
          <w:color w:val="auto"/>
          <w:szCs w:val="21"/>
        </w:rPr>
        <w:t>本表须由法定代表人或负责人或自然人或相应的委托代理人签字（或加盖个人CA证书签章）并加盖投标人CA证书签章，自然人除外。</w:t>
      </w:r>
    </w:p>
    <w:p w14:paraId="155CD37C">
      <w:pPr>
        <w:pStyle w:val="27"/>
        <w:spacing w:line="340" w:lineRule="exact"/>
        <w:rPr>
          <w:rFonts w:hint="eastAsia" w:hAnsi="宋体"/>
          <w:b/>
          <w:bCs/>
          <w:color w:val="auto"/>
          <w:sz w:val="32"/>
        </w:rPr>
      </w:pPr>
    </w:p>
    <w:p w14:paraId="252A0567">
      <w:pPr>
        <w:snapToGrid w:val="0"/>
        <w:spacing w:line="400" w:lineRule="exact"/>
        <w:ind w:firstLine="643" w:firstLineChars="200"/>
        <w:rPr>
          <w:rFonts w:hint="eastAsia" w:ascii="宋体" w:hAnsi="宋体"/>
          <w:b/>
          <w:bCs/>
          <w:color w:val="auto"/>
          <w:sz w:val="32"/>
          <w:szCs w:val="20"/>
        </w:rPr>
      </w:pPr>
    </w:p>
    <w:p w14:paraId="581E1396">
      <w:pPr>
        <w:snapToGrid w:val="0"/>
        <w:spacing w:line="360" w:lineRule="auto"/>
        <w:ind w:firstLine="643" w:firstLineChars="200"/>
        <w:outlineLvl w:val="4"/>
        <w:rPr>
          <w:rFonts w:hint="eastAsia" w:ascii="宋体" w:hAnsi="宋体"/>
          <w:b/>
          <w:bCs/>
          <w:color w:val="auto"/>
          <w:sz w:val="32"/>
          <w:szCs w:val="20"/>
        </w:rPr>
      </w:pPr>
      <w:r>
        <w:rPr>
          <w:rFonts w:hint="eastAsia" w:ascii="宋体" w:hAnsi="宋体"/>
          <w:b/>
          <w:bCs/>
          <w:color w:val="auto"/>
          <w:sz w:val="32"/>
          <w:szCs w:val="20"/>
        </w:rPr>
        <w:br w:type="page"/>
      </w:r>
      <w:r>
        <w:rPr>
          <w:rFonts w:hint="eastAsia" w:ascii="宋体" w:hAnsi="宋体"/>
          <w:b/>
          <w:bCs/>
          <w:color w:val="auto"/>
          <w:sz w:val="32"/>
          <w:szCs w:val="20"/>
        </w:rPr>
        <w:t xml:space="preserve">3.售后服务方案（根据评标方法自行编写，格式自拟）（必须提供） </w:t>
      </w:r>
    </w:p>
    <w:p w14:paraId="14E25329">
      <w:pPr>
        <w:snapToGrid w:val="0"/>
        <w:spacing w:line="400" w:lineRule="exact"/>
        <w:ind w:firstLine="643" w:firstLineChars="200"/>
        <w:rPr>
          <w:rFonts w:hint="eastAsia" w:ascii="宋体" w:hAnsi="宋体"/>
          <w:b/>
          <w:bCs/>
          <w:color w:val="auto"/>
          <w:sz w:val="32"/>
          <w:szCs w:val="20"/>
        </w:rPr>
      </w:pPr>
    </w:p>
    <w:p w14:paraId="499D146D">
      <w:pPr>
        <w:snapToGrid w:val="0"/>
        <w:spacing w:line="400" w:lineRule="exact"/>
        <w:ind w:firstLine="643" w:firstLineChars="200"/>
        <w:rPr>
          <w:rFonts w:hint="eastAsia" w:ascii="宋体" w:hAnsi="宋体"/>
          <w:b/>
          <w:bCs/>
          <w:color w:val="auto"/>
          <w:sz w:val="32"/>
          <w:szCs w:val="20"/>
        </w:rPr>
      </w:pPr>
    </w:p>
    <w:p w14:paraId="2A256CD8">
      <w:pPr>
        <w:pStyle w:val="27"/>
        <w:spacing w:line="400" w:lineRule="exact"/>
        <w:ind w:firstLine="3534" w:firstLineChars="1100"/>
        <w:rPr>
          <w:rFonts w:hint="eastAsia" w:hAnsi="宋体"/>
          <w:b/>
          <w:bCs/>
          <w:color w:val="auto"/>
          <w:sz w:val="32"/>
        </w:rPr>
      </w:pPr>
      <w:r>
        <w:rPr>
          <w:rFonts w:hint="eastAsia" w:hAnsi="宋体"/>
          <w:b/>
          <w:bCs/>
          <w:color w:val="auto"/>
          <w:sz w:val="32"/>
        </w:rPr>
        <w:t>（格式自拟）</w:t>
      </w:r>
    </w:p>
    <w:p w14:paraId="78CD6CBD">
      <w:pPr>
        <w:snapToGrid w:val="0"/>
        <w:spacing w:line="400" w:lineRule="exact"/>
        <w:ind w:firstLine="643" w:firstLineChars="200"/>
        <w:rPr>
          <w:rFonts w:hint="eastAsia" w:ascii="宋体" w:hAnsi="宋体"/>
          <w:b/>
          <w:bCs/>
          <w:color w:val="auto"/>
          <w:sz w:val="32"/>
          <w:szCs w:val="20"/>
        </w:rPr>
      </w:pPr>
    </w:p>
    <w:p w14:paraId="7BD1796E">
      <w:pPr>
        <w:snapToGrid w:val="0"/>
        <w:spacing w:line="400" w:lineRule="exact"/>
        <w:rPr>
          <w:rFonts w:hint="eastAsia" w:ascii="宋体" w:hAnsi="宋体"/>
          <w:b/>
          <w:bCs/>
          <w:color w:val="auto"/>
          <w:sz w:val="32"/>
          <w:szCs w:val="20"/>
        </w:rPr>
      </w:pPr>
    </w:p>
    <w:p w14:paraId="2E2C6B05">
      <w:pPr>
        <w:pStyle w:val="232"/>
        <w:ind w:firstLine="480"/>
        <w:rPr>
          <w:rFonts w:hint="eastAsia" w:hAnsi="宋体"/>
          <w:color w:val="auto"/>
        </w:rPr>
      </w:pPr>
    </w:p>
    <w:p w14:paraId="7912749B">
      <w:pPr>
        <w:rPr>
          <w:rFonts w:hint="eastAsia" w:ascii="宋体" w:hAnsi="宋体"/>
          <w:color w:val="auto"/>
        </w:rPr>
      </w:pPr>
    </w:p>
    <w:p w14:paraId="54105DB0">
      <w:pPr>
        <w:pStyle w:val="27"/>
        <w:spacing w:line="500" w:lineRule="exact"/>
        <w:ind w:firstLine="3339" w:firstLineChars="1590"/>
        <w:rPr>
          <w:rFonts w:hint="eastAsia" w:hAnsi="宋体"/>
          <w:color w:val="auto"/>
        </w:rPr>
      </w:pPr>
      <w:r>
        <w:rPr>
          <w:rFonts w:hint="eastAsia" w:hAnsi="宋体"/>
          <w:color w:val="auto"/>
        </w:rPr>
        <w:t>投标人名称（加盖CA证书签章，自然人除外）：</w:t>
      </w:r>
      <w:r>
        <w:rPr>
          <w:rFonts w:hint="eastAsia" w:hAnsi="宋体"/>
          <w:color w:val="auto"/>
          <w:u w:val="single"/>
        </w:rPr>
        <w:t xml:space="preserve">          ；                        </w:t>
      </w:r>
    </w:p>
    <w:p w14:paraId="12E6FAB0">
      <w:pPr>
        <w:pStyle w:val="27"/>
        <w:spacing w:line="500" w:lineRule="exact"/>
        <w:ind w:firstLine="2814" w:firstLineChars="1340"/>
        <w:jc w:val="center"/>
        <w:rPr>
          <w:rFonts w:hint="eastAsia" w:hAnsi="宋体"/>
          <w:color w:val="auto"/>
        </w:rPr>
      </w:pPr>
      <w:r>
        <w:rPr>
          <w:rFonts w:hint="eastAsia" w:hAnsi="宋体"/>
          <w:color w:val="auto"/>
        </w:rPr>
        <w:t>法定代表人或负责人或自然人或相应的委托代理人签字（或加盖</w:t>
      </w:r>
      <w:r>
        <w:rPr>
          <w:rFonts w:hint="eastAsia" w:hAnsi="宋体" w:cs="宋体"/>
          <w:color w:val="auto"/>
        </w:rPr>
        <w:t>个人CA证书签章</w:t>
      </w:r>
      <w:r>
        <w:rPr>
          <w:rFonts w:hint="eastAsia" w:hAnsi="宋体"/>
          <w:color w:val="auto"/>
        </w:rPr>
        <w:t>）：</w:t>
      </w:r>
      <w:r>
        <w:rPr>
          <w:rFonts w:hint="eastAsia" w:hAnsi="宋体"/>
          <w:color w:val="auto"/>
          <w:u w:val="single"/>
        </w:rPr>
        <w:t xml:space="preserve">                 ；</w:t>
      </w:r>
    </w:p>
    <w:p w14:paraId="422BEBEF">
      <w:pPr>
        <w:pStyle w:val="27"/>
        <w:spacing w:line="500" w:lineRule="exact"/>
        <w:ind w:firstLine="3360" w:firstLineChars="1600"/>
        <w:rPr>
          <w:rFonts w:hint="eastAsia" w:hAnsi="宋体"/>
          <w:bCs/>
          <w:color w:val="auto"/>
          <w:szCs w:val="21"/>
          <w:u w:val="single"/>
        </w:rPr>
      </w:pPr>
      <w:r>
        <w:rPr>
          <w:rFonts w:hint="eastAsia" w:hAnsi="宋体"/>
          <w:bCs/>
          <w:color w:val="auto"/>
          <w:szCs w:val="21"/>
        </w:rPr>
        <w:t>日期：</w:t>
      </w:r>
      <w:r>
        <w:rPr>
          <w:rFonts w:hint="eastAsia" w:hAnsi="宋体"/>
          <w:bCs/>
          <w:color w:val="auto"/>
          <w:szCs w:val="21"/>
          <w:u w:val="single"/>
        </w:rPr>
        <w:t xml:space="preserve">                      ；</w:t>
      </w:r>
    </w:p>
    <w:p w14:paraId="2A06F9EE">
      <w:pPr>
        <w:snapToGrid w:val="0"/>
        <w:spacing w:line="400" w:lineRule="exact"/>
        <w:ind w:firstLine="643" w:firstLineChars="200"/>
        <w:rPr>
          <w:rFonts w:hint="eastAsia" w:ascii="宋体" w:hAnsi="宋体"/>
          <w:b/>
          <w:bCs/>
          <w:color w:val="auto"/>
          <w:sz w:val="32"/>
          <w:szCs w:val="20"/>
        </w:rPr>
      </w:pPr>
    </w:p>
    <w:p w14:paraId="68AEEB96">
      <w:pPr>
        <w:widowControl/>
        <w:jc w:val="left"/>
        <w:rPr>
          <w:rFonts w:hint="eastAsia" w:ascii="宋体" w:hAnsi="宋体"/>
          <w:color w:val="auto"/>
        </w:rPr>
      </w:pPr>
    </w:p>
    <w:p w14:paraId="1990C850">
      <w:pPr>
        <w:widowControl/>
        <w:jc w:val="left"/>
        <w:rPr>
          <w:rFonts w:hint="eastAsia" w:ascii="宋体" w:hAnsi="宋体"/>
          <w:color w:val="auto"/>
        </w:rPr>
      </w:pPr>
    </w:p>
    <w:p w14:paraId="62617156">
      <w:pPr>
        <w:widowControl/>
        <w:jc w:val="left"/>
        <w:rPr>
          <w:rFonts w:hint="eastAsia" w:ascii="宋体" w:hAnsi="宋体"/>
          <w:color w:val="auto"/>
        </w:rPr>
      </w:pPr>
    </w:p>
    <w:p w14:paraId="4F45ECFF">
      <w:pPr>
        <w:snapToGrid w:val="0"/>
        <w:spacing w:line="360" w:lineRule="auto"/>
        <w:ind w:firstLine="643" w:firstLineChars="200"/>
        <w:outlineLvl w:val="4"/>
        <w:rPr>
          <w:rFonts w:hint="eastAsia" w:ascii="宋体" w:hAnsi="宋体"/>
          <w:b/>
          <w:bCs/>
          <w:color w:val="auto"/>
          <w:sz w:val="32"/>
          <w:szCs w:val="20"/>
        </w:rPr>
      </w:pPr>
      <w:r>
        <w:rPr>
          <w:rFonts w:hint="eastAsia" w:ascii="宋体" w:hAnsi="宋体"/>
          <w:b/>
          <w:bCs/>
          <w:color w:val="auto"/>
          <w:sz w:val="32"/>
          <w:szCs w:val="20"/>
        </w:rPr>
        <w:t xml:space="preserve">4.项目实施方案（根据评标方法自行编写，格式自拟）（必须提供） </w:t>
      </w:r>
    </w:p>
    <w:p w14:paraId="48A1DD09">
      <w:pPr>
        <w:widowControl/>
        <w:spacing w:line="360" w:lineRule="auto"/>
        <w:jc w:val="left"/>
        <w:rPr>
          <w:rFonts w:hint="eastAsia" w:ascii="宋体" w:hAnsi="宋体"/>
          <w:color w:val="auto"/>
        </w:rPr>
      </w:pPr>
    </w:p>
    <w:p w14:paraId="04A9796A">
      <w:pPr>
        <w:pStyle w:val="27"/>
        <w:spacing w:line="360" w:lineRule="auto"/>
        <w:ind w:firstLine="3534" w:firstLineChars="1100"/>
        <w:rPr>
          <w:rFonts w:hint="eastAsia" w:hAnsi="宋体"/>
          <w:b/>
          <w:bCs/>
          <w:color w:val="auto"/>
          <w:sz w:val="32"/>
        </w:rPr>
      </w:pPr>
      <w:r>
        <w:rPr>
          <w:rFonts w:hint="eastAsia" w:hAnsi="宋体"/>
          <w:b/>
          <w:bCs/>
          <w:color w:val="auto"/>
          <w:sz w:val="32"/>
        </w:rPr>
        <w:t>（格式自拟）</w:t>
      </w:r>
    </w:p>
    <w:p w14:paraId="74A3947F">
      <w:pPr>
        <w:snapToGrid w:val="0"/>
        <w:spacing w:line="360" w:lineRule="auto"/>
        <w:ind w:firstLine="643" w:firstLineChars="200"/>
        <w:rPr>
          <w:rFonts w:hint="eastAsia" w:ascii="宋体" w:hAnsi="宋体"/>
          <w:b/>
          <w:bCs/>
          <w:color w:val="auto"/>
          <w:sz w:val="32"/>
          <w:szCs w:val="20"/>
        </w:rPr>
      </w:pPr>
    </w:p>
    <w:p w14:paraId="4284C6CB">
      <w:pPr>
        <w:snapToGrid w:val="0"/>
        <w:spacing w:line="360" w:lineRule="auto"/>
        <w:rPr>
          <w:rFonts w:hint="eastAsia" w:ascii="宋体" w:hAnsi="宋体"/>
          <w:b/>
          <w:bCs/>
          <w:color w:val="auto"/>
          <w:sz w:val="32"/>
          <w:szCs w:val="20"/>
        </w:rPr>
      </w:pPr>
    </w:p>
    <w:p w14:paraId="7ACB40EB">
      <w:pPr>
        <w:pStyle w:val="232"/>
        <w:ind w:firstLine="480"/>
        <w:rPr>
          <w:rFonts w:hint="eastAsia" w:hAnsi="宋体"/>
          <w:color w:val="auto"/>
        </w:rPr>
      </w:pPr>
    </w:p>
    <w:p w14:paraId="62867C24">
      <w:pPr>
        <w:spacing w:line="360" w:lineRule="auto"/>
        <w:rPr>
          <w:rFonts w:hint="eastAsia" w:ascii="宋体" w:hAnsi="宋体"/>
          <w:color w:val="auto"/>
        </w:rPr>
      </w:pPr>
    </w:p>
    <w:p w14:paraId="5C556C2F">
      <w:pPr>
        <w:pStyle w:val="27"/>
        <w:spacing w:line="360" w:lineRule="auto"/>
        <w:ind w:firstLine="3339" w:firstLineChars="1590"/>
        <w:rPr>
          <w:rFonts w:hint="eastAsia" w:hAnsi="宋体"/>
          <w:color w:val="auto"/>
        </w:rPr>
      </w:pPr>
      <w:r>
        <w:rPr>
          <w:rFonts w:hint="eastAsia" w:hAnsi="宋体"/>
          <w:color w:val="auto"/>
        </w:rPr>
        <w:t>投标人名称（加盖CA证书签章，自然人除外）：</w:t>
      </w:r>
      <w:r>
        <w:rPr>
          <w:rFonts w:hint="eastAsia" w:hAnsi="宋体"/>
          <w:color w:val="auto"/>
          <w:u w:val="single"/>
        </w:rPr>
        <w:t xml:space="preserve">          ；                        </w:t>
      </w:r>
    </w:p>
    <w:p w14:paraId="5424319F">
      <w:pPr>
        <w:pStyle w:val="27"/>
        <w:spacing w:line="360" w:lineRule="auto"/>
        <w:ind w:firstLine="2814" w:firstLineChars="1340"/>
        <w:jc w:val="center"/>
        <w:rPr>
          <w:rFonts w:hint="eastAsia" w:hAnsi="宋体"/>
          <w:color w:val="auto"/>
        </w:rPr>
      </w:pPr>
      <w:r>
        <w:rPr>
          <w:rFonts w:hint="eastAsia" w:hAnsi="宋体"/>
          <w:color w:val="auto"/>
        </w:rPr>
        <w:t>法定代表人或负责人或自然人或相应的委托代理人签字（或加盖</w:t>
      </w:r>
      <w:r>
        <w:rPr>
          <w:rFonts w:hint="eastAsia" w:hAnsi="宋体" w:cs="宋体"/>
          <w:color w:val="auto"/>
        </w:rPr>
        <w:t>个人CA证书签章</w:t>
      </w:r>
      <w:r>
        <w:rPr>
          <w:rFonts w:hint="eastAsia" w:hAnsi="宋体"/>
          <w:color w:val="auto"/>
        </w:rPr>
        <w:t>）：</w:t>
      </w:r>
      <w:r>
        <w:rPr>
          <w:rFonts w:hint="eastAsia" w:hAnsi="宋体"/>
          <w:color w:val="auto"/>
          <w:u w:val="single"/>
        </w:rPr>
        <w:t xml:space="preserve">                 ；</w:t>
      </w:r>
    </w:p>
    <w:p w14:paraId="0B9085D8">
      <w:pPr>
        <w:pStyle w:val="27"/>
        <w:spacing w:line="360" w:lineRule="auto"/>
        <w:ind w:firstLine="3360" w:firstLineChars="1600"/>
        <w:rPr>
          <w:rFonts w:hint="eastAsia" w:hAnsi="宋体"/>
          <w:bCs/>
          <w:color w:val="auto"/>
          <w:szCs w:val="21"/>
          <w:u w:val="single"/>
        </w:rPr>
      </w:pPr>
      <w:r>
        <w:rPr>
          <w:rFonts w:hint="eastAsia" w:hAnsi="宋体"/>
          <w:bCs/>
          <w:color w:val="auto"/>
          <w:szCs w:val="21"/>
        </w:rPr>
        <w:t>日期：</w:t>
      </w:r>
      <w:r>
        <w:rPr>
          <w:rFonts w:hint="eastAsia" w:hAnsi="宋体"/>
          <w:bCs/>
          <w:color w:val="auto"/>
          <w:szCs w:val="21"/>
          <w:u w:val="single"/>
        </w:rPr>
        <w:t xml:space="preserve">                      ；</w:t>
      </w:r>
    </w:p>
    <w:p w14:paraId="426B6438">
      <w:pPr>
        <w:widowControl/>
        <w:spacing w:line="360" w:lineRule="auto"/>
        <w:jc w:val="left"/>
        <w:rPr>
          <w:rFonts w:hint="eastAsia" w:ascii="宋体" w:hAnsi="宋体"/>
          <w:color w:val="auto"/>
        </w:rPr>
      </w:pPr>
    </w:p>
    <w:p w14:paraId="2CF08D64">
      <w:pPr>
        <w:widowControl/>
        <w:spacing w:line="360" w:lineRule="auto"/>
        <w:jc w:val="left"/>
        <w:rPr>
          <w:rFonts w:hint="eastAsia" w:ascii="宋体" w:hAnsi="宋体"/>
          <w:color w:val="auto"/>
        </w:rPr>
      </w:pPr>
    </w:p>
    <w:p w14:paraId="236CEF06">
      <w:pPr>
        <w:snapToGrid w:val="0"/>
        <w:spacing w:line="360" w:lineRule="auto"/>
        <w:ind w:firstLine="643" w:firstLineChars="200"/>
        <w:outlineLvl w:val="4"/>
        <w:rPr>
          <w:rFonts w:hint="eastAsia" w:ascii="宋体" w:hAnsi="宋体"/>
          <w:b/>
          <w:bCs/>
          <w:color w:val="auto"/>
          <w:sz w:val="32"/>
          <w:szCs w:val="20"/>
        </w:rPr>
      </w:pPr>
      <w:r>
        <w:rPr>
          <w:rFonts w:hint="eastAsia" w:ascii="宋体" w:hAnsi="宋体"/>
          <w:b/>
          <w:bCs/>
          <w:color w:val="auto"/>
          <w:sz w:val="32"/>
          <w:szCs w:val="20"/>
        </w:rPr>
        <w:t xml:space="preserve">5. “货物采购需求”需提供的有效证明文件（按货物采购需求要求提供） </w:t>
      </w:r>
    </w:p>
    <w:p w14:paraId="251A8DC7">
      <w:pPr>
        <w:widowControl/>
        <w:spacing w:line="360" w:lineRule="auto"/>
        <w:jc w:val="left"/>
        <w:rPr>
          <w:rFonts w:hint="eastAsia" w:ascii="宋体" w:hAnsi="宋体"/>
          <w:color w:val="auto"/>
        </w:rPr>
      </w:pPr>
    </w:p>
    <w:p w14:paraId="06BDC18B">
      <w:pPr>
        <w:widowControl/>
        <w:spacing w:line="360" w:lineRule="auto"/>
        <w:jc w:val="left"/>
        <w:rPr>
          <w:rFonts w:hint="eastAsia" w:ascii="宋体" w:hAnsi="宋体"/>
          <w:color w:val="auto"/>
        </w:rPr>
      </w:pPr>
    </w:p>
    <w:p w14:paraId="38B6B874">
      <w:pPr>
        <w:widowControl/>
        <w:jc w:val="left"/>
        <w:rPr>
          <w:rFonts w:hint="eastAsia" w:ascii="宋体" w:hAnsi="宋体"/>
          <w:color w:val="auto"/>
        </w:rPr>
      </w:pPr>
    </w:p>
    <w:p w14:paraId="54CF1481">
      <w:pPr>
        <w:widowControl/>
        <w:jc w:val="left"/>
        <w:rPr>
          <w:rFonts w:hint="eastAsia" w:ascii="宋体" w:hAnsi="宋体"/>
          <w:color w:val="auto"/>
        </w:rPr>
      </w:pPr>
    </w:p>
    <w:p w14:paraId="275274F4">
      <w:pPr>
        <w:widowControl/>
        <w:jc w:val="left"/>
        <w:rPr>
          <w:rFonts w:hint="eastAsia" w:ascii="宋体" w:hAnsi="宋体"/>
          <w:color w:val="auto"/>
        </w:rPr>
      </w:pPr>
    </w:p>
    <w:p w14:paraId="215D712F">
      <w:pPr>
        <w:widowControl/>
        <w:jc w:val="left"/>
        <w:rPr>
          <w:rFonts w:hint="eastAsia" w:ascii="宋体" w:hAnsi="宋体"/>
          <w:color w:val="auto"/>
        </w:rPr>
      </w:pPr>
    </w:p>
    <w:p w14:paraId="18CBE8ED">
      <w:pPr>
        <w:widowControl/>
        <w:jc w:val="left"/>
        <w:rPr>
          <w:rFonts w:hint="eastAsia" w:ascii="宋体" w:hAnsi="宋体"/>
          <w:color w:val="auto"/>
        </w:rPr>
      </w:pPr>
    </w:p>
    <w:p w14:paraId="61B37F32">
      <w:pPr>
        <w:widowControl/>
        <w:jc w:val="left"/>
        <w:rPr>
          <w:rFonts w:hint="eastAsia" w:ascii="宋体" w:hAnsi="宋体"/>
          <w:color w:val="auto"/>
        </w:rPr>
      </w:pPr>
    </w:p>
    <w:p w14:paraId="3E239CB9">
      <w:pPr>
        <w:tabs>
          <w:tab w:val="left" w:pos="1305"/>
        </w:tabs>
        <w:spacing w:line="400" w:lineRule="exact"/>
        <w:ind w:firstLine="643" w:firstLineChars="200"/>
        <w:rPr>
          <w:rFonts w:hint="eastAsia" w:ascii="宋体" w:hAnsi="宋体"/>
          <w:b/>
          <w:bCs/>
          <w:color w:val="auto"/>
          <w:sz w:val="32"/>
          <w:szCs w:val="20"/>
        </w:rPr>
      </w:pPr>
      <w:r>
        <w:rPr>
          <w:rFonts w:hint="eastAsia" w:ascii="宋体" w:hAnsi="宋体"/>
          <w:b/>
          <w:bCs/>
          <w:color w:val="auto"/>
          <w:sz w:val="32"/>
          <w:szCs w:val="20"/>
        </w:rPr>
        <w:t xml:space="preserve">6.项目实施人员一览表（如有，请提供） </w:t>
      </w:r>
    </w:p>
    <w:p w14:paraId="77402CD6">
      <w:pPr>
        <w:tabs>
          <w:tab w:val="left" w:pos="1305"/>
        </w:tabs>
        <w:spacing w:line="400" w:lineRule="exact"/>
        <w:ind w:firstLine="643" w:firstLineChars="200"/>
        <w:rPr>
          <w:rFonts w:hint="eastAsia" w:ascii="宋体" w:hAnsi="宋体"/>
          <w:b/>
          <w:bCs/>
          <w:color w:val="auto"/>
          <w:sz w:val="32"/>
          <w:szCs w:val="20"/>
        </w:rPr>
      </w:pPr>
    </w:p>
    <w:p w14:paraId="74050074">
      <w:pPr>
        <w:ind w:firstLine="723" w:firstLineChars="343"/>
        <w:rPr>
          <w:rFonts w:hint="eastAsia" w:ascii="宋体" w:hAnsi="宋体"/>
          <w:b/>
          <w:color w:val="auto"/>
          <w:szCs w:val="21"/>
        </w:rPr>
      </w:pPr>
      <w:r>
        <w:rPr>
          <w:rFonts w:hint="eastAsia" w:ascii="宋体" w:hAnsi="宋体"/>
          <w:b/>
          <w:color w:val="auto"/>
          <w:szCs w:val="21"/>
        </w:rPr>
        <w:t xml:space="preserve">附件                           </w:t>
      </w:r>
    </w:p>
    <w:p w14:paraId="7EEF65F0">
      <w:pPr>
        <w:ind w:firstLine="723" w:firstLineChars="343"/>
        <w:rPr>
          <w:rFonts w:hint="eastAsia" w:ascii="宋体" w:hAnsi="宋体"/>
          <w:b/>
          <w:color w:val="auto"/>
          <w:szCs w:val="21"/>
        </w:rPr>
      </w:pPr>
      <w:r>
        <w:rPr>
          <w:rFonts w:hint="eastAsia" w:ascii="宋体" w:hAnsi="宋体"/>
          <w:b/>
          <w:color w:val="auto"/>
          <w:szCs w:val="21"/>
        </w:rPr>
        <w:t xml:space="preserve"> </w:t>
      </w:r>
    </w:p>
    <w:p w14:paraId="41269582">
      <w:pPr>
        <w:ind w:firstLine="723" w:firstLineChars="343"/>
        <w:jc w:val="center"/>
        <w:rPr>
          <w:rFonts w:hint="eastAsia" w:ascii="宋体" w:hAnsi="宋体"/>
          <w:b/>
          <w:color w:val="auto"/>
          <w:szCs w:val="21"/>
        </w:rPr>
      </w:pPr>
      <w:r>
        <w:rPr>
          <w:rFonts w:hint="eastAsia" w:ascii="宋体" w:hAnsi="宋体"/>
          <w:b/>
          <w:color w:val="auto"/>
          <w:szCs w:val="21"/>
        </w:rPr>
        <w:t>项目实施人员一览表</w:t>
      </w:r>
    </w:p>
    <w:p w14:paraId="004276AB">
      <w:pPr>
        <w:ind w:firstLine="630" w:firstLineChars="300"/>
        <w:rPr>
          <w:rFonts w:hint="eastAsia" w:ascii="宋体" w:hAnsi="宋体"/>
          <w:color w:val="auto"/>
          <w:szCs w:val="21"/>
        </w:rPr>
      </w:pPr>
      <w:r>
        <w:rPr>
          <w:rFonts w:hint="eastAsia" w:ascii="宋体" w:hAnsi="宋体"/>
          <w:color w:val="auto"/>
          <w:szCs w:val="21"/>
        </w:rPr>
        <w:t xml:space="preserve">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2"/>
        <w:gridCol w:w="806"/>
        <w:gridCol w:w="1537"/>
        <w:gridCol w:w="1371"/>
        <w:gridCol w:w="2163"/>
        <w:gridCol w:w="2000"/>
      </w:tblGrid>
      <w:tr w14:paraId="4F738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2" w:type="dxa"/>
            <w:vAlign w:val="center"/>
          </w:tcPr>
          <w:p w14:paraId="10CF3AD1">
            <w:pPr>
              <w:spacing w:line="400" w:lineRule="exact"/>
              <w:jc w:val="center"/>
              <w:rPr>
                <w:rFonts w:hint="eastAsia" w:ascii="宋体" w:hAnsi="宋体"/>
                <w:color w:val="auto"/>
                <w:szCs w:val="21"/>
              </w:rPr>
            </w:pPr>
            <w:r>
              <w:rPr>
                <w:rFonts w:hint="eastAsia" w:ascii="宋体" w:hAnsi="宋体"/>
                <w:color w:val="auto"/>
                <w:szCs w:val="21"/>
              </w:rPr>
              <w:t>姓 名</w:t>
            </w:r>
          </w:p>
        </w:tc>
        <w:tc>
          <w:tcPr>
            <w:tcW w:w="806" w:type="dxa"/>
            <w:vAlign w:val="center"/>
          </w:tcPr>
          <w:p w14:paraId="79101C58">
            <w:pPr>
              <w:spacing w:line="400" w:lineRule="exact"/>
              <w:jc w:val="center"/>
              <w:rPr>
                <w:rFonts w:hint="eastAsia" w:ascii="宋体" w:hAnsi="宋体"/>
                <w:color w:val="auto"/>
                <w:szCs w:val="21"/>
              </w:rPr>
            </w:pPr>
            <w:r>
              <w:rPr>
                <w:rFonts w:hint="eastAsia" w:ascii="宋体" w:hAnsi="宋体"/>
                <w:color w:val="auto"/>
                <w:szCs w:val="21"/>
              </w:rPr>
              <w:t>职务</w:t>
            </w:r>
          </w:p>
        </w:tc>
        <w:tc>
          <w:tcPr>
            <w:tcW w:w="1537" w:type="dxa"/>
            <w:vAlign w:val="center"/>
          </w:tcPr>
          <w:p w14:paraId="7A1C61EB">
            <w:pPr>
              <w:spacing w:line="400" w:lineRule="exact"/>
              <w:jc w:val="center"/>
              <w:rPr>
                <w:rFonts w:hint="eastAsia" w:ascii="宋体" w:hAnsi="宋体"/>
                <w:color w:val="auto"/>
                <w:szCs w:val="21"/>
              </w:rPr>
            </w:pPr>
            <w:r>
              <w:rPr>
                <w:rFonts w:hint="eastAsia" w:ascii="宋体" w:hAnsi="宋体"/>
                <w:color w:val="auto"/>
                <w:szCs w:val="21"/>
              </w:rPr>
              <w:t>专业技术资格</w:t>
            </w:r>
          </w:p>
        </w:tc>
        <w:tc>
          <w:tcPr>
            <w:tcW w:w="1371" w:type="dxa"/>
            <w:vAlign w:val="center"/>
          </w:tcPr>
          <w:p w14:paraId="2DE573D3">
            <w:pPr>
              <w:spacing w:line="400" w:lineRule="exact"/>
              <w:jc w:val="center"/>
              <w:rPr>
                <w:rFonts w:hint="eastAsia" w:ascii="宋体" w:hAnsi="宋体"/>
                <w:color w:val="auto"/>
                <w:szCs w:val="21"/>
              </w:rPr>
            </w:pPr>
            <w:r>
              <w:rPr>
                <w:rFonts w:hint="eastAsia" w:ascii="宋体" w:hAnsi="宋体"/>
                <w:color w:val="auto"/>
                <w:szCs w:val="21"/>
              </w:rPr>
              <w:t>证书编号</w:t>
            </w:r>
          </w:p>
        </w:tc>
        <w:tc>
          <w:tcPr>
            <w:tcW w:w="2163" w:type="dxa"/>
            <w:vAlign w:val="center"/>
          </w:tcPr>
          <w:p w14:paraId="56993E71">
            <w:pPr>
              <w:spacing w:line="400" w:lineRule="exact"/>
              <w:jc w:val="center"/>
              <w:rPr>
                <w:rFonts w:hint="eastAsia" w:ascii="宋体" w:hAnsi="宋体"/>
                <w:color w:val="auto"/>
                <w:szCs w:val="21"/>
              </w:rPr>
            </w:pPr>
            <w:r>
              <w:rPr>
                <w:rFonts w:hint="eastAsia" w:ascii="宋体" w:hAnsi="宋体"/>
                <w:color w:val="auto"/>
                <w:szCs w:val="21"/>
              </w:rPr>
              <w:t>参加本单位</w:t>
            </w:r>
          </w:p>
          <w:p w14:paraId="4FFD5841">
            <w:pPr>
              <w:spacing w:line="400" w:lineRule="exact"/>
              <w:jc w:val="center"/>
              <w:rPr>
                <w:rFonts w:hint="eastAsia" w:ascii="宋体" w:hAnsi="宋体"/>
                <w:color w:val="auto"/>
                <w:szCs w:val="21"/>
              </w:rPr>
            </w:pPr>
            <w:r>
              <w:rPr>
                <w:rFonts w:hint="eastAsia" w:ascii="宋体" w:hAnsi="宋体"/>
                <w:color w:val="auto"/>
                <w:szCs w:val="21"/>
              </w:rPr>
              <w:t>工作时间</w:t>
            </w:r>
          </w:p>
        </w:tc>
        <w:tc>
          <w:tcPr>
            <w:tcW w:w="2000" w:type="dxa"/>
            <w:vAlign w:val="center"/>
          </w:tcPr>
          <w:p w14:paraId="452FA256">
            <w:pPr>
              <w:spacing w:line="400" w:lineRule="exact"/>
              <w:jc w:val="center"/>
              <w:rPr>
                <w:rFonts w:hint="eastAsia" w:ascii="宋体" w:hAnsi="宋体"/>
                <w:color w:val="auto"/>
                <w:szCs w:val="21"/>
              </w:rPr>
            </w:pPr>
            <w:r>
              <w:rPr>
                <w:rFonts w:hint="eastAsia" w:ascii="宋体" w:hAnsi="宋体"/>
                <w:color w:val="auto"/>
                <w:szCs w:val="21"/>
              </w:rPr>
              <w:t>备注</w:t>
            </w:r>
          </w:p>
        </w:tc>
      </w:tr>
      <w:tr w14:paraId="78C41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2" w:type="dxa"/>
          </w:tcPr>
          <w:p w14:paraId="1DF10F67">
            <w:pPr>
              <w:spacing w:line="400" w:lineRule="exact"/>
              <w:rPr>
                <w:rFonts w:hint="eastAsia" w:ascii="宋体" w:hAnsi="宋体"/>
                <w:color w:val="auto"/>
                <w:szCs w:val="21"/>
              </w:rPr>
            </w:pPr>
          </w:p>
        </w:tc>
        <w:tc>
          <w:tcPr>
            <w:tcW w:w="806" w:type="dxa"/>
          </w:tcPr>
          <w:p w14:paraId="43E89BF7">
            <w:pPr>
              <w:spacing w:line="400" w:lineRule="exact"/>
              <w:rPr>
                <w:rFonts w:hint="eastAsia" w:ascii="宋体" w:hAnsi="宋体"/>
                <w:color w:val="auto"/>
                <w:szCs w:val="21"/>
              </w:rPr>
            </w:pPr>
          </w:p>
        </w:tc>
        <w:tc>
          <w:tcPr>
            <w:tcW w:w="1537" w:type="dxa"/>
          </w:tcPr>
          <w:p w14:paraId="4DB41963">
            <w:pPr>
              <w:spacing w:line="400" w:lineRule="exact"/>
              <w:rPr>
                <w:rFonts w:hint="eastAsia" w:ascii="宋体" w:hAnsi="宋体"/>
                <w:color w:val="auto"/>
                <w:szCs w:val="21"/>
              </w:rPr>
            </w:pPr>
          </w:p>
        </w:tc>
        <w:tc>
          <w:tcPr>
            <w:tcW w:w="1371" w:type="dxa"/>
          </w:tcPr>
          <w:p w14:paraId="113ECFD2">
            <w:pPr>
              <w:spacing w:line="400" w:lineRule="exact"/>
              <w:rPr>
                <w:rFonts w:hint="eastAsia" w:ascii="宋体" w:hAnsi="宋体"/>
                <w:color w:val="auto"/>
                <w:szCs w:val="21"/>
              </w:rPr>
            </w:pPr>
          </w:p>
        </w:tc>
        <w:tc>
          <w:tcPr>
            <w:tcW w:w="2163" w:type="dxa"/>
          </w:tcPr>
          <w:p w14:paraId="31B77180">
            <w:pPr>
              <w:spacing w:line="400" w:lineRule="exact"/>
              <w:rPr>
                <w:rFonts w:hint="eastAsia" w:ascii="宋体" w:hAnsi="宋体"/>
                <w:color w:val="auto"/>
                <w:szCs w:val="21"/>
              </w:rPr>
            </w:pPr>
          </w:p>
        </w:tc>
        <w:tc>
          <w:tcPr>
            <w:tcW w:w="2000" w:type="dxa"/>
          </w:tcPr>
          <w:p w14:paraId="6589F68B">
            <w:pPr>
              <w:spacing w:line="400" w:lineRule="exact"/>
              <w:rPr>
                <w:rFonts w:hint="eastAsia" w:ascii="宋体" w:hAnsi="宋体"/>
                <w:color w:val="auto"/>
                <w:szCs w:val="21"/>
              </w:rPr>
            </w:pPr>
          </w:p>
        </w:tc>
      </w:tr>
      <w:tr w14:paraId="22137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2" w:type="dxa"/>
          </w:tcPr>
          <w:p w14:paraId="14DD881F">
            <w:pPr>
              <w:spacing w:line="400" w:lineRule="exact"/>
              <w:rPr>
                <w:rFonts w:hint="eastAsia" w:ascii="宋体" w:hAnsi="宋体"/>
                <w:color w:val="auto"/>
                <w:szCs w:val="21"/>
              </w:rPr>
            </w:pPr>
          </w:p>
        </w:tc>
        <w:tc>
          <w:tcPr>
            <w:tcW w:w="806" w:type="dxa"/>
          </w:tcPr>
          <w:p w14:paraId="11BBDB1E">
            <w:pPr>
              <w:spacing w:line="400" w:lineRule="exact"/>
              <w:rPr>
                <w:rFonts w:hint="eastAsia" w:ascii="宋体" w:hAnsi="宋体"/>
                <w:color w:val="auto"/>
                <w:szCs w:val="21"/>
              </w:rPr>
            </w:pPr>
          </w:p>
        </w:tc>
        <w:tc>
          <w:tcPr>
            <w:tcW w:w="1537" w:type="dxa"/>
          </w:tcPr>
          <w:p w14:paraId="6ED1B6CF">
            <w:pPr>
              <w:spacing w:line="400" w:lineRule="exact"/>
              <w:rPr>
                <w:rFonts w:hint="eastAsia" w:ascii="宋体" w:hAnsi="宋体"/>
                <w:color w:val="auto"/>
                <w:szCs w:val="21"/>
              </w:rPr>
            </w:pPr>
          </w:p>
        </w:tc>
        <w:tc>
          <w:tcPr>
            <w:tcW w:w="1371" w:type="dxa"/>
          </w:tcPr>
          <w:p w14:paraId="7E5F03C7">
            <w:pPr>
              <w:spacing w:line="400" w:lineRule="exact"/>
              <w:rPr>
                <w:rFonts w:hint="eastAsia" w:ascii="宋体" w:hAnsi="宋体"/>
                <w:color w:val="auto"/>
                <w:szCs w:val="21"/>
              </w:rPr>
            </w:pPr>
          </w:p>
        </w:tc>
        <w:tc>
          <w:tcPr>
            <w:tcW w:w="2163" w:type="dxa"/>
          </w:tcPr>
          <w:p w14:paraId="1E20EEBE">
            <w:pPr>
              <w:spacing w:line="400" w:lineRule="exact"/>
              <w:rPr>
                <w:rFonts w:hint="eastAsia" w:ascii="宋体" w:hAnsi="宋体"/>
                <w:color w:val="auto"/>
                <w:szCs w:val="21"/>
              </w:rPr>
            </w:pPr>
          </w:p>
        </w:tc>
        <w:tc>
          <w:tcPr>
            <w:tcW w:w="2000" w:type="dxa"/>
          </w:tcPr>
          <w:p w14:paraId="7073B5D4">
            <w:pPr>
              <w:spacing w:line="400" w:lineRule="exact"/>
              <w:rPr>
                <w:rFonts w:hint="eastAsia" w:ascii="宋体" w:hAnsi="宋体"/>
                <w:color w:val="auto"/>
                <w:szCs w:val="21"/>
              </w:rPr>
            </w:pPr>
          </w:p>
        </w:tc>
      </w:tr>
      <w:tr w14:paraId="43FF8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42" w:type="dxa"/>
          </w:tcPr>
          <w:p w14:paraId="600E5B2A">
            <w:pPr>
              <w:spacing w:line="400" w:lineRule="exact"/>
              <w:rPr>
                <w:rFonts w:hint="eastAsia" w:ascii="宋体" w:hAnsi="宋体"/>
                <w:color w:val="auto"/>
                <w:szCs w:val="21"/>
              </w:rPr>
            </w:pPr>
          </w:p>
        </w:tc>
        <w:tc>
          <w:tcPr>
            <w:tcW w:w="806" w:type="dxa"/>
          </w:tcPr>
          <w:p w14:paraId="21CC3C6B">
            <w:pPr>
              <w:spacing w:line="400" w:lineRule="exact"/>
              <w:rPr>
                <w:rFonts w:hint="eastAsia" w:ascii="宋体" w:hAnsi="宋体"/>
                <w:color w:val="auto"/>
                <w:szCs w:val="21"/>
              </w:rPr>
            </w:pPr>
          </w:p>
        </w:tc>
        <w:tc>
          <w:tcPr>
            <w:tcW w:w="1537" w:type="dxa"/>
          </w:tcPr>
          <w:p w14:paraId="33368666">
            <w:pPr>
              <w:spacing w:line="400" w:lineRule="exact"/>
              <w:rPr>
                <w:rFonts w:hint="eastAsia" w:ascii="宋体" w:hAnsi="宋体"/>
                <w:color w:val="auto"/>
                <w:szCs w:val="21"/>
              </w:rPr>
            </w:pPr>
          </w:p>
        </w:tc>
        <w:tc>
          <w:tcPr>
            <w:tcW w:w="1371" w:type="dxa"/>
          </w:tcPr>
          <w:p w14:paraId="4DCED35E">
            <w:pPr>
              <w:spacing w:line="400" w:lineRule="exact"/>
              <w:rPr>
                <w:rFonts w:hint="eastAsia" w:ascii="宋体" w:hAnsi="宋体"/>
                <w:color w:val="auto"/>
                <w:szCs w:val="21"/>
              </w:rPr>
            </w:pPr>
          </w:p>
        </w:tc>
        <w:tc>
          <w:tcPr>
            <w:tcW w:w="2163" w:type="dxa"/>
          </w:tcPr>
          <w:p w14:paraId="128F8E99">
            <w:pPr>
              <w:spacing w:line="400" w:lineRule="exact"/>
              <w:rPr>
                <w:rFonts w:hint="eastAsia" w:ascii="宋体" w:hAnsi="宋体"/>
                <w:color w:val="auto"/>
                <w:szCs w:val="21"/>
              </w:rPr>
            </w:pPr>
          </w:p>
        </w:tc>
        <w:tc>
          <w:tcPr>
            <w:tcW w:w="2000" w:type="dxa"/>
          </w:tcPr>
          <w:p w14:paraId="285E4811">
            <w:pPr>
              <w:spacing w:line="400" w:lineRule="exact"/>
              <w:rPr>
                <w:rFonts w:hint="eastAsia" w:ascii="宋体" w:hAnsi="宋体"/>
                <w:color w:val="auto"/>
                <w:szCs w:val="21"/>
              </w:rPr>
            </w:pPr>
          </w:p>
        </w:tc>
      </w:tr>
    </w:tbl>
    <w:p w14:paraId="3E14BFD5">
      <w:pPr>
        <w:spacing w:line="400" w:lineRule="exact"/>
        <w:rPr>
          <w:rFonts w:hint="eastAsia" w:ascii="宋体" w:hAnsi="宋体"/>
          <w:color w:val="auto"/>
          <w:szCs w:val="21"/>
        </w:rPr>
      </w:pPr>
      <w:r>
        <w:rPr>
          <w:rFonts w:hint="eastAsia" w:ascii="宋体" w:hAnsi="宋体"/>
          <w:color w:val="auto"/>
          <w:szCs w:val="21"/>
        </w:rPr>
        <w:t>注：1.在填写时，如本表格不适合投标单位的实际情况，可根据本表格式自行制表填写。</w:t>
      </w:r>
    </w:p>
    <w:p w14:paraId="3D1024EC">
      <w:pPr>
        <w:tabs>
          <w:tab w:val="left" w:pos="1305"/>
        </w:tabs>
        <w:spacing w:line="400" w:lineRule="exact"/>
        <w:rPr>
          <w:rFonts w:hint="eastAsia" w:ascii="宋体" w:hAnsi="宋体"/>
          <w:b/>
          <w:bCs/>
          <w:color w:val="auto"/>
          <w:sz w:val="32"/>
          <w:szCs w:val="20"/>
        </w:rPr>
      </w:pPr>
    </w:p>
    <w:p w14:paraId="2F6543B5">
      <w:pPr>
        <w:pStyle w:val="232"/>
        <w:ind w:firstLine="480"/>
        <w:rPr>
          <w:rFonts w:hint="eastAsia" w:hAnsi="宋体"/>
          <w:color w:val="auto"/>
        </w:rPr>
      </w:pPr>
    </w:p>
    <w:p w14:paraId="5AE345A7">
      <w:pPr>
        <w:rPr>
          <w:rFonts w:hint="eastAsia" w:ascii="宋体" w:hAnsi="宋体"/>
          <w:color w:val="auto"/>
        </w:rPr>
      </w:pPr>
    </w:p>
    <w:p w14:paraId="5BF3FBC5">
      <w:pPr>
        <w:pStyle w:val="27"/>
        <w:spacing w:line="500" w:lineRule="exact"/>
        <w:ind w:firstLine="3339" w:firstLineChars="1590"/>
        <w:rPr>
          <w:rFonts w:hint="eastAsia" w:hAnsi="宋体"/>
          <w:color w:val="auto"/>
        </w:rPr>
      </w:pPr>
      <w:r>
        <w:rPr>
          <w:rFonts w:hint="eastAsia" w:hAnsi="宋体"/>
          <w:color w:val="auto"/>
        </w:rPr>
        <w:t>投标人名称（加盖CA证书签章，自然人除外）：</w:t>
      </w:r>
      <w:r>
        <w:rPr>
          <w:rFonts w:hint="eastAsia" w:hAnsi="宋体"/>
          <w:color w:val="auto"/>
          <w:u w:val="single"/>
        </w:rPr>
        <w:t xml:space="preserve">          ；                        </w:t>
      </w:r>
    </w:p>
    <w:p w14:paraId="3A0EA82E">
      <w:pPr>
        <w:pStyle w:val="27"/>
        <w:spacing w:line="500" w:lineRule="exact"/>
        <w:ind w:firstLine="2814" w:firstLineChars="1340"/>
        <w:rPr>
          <w:rFonts w:hint="eastAsia" w:hAnsi="宋体" w:cs="宋体"/>
          <w:color w:val="auto"/>
        </w:rPr>
      </w:pPr>
      <w:r>
        <w:rPr>
          <w:rFonts w:hint="eastAsia" w:hAnsi="宋体"/>
          <w:color w:val="auto"/>
        </w:rPr>
        <w:t>法代表人或负责人或自然人或相应的委托代理人签字（或加盖</w:t>
      </w:r>
      <w:r>
        <w:rPr>
          <w:rFonts w:hint="eastAsia" w:hAnsi="宋体" w:cs="宋体"/>
          <w:color w:val="auto"/>
        </w:rPr>
        <w:t>个人CA</w:t>
      </w:r>
    </w:p>
    <w:p w14:paraId="5F56D0F7">
      <w:pPr>
        <w:pStyle w:val="27"/>
        <w:spacing w:line="500" w:lineRule="exact"/>
        <w:ind w:firstLine="3234" w:firstLineChars="1540"/>
        <w:rPr>
          <w:rFonts w:hint="eastAsia" w:hAnsi="宋体"/>
          <w:color w:val="auto"/>
        </w:rPr>
      </w:pPr>
      <w:r>
        <w:rPr>
          <w:rFonts w:hint="eastAsia" w:hAnsi="宋体" w:cs="宋体"/>
          <w:color w:val="auto"/>
        </w:rPr>
        <w:t>证书签章</w:t>
      </w:r>
      <w:r>
        <w:rPr>
          <w:rFonts w:hint="eastAsia" w:hAnsi="宋体"/>
          <w:color w:val="auto"/>
        </w:rPr>
        <w:t>）：</w:t>
      </w:r>
      <w:r>
        <w:rPr>
          <w:rFonts w:hint="eastAsia" w:hAnsi="宋体"/>
          <w:color w:val="auto"/>
          <w:u w:val="single"/>
        </w:rPr>
        <w:t xml:space="preserve">                 ；</w:t>
      </w:r>
    </w:p>
    <w:p w14:paraId="209B6EEC">
      <w:pPr>
        <w:pStyle w:val="27"/>
        <w:spacing w:line="500" w:lineRule="exact"/>
        <w:ind w:firstLine="3360" w:firstLineChars="1600"/>
        <w:rPr>
          <w:rFonts w:hint="eastAsia" w:hAnsi="宋体"/>
          <w:bCs/>
          <w:color w:val="auto"/>
          <w:szCs w:val="21"/>
          <w:u w:val="single"/>
        </w:rPr>
      </w:pPr>
      <w:r>
        <w:rPr>
          <w:rFonts w:hint="eastAsia" w:hAnsi="宋体"/>
          <w:bCs/>
          <w:color w:val="auto"/>
          <w:szCs w:val="21"/>
        </w:rPr>
        <w:t>日期：</w:t>
      </w:r>
      <w:r>
        <w:rPr>
          <w:rFonts w:hint="eastAsia" w:hAnsi="宋体"/>
          <w:bCs/>
          <w:color w:val="auto"/>
          <w:szCs w:val="21"/>
          <w:u w:val="single"/>
        </w:rPr>
        <w:t xml:space="preserve">                      ；</w:t>
      </w:r>
    </w:p>
    <w:p w14:paraId="05FB0963">
      <w:pPr>
        <w:pStyle w:val="232"/>
        <w:ind w:firstLine="480"/>
        <w:rPr>
          <w:rFonts w:hint="eastAsia" w:hAnsi="宋体"/>
          <w:color w:val="auto"/>
        </w:rPr>
      </w:pPr>
    </w:p>
    <w:p w14:paraId="0AA3D08B">
      <w:pPr>
        <w:rPr>
          <w:rFonts w:hint="eastAsia" w:ascii="宋体" w:hAnsi="宋体"/>
          <w:color w:val="auto"/>
        </w:rPr>
      </w:pPr>
    </w:p>
    <w:p w14:paraId="4984131A">
      <w:pPr>
        <w:tabs>
          <w:tab w:val="left" w:pos="1305"/>
        </w:tabs>
        <w:spacing w:line="380" w:lineRule="exact"/>
        <w:rPr>
          <w:rFonts w:hint="eastAsia" w:ascii="宋体" w:hAnsi="宋体"/>
          <w:b/>
          <w:bCs/>
          <w:color w:val="auto"/>
          <w:sz w:val="32"/>
          <w:szCs w:val="20"/>
        </w:rPr>
      </w:pPr>
    </w:p>
    <w:p w14:paraId="6ADDA588">
      <w:pPr>
        <w:pStyle w:val="232"/>
        <w:ind w:firstLine="480"/>
        <w:rPr>
          <w:rFonts w:hint="eastAsia" w:hAnsi="宋体"/>
          <w:color w:val="auto"/>
        </w:rPr>
      </w:pPr>
    </w:p>
    <w:p w14:paraId="5424517C">
      <w:pPr>
        <w:rPr>
          <w:rFonts w:hint="eastAsia" w:ascii="宋体" w:hAnsi="宋体"/>
          <w:color w:val="auto"/>
        </w:rPr>
      </w:pPr>
    </w:p>
    <w:p w14:paraId="1056DE49">
      <w:pPr>
        <w:pStyle w:val="232"/>
        <w:ind w:firstLine="480"/>
        <w:rPr>
          <w:rFonts w:hint="eastAsia" w:hAnsi="宋体"/>
          <w:color w:val="auto"/>
        </w:rPr>
      </w:pPr>
    </w:p>
    <w:p w14:paraId="6F9A60FF">
      <w:pPr>
        <w:rPr>
          <w:rFonts w:hint="eastAsia" w:ascii="宋体" w:hAnsi="宋体"/>
          <w:color w:val="auto"/>
        </w:rPr>
      </w:pPr>
    </w:p>
    <w:p w14:paraId="1088059C">
      <w:pPr>
        <w:tabs>
          <w:tab w:val="left" w:pos="1305"/>
        </w:tabs>
        <w:spacing w:line="360" w:lineRule="auto"/>
        <w:ind w:firstLine="210" w:firstLineChars="100"/>
        <w:rPr>
          <w:rFonts w:hint="eastAsia" w:ascii="宋体" w:hAnsi="宋体"/>
          <w:b/>
          <w:bCs/>
          <w:color w:val="auto"/>
          <w:sz w:val="32"/>
          <w:szCs w:val="20"/>
        </w:rPr>
      </w:pPr>
      <w:r>
        <w:rPr>
          <w:rFonts w:hint="eastAsia" w:hAnsi="宋体"/>
          <w:color w:val="auto"/>
        </w:rPr>
        <w:t xml:space="preserve"> </w:t>
      </w:r>
      <w:r>
        <w:rPr>
          <w:rFonts w:hint="eastAsia" w:ascii="宋体" w:hAnsi="宋体"/>
          <w:b/>
          <w:bCs/>
          <w:color w:val="auto"/>
          <w:sz w:val="32"/>
          <w:szCs w:val="20"/>
        </w:rPr>
        <w:t>7.履约能力（根据评标办法</w:t>
      </w:r>
      <w:r>
        <w:rPr>
          <w:rFonts w:hint="eastAsia" w:ascii="宋体" w:hAnsi="宋体"/>
          <w:b/>
          <w:color w:val="auto"/>
          <w:sz w:val="32"/>
          <w:szCs w:val="21"/>
        </w:rPr>
        <w:t>自行提供</w:t>
      </w:r>
      <w:r>
        <w:rPr>
          <w:rFonts w:hint="eastAsia" w:ascii="宋体" w:hAnsi="宋体"/>
          <w:b/>
          <w:color w:val="auto"/>
          <w:sz w:val="32"/>
          <w:szCs w:val="32"/>
        </w:rPr>
        <w:t>）</w:t>
      </w:r>
      <w:r>
        <w:rPr>
          <w:rFonts w:hint="eastAsia" w:ascii="宋体" w:hAnsi="宋体"/>
          <w:color w:val="auto"/>
          <w:sz w:val="32"/>
          <w:szCs w:val="32"/>
        </w:rPr>
        <w:t>（</w:t>
      </w:r>
      <w:r>
        <w:rPr>
          <w:rFonts w:hint="eastAsia" w:ascii="宋体" w:hAnsi="宋体"/>
          <w:b/>
          <w:bCs/>
          <w:color w:val="auto"/>
          <w:sz w:val="32"/>
          <w:szCs w:val="32"/>
        </w:rPr>
        <w:t>如</w:t>
      </w:r>
      <w:r>
        <w:rPr>
          <w:rFonts w:hint="eastAsia" w:ascii="宋体" w:hAnsi="宋体"/>
          <w:b/>
          <w:bCs/>
          <w:color w:val="auto"/>
          <w:sz w:val="32"/>
          <w:szCs w:val="20"/>
        </w:rPr>
        <w:t xml:space="preserve">有，请提供） </w:t>
      </w:r>
    </w:p>
    <w:p w14:paraId="4D4BE599">
      <w:pPr>
        <w:tabs>
          <w:tab w:val="left" w:pos="1305"/>
        </w:tabs>
        <w:spacing w:line="380" w:lineRule="exact"/>
        <w:ind w:firstLine="643" w:firstLineChars="200"/>
        <w:rPr>
          <w:rFonts w:hint="eastAsia" w:ascii="宋体" w:hAnsi="宋体"/>
          <w:b/>
          <w:bCs/>
          <w:color w:val="auto"/>
          <w:sz w:val="32"/>
          <w:szCs w:val="20"/>
        </w:rPr>
      </w:pPr>
      <w:r>
        <w:rPr>
          <w:rFonts w:hint="eastAsia" w:ascii="宋体" w:hAnsi="宋体"/>
          <w:b/>
          <w:bCs/>
          <w:color w:val="auto"/>
          <w:sz w:val="32"/>
          <w:szCs w:val="20"/>
        </w:rPr>
        <w:t>（1）投标人相关认证证书等复印件（如有，请提供）；</w:t>
      </w:r>
    </w:p>
    <w:p w14:paraId="73B3F3B3">
      <w:pPr>
        <w:pStyle w:val="232"/>
        <w:ind w:firstLine="480"/>
        <w:rPr>
          <w:rFonts w:ascii="Times New Roman"/>
          <w:color w:val="auto"/>
        </w:rPr>
      </w:pPr>
    </w:p>
    <w:p w14:paraId="5999010D">
      <w:pPr>
        <w:rPr>
          <w:color w:val="auto"/>
        </w:rPr>
      </w:pPr>
    </w:p>
    <w:p w14:paraId="5DCA46A2">
      <w:pPr>
        <w:pStyle w:val="232"/>
        <w:ind w:firstLine="480"/>
        <w:rPr>
          <w:rFonts w:ascii="Times New Roman"/>
          <w:color w:val="auto"/>
        </w:rPr>
      </w:pPr>
    </w:p>
    <w:p w14:paraId="340498CF">
      <w:pPr>
        <w:rPr>
          <w:color w:val="auto"/>
        </w:rPr>
      </w:pPr>
      <w:r>
        <w:rPr>
          <w:rFonts w:hint="eastAsia"/>
          <w:color w:val="auto"/>
        </w:rPr>
        <w:t xml:space="preserve"> </w:t>
      </w:r>
    </w:p>
    <w:p w14:paraId="2F66FC84">
      <w:pPr>
        <w:pStyle w:val="232"/>
        <w:ind w:firstLine="480"/>
        <w:rPr>
          <w:rFonts w:ascii="Times New Roman"/>
          <w:color w:val="auto"/>
        </w:rPr>
      </w:pPr>
    </w:p>
    <w:p w14:paraId="1CF21A17">
      <w:pPr>
        <w:tabs>
          <w:tab w:val="left" w:pos="1305"/>
        </w:tabs>
        <w:spacing w:line="380" w:lineRule="exact"/>
        <w:ind w:firstLine="643" w:firstLineChars="200"/>
        <w:rPr>
          <w:rFonts w:hint="eastAsia" w:ascii="宋体" w:hAnsi="宋体"/>
          <w:b/>
          <w:bCs/>
          <w:color w:val="auto"/>
          <w:sz w:val="32"/>
          <w:szCs w:val="20"/>
        </w:rPr>
      </w:pPr>
    </w:p>
    <w:p w14:paraId="0EDF986F">
      <w:pPr>
        <w:tabs>
          <w:tab w:val="left" w:pos="1305"/>
        </w:tabs>
        <w:spacing w:line="360" w:lineRule="auto"/>
        <w:ind w:firstLine="643" w:firstLineChars="200"/>
        <w:rPr>
          <w:rFonts w:hint="eastAsia" w:ascii="宋体" w:hAnsi="宋体"/>
          <w:b/>
          <w:bCs/>
          <w:color w:val="auto"/>
          <w:sz w:val="32"/>
          <w:szCs w:val="20"/>
        </w:rPr>
      </w:pPr>
      <w:r>
        <w:rPr>
          <w:rFonts w:hint="eastAsia" w:ascii="宋体" w:hAnsi="宋体"/>
          <w:b/>
          <w:bCs/>
          <w:color w:val="auto"/>
          <w:sz w:val="32"/>
          <w:szCs w:val="20"/>
        </w:rPr>
        <w:t>（2）投标人2022年以来具有同类产品的销售业绩的相关证明材料【以中标（成交）通知书和签订的销售合同复印件为准，须附有采购货物清单及金额，并能清晰反映所销售的货物名称、种类、时间等内容】（如有，请提供）；</w:t>
      </w:r>
    </w:p>
    <w:p w14:paraId="32E79704">
      <w:pPr>
        <w:widowControl/>
        <w:jc w:val="left"/>
        <w:rPr>
          <w:rFonts w:hint="eastAsia" w:ascii="宋体" w:hAnsi="宋体"/>
          <w:color w:val="auto"/>
        </w:rPr>
      </w:pPr>
    </w:p>
    <w:p w14:paraId="7999533C">
      <w:pPr>
        <w:widowControl/>
        <w:jc w:val="left"/>
        <w:rPr>
          <w:rFonts w:hint="eastAsia" w:ascii="宋体" w:hAnsi="宋体"/>
          <w:color w:val="auto"/>
        </w:rPr>
      </w:pPr>
    </w:p>
    <w:p w14:paraId="0A1B1C63">
      <w:pPr>
        <w:pStyle w:val="232"/>
        <w:ind w:firstLine="480"/>
        <w:rPr>
          <w:rFonts w:hint="eastAsia" w:hAnsi="宋体"/>
          <w:color w:val="auto"/>
        </w:rPr>
      </w:pPr>
    </w:p>
    <w:p w14:paraId="4D1CB18B">
      <w:pPr>
        <w:rPr>
          <w:color w:val="auto"/>
        </w:rPr>
      </w:pPr>
    </w:p>
    <w:p w14:paraId="60D40872">
      <w:pPr>
        <w:pStyle w:val="232"/>
        <w:ind w:firstLine="480"/>
        <w:rPr>
          <w:rFonts w:ascii="Times New Roman"/>
          <w:color w:val="auto"/>
        </w:rPr>
      </w:pPr>
    </w:p>
    <w:p w14:paraId="4154ED48">
      <w:pPr>
        <w:tabs>
          <w:tab w:val="left" w:pos="1305"/>
        </w:tabs>
        <w:spacing w:line="360" w:lineRule="auto"/>
        <w:rPr>
          <w:rFonts w:hint="eastAsia" w:ascii="宋体" w:hAnsi="宋体"/>
          <w:b/>
          <w:bCs/>
          <w:color w:val="auto"/>
          <w:sz w:val="32"/>
          <w:szCs w:val="20"/>
        </w:rPr>
      </w:pPr>
      <w:r>
        <w:rPr>
          <w:rFonts w:hint="eastAsia" w:ascii="宋体" w:hAnsi="宋体"/>
          <w:b/>
          <w:bCs/>
          <w:color w:val="auto"/>
          <w:sz w:val="32"/>
          <w:szCs w:val="20"/>
        </w:rPr>
        <w:t>8.政策功能（节能、环保）相关证书复印件（根据评标办法</w:t>
      </w:r>
      <w:r>
        <w:rPr>
          <w:rFonts w:hint="eastAsia" w:ascii="宋体" w:hAnsi="宋体"/>
          <w:b/>
          <w:color w:val="auto"/>
          <w:sz w:val="32"/>
          <w:szCs w:val="21"/>
        </w:rPr>
        <w:t>自行提供</w:t>
      </w:r>
      <w:r>
        <w:rPr>
          <w:rFonts w:hint="eastAsia" w:ascii="宋体" w:hAnsi="宋体"/>
          <w:b/>
          <w:color w:val="auto"/>
          <w:sz w:val="32"/>
          <w:szCs w:val="32"/>
        </w:rPr>
        <w:t>）</w:t>
      </w:r>
      <w:r>
        <w:rPr>
          <w:rFonts w:hint="eastAsia" w:ascii="宋体" w:hAnsi="宋体"/>
          <w:b/>
          <w:bCs/>
          <w:color w:val="auto"/>
          <w:sz w:val="32"/>
          <w:szCs w:val="20"/>
        </w:rPr>
        <w:t>（如有，请提供）</w:t>
      </w:r>
    </w:p>
    <w:p w14:paraId="721FC443">
      <w:pPr>
        <w:tabs>
          <w:tab w:val="left" w:pos="1305"/>
        </w:tabs>
        <w:spacing w:line="380" w:lineRule="exact"/>
        <w:ind w:firstLine="643" w:firstLineChars="200"/>
        <w:rPr>
          <w:rFonts w:hint="eastAsia" w:ascii="宋体" w:hAnsi="宋体"/>
          <w:b/>
          <w:bCs/>
          <w:color w:val="auto"/>
          <w:sz w:val="32"/>
          <w:szCs w:val="20"/>
        </w:rPr>
      </w:pPr>
    </w:p>
    <w:p w14:paraId="47B927C4">
      <w:pPr>
        <w:tabs>
          <w:tab w:val="left" w:pos="1305"/>
        </w:tabs>
        <w:spacing w:line="380" w:lineRule="exact"/>
        <w:ind w:firstLine="643" w:firstLineChars="200"/>
        <w:rPr>
          <w:rFonts w:hint="eastAsia" w:ascii="宋体" w:hAnsi="宋体"/>
          <w:b/>
          <w:bCs/>
          <w:color w:val="auto"/>
          <w:sz w:val="32"/>
          <w:szCs w:val="20"/>
        </w:rPr>
      </w:pPr>
      <w:r>
        <w:rPr>
          <w:rFonts w:hint="eastAsia" w:ascii="宋体" w:hAnsi="宋体"/>
          <w:b/>
          <w:bCs/>
          <w:color w:val="auto"/>
          <w:sz w:val="32"/>
          <w:szCs w:val="20"/>
        </w:rPr>
        <w:t xml:space="preserve">（1）节能方面的证书复印件（如有，请提供） </w:t>
      </w:r>
    </w:p>
    <w:p w14:paraId="2537538F">
      <w:pPr>
        <w:widowControl/>
        <w:jc w:val="left"/>
        <w:rPr>
          <w:rFonts w:hint="eastAsia" w:ascii="宋体" w:hAnsi="宋体"/>
          <w:color w:val="auto"/>
        </w:rPr>
      </w:pPr>
    </w:p>
    <w:p w14:paraId="568D681E">
      <w:pPr>
        <w:widowControl/>
        <w:jc w:val="left"/>
        <w:rPr>
          <w:rFonts w:hint="eastAsia" w:ascii="宋体" w:hAnsi="宋体"/>
          <w:color w:val="auto"/>
        </w:rPr>
      </w:pPr>
    </w:p>
    <w:p w14:paraId="09E03891">
      <w:pPr>
        <w:widowControl/>
        <w:jc w:val="left"/>
        <w:rPr>
          <w:rFonts w:hint="eastAsia" w:ascii="宋体" w:hAnsi="宋体"/>
          <w:color w:val="auto"/>
        </w:rPr>
      </w:pPr>
    </w:p>
    <w:p w14:paraId="79E6DB34">
      <w:pPr>
        <w:widowControl/>
        <w:jc w:val="left"/>
        <w:rPr>
          <w:rFonts w:hint="eastAsia" w:ascii="宋体" w:hAnsi="宋体"/>
          <w:color w:val="auto"/>
        </w:rPr>
      </w:pPr>
    </w:p>
    <w:p w14:paraId="28745380">
      <w:pPr>
        <w:widowControl/>
        <w:jc w:val="left"/>
        <w:rPr>
          <w:rFonts w:hint="eastAsia" w:ascii="宋体" w:hAnsi="宋体"/>
          <w:color w:val="auto"/>
        </w:rPr>
      </w:pPr>
    </w:p>
    <w:p w14:paraId="11B427D9">
      <w:pPr>
        <w:pStyle w:val="232"/>
        <w:ind w:firstLine="480"/>
        <w:rPr>
          <w:rFonts w:ascii="Times New Roman"/>
          <w:color w:val="auto"/>
        </w:rPr>
      </w:pPr>
    </w:p>
    <w:p w14:paraId="47697B36">
      <w:pPr>
        <w:rPr>
          <w:color w:val="auto"/>
        </w:rPr>
      </w:pPr>
    </w:p>
    <w:p w14:paraId="34A8961E">
      <w:pPr>
        <w:tabs>
          <w:tab w:val="left" w:pos="1305"/>
        </w:tabs>
        <w:spacing w:line="380" w:lineRule="exact"/>
        <w:ind w:firstLine="643" w:firstLineChars="200"/>
        <w:rPr>
          <w:rFonts w:hint="eastAsia" w:ascii="宋体" w:hAnsi="宋体"/>
          <w:b/>
          <w:bCs/>
          <w:color w:val="auto"/>
          <w:sz w:val="32"/>
          <w:szCs w:val="20"/>
        </w:rPr>
      </w:pPr>
    </w:p>
    <w:p w14:paraId="4293CC06">
      <w:pPr>
        <w:tabs>
          <w:tab w:val="left" w:pos="1305"/>
        </w:tabs>
        <w:spacing w:line="380" w:lineRule="exact"/>
        <w:ind w:firstLine="643" w:firstLineChars="200"/>
        <w:rPr>
          <w:rFonts w:hint="eastAsia" w:ascii="宋体" w:hAnsi="宋体"/>
          <w:b/>
          <w:bCs/>
          <w:color w:val="auto"/>
          <w:sz w:val="32"/>
          <w:szCs w:val="20"/>
        </w:rPr>
      </w:pPr>
      <w:r>
        <w:rPr>
          <w:rFonts w:hint="eastAsia" w:ascii="宋体" w:hAnsi="宋体"/>
          <w:b/>
          <w:bCs/>
          <w:color w:val="auto"/>
          <w:sz w:val="32"/>
          <w:szCs w:val="20"/>
        </w:rPr>
        <w:t xml:space="preserve">（2）环保方面的证书复印件（如有，请提供） </w:t>
      </w:r>
    </w:p>
    <w:p w14:paraId="3B06D4D4">
      <w:pPr>
        <w:tabs>
          <w:tab w:val="left" w:pos="1305"/>
        </w:tabs>
        <w:spacing w:line="360" w:lineRule="auto"/>
        <w:ind w:firstLine="643" w:firstLineChars="200"/>
        <w:rPr>
          <w:rFonts w:hint="eastAsia" w:ascii="宋体" w:hAnsi="宋体"/>
          <w:b/>
          <w:bCs/>
          <w:color w:val="auto"/>
          <w:sz w:val="32"/>
          <w:szCs w:val="20"/>
        </w:rPr>
      </w:pPr>
    </w:p>
    <w:p w14:paraId="101F89E8">
      <w:pPr>
        <w:tabs>
          <w:tab w:val="left" w:pos="1305"/>
        </w:tabs>
        <w:spacing w:line="360" w:lineRule="auto"/>
        <w:ind w:firstLine="643" w:firstLineChars="200"/>
        <w:rPr>
          <w:rFonts w:hint="eastAsia" w:ascii="宋体" w:hAnsi="宋体"/>
          <w:b/>
          <w:bCs/>
          <w:color w:val="auto"/>
          <w:sz w:val="32"/>
          <w:szCs w:val="20"/>
        </w:rPr>
      </w:pPr>
    </w:p>
    <w:p w14:paraId="30B45C3C">
      <w:pPr>
        <w:tabs>
          <w:tab w:val="left" w:pos="1305"/>
        </w:tabs>
        <w:spacing w:line="360" w:lineRule="auto"/>
        <w:ind w:firstLine="321" w:firstLineChars="100"/>
        <w:rPr>
          <w:rFonts w:hint="eastAsia" w:ascii="宋体" w:hAnsi="宋体"/>
          <w:b/>
          <w:bCs/>
          <w:color w:val="auto"/>
          <w:sz w:val="32"/>
          <w:szCs w:val="20"/>
        </w:rPr>
      </w:pPr>
      <w:r>
        <w:rPr>
          <w:rFonts w:hint="eastAsia" w:ascii="宋体" w:hAnsi="宋体"/>
          <w:b/>
          <w:bCs/>
          <w:color w:val="auto"/>
          <w:sz w:val="32"/>
          <w:szCs w:val="20"/>
        </w:rPr>
        <w:t xml:space="preserve">9.投标人为生产厂家的，投标人的生产制造设备清单及专业技术能力说明（如有，请提供） </w:t>
      </w:r>
    </w:p>
    <w:p w14:paraId="12432E5C">
      <w:pPr>
        <w:widowControl/>
        <w:spacing w:line="360" w:lineRule="auto"/>
        <w:jc w:val="left"/>
        <w:rPr>
          <w:rFonts w:hint="eastAsia" w:ascii="宋体" w:hAnsi="宋体"/>
          <w:color w:val="auto"/>
        </w:rPr>
      </w:pPr>
    </w:p>
    <w:p w14:paraId="36563A9E">
      <w:pPr>
        <w:tabs>
          <w:tab w:val="left" w:pos="1305"/>
        </w:tabs>
        <w:spacing w:line="380" w:lineRule="exact"/>
        <w:ind w:firstLine="667" w:firstLineChars="200"/>
        <w:jc w:val="left"/>
        <w:rPr>
          <w:rFonts w:hint="eastAsia" w:ascii="宋体" w:hAnsi="宋体"/>
          <w:b/>
          <w:color w:val="auto"/>
          <w:spacing w:val="6"/>
          <w:sz w:val="32"/>
          <w:szCs w:val="32"/>
        </w:rPr>
      </w:pPr>
    </w:p>
    <w:p w14:paraId="251385E8">
      <w:pPr>
        <w:tabs>
          <w:tab w:val="left" w:pos="1305"/>
        </w:tabs>
        <w:spacing w:line="380" w:lineRule="exact"/>
        <w:ind w:firstLine="667" w:firstLineChars="200"/>
        <w:jc w:val="left"/>
        <w:rPr>
          <w:rFonts w:hint="eastAsia" w:ascii="宋体" w:hAnsi="宋体"/>
          <w:b/>
          <w:color w:val="auto"/>
          <w:spacing w:val="6"/>
          <w:sz w:val="32"/>
          <w:szCs w:val="32"/>
        </w:rPr>
      </w:pPr>
    </w:p>
    <w:p w14:paraId="7904EC32">
      <w:pPr>
        <w:tabs>
          <w:tab w:val="left" w:pos="1305"/>
        </w:tabs>
        <w:spacing w:line="380" w:lineRule="exact"/>
        <w:ind w:firstLine="667" w:firstLineChars="200"/>
        <w:jc w:val="left"/>
        <w:rPr>
          <w:rFonts w:hint="eastAsia" w:ascii="宋体" w:hAnsi="宋体"/>
          <w:b/>
          <w:color w:val="auto"/>
          <w:spacing w:val="6"/>
          <w:sz w:val="32"/>
          <w:szCs w:val="32"/>
        </w:rPr>
      </w:pPr>
    </w:p>
    <w:p w14:paraId="4CE62EFA">
      <w:pPr>
        <w:tabs>
          <w:tab w:val="left" w:pos="1305"/>
        </w:tabs>
        <w:spacing w:line="380" w:lineRule="exact"/>
        <w:ind w:firstLine="667" w:firstLineChars="200"/>
        <w:jc w:val="left"/>
        <w:rPr>
          <w:rFonts w:hint="eastAsia" w:ascii="宋体" w:hAnsi="宋体"/>
          <w:b/>
          <w:color w:val="auto"/>
          <w:spacing w:val="6"/>
          <w:sz w:val="32"/>
          <w:szCs w:val="32"/>
        </w:rPr>
      </w:pPr>
    </w:p>
    <w:p w14:paraId="35A50D8E">
      <w:pPr>
        <w:tabs>
          <w:tab w:val="left" w:pos="1305"/>
        </w:tabs>
        <w:spacing w:line="380" w:lineRule="exact"/>
        <w:ind w:firstLine="667" w:firstLineChars="200"/>
        <w:jc w:val="left"/>
        <w:rPr>
          <w:rFonts w:hint="eastAsia" w:ascii="宋体" w:hAnsi="宋体"/>
          <w:b/>
          <w:color w:val="auto"/>
          <w:spacing w:val="6"/>
          <w:sz w:val="32"/>
          <w:szCs w:val="32"/>
        </w:rPr>
      </w:pPr>
    </w:p>
    <w:p w14:paraId="1E9FF949">
      <w:pPr>
        <w:tabs>
          <w:tab w:val="left" w:pos="1305"/>
        </w:tabs>
        <w:spacing w:line="380" w:lineRule="exact"/>
        <w:ind w:firstLine="667" w:firstLineChars="200"/>
        <w:jc w:val="left"/>
        <w:rPr>
          <w:rFonts w:hint="eastAsia" w:ascii="宋体" w:hAnsi="宋体"/>
          <w:b/>
          <w:color w:val="auto"/>
          <w:spacing w:val="6"/>
          <w:sz w:val="32"/>
          <w:szCs w:val="32"/>
        </w:rPr>
      </w:pPr>
      <w:r>
        <w:rPr>
          <w:rFonts w:hint="eastAsia" w:ascii="宋体" w:hAnsi="宋体"/>
          <w:b/>
          <w:color w:val="auto"/>
          <w:spacing w:val="6"/>
          <w:sz w:val="32"/>
          <w:szCs w:val="32"/>
          <w:lang w:val="en-US" w:eastAsia="zh-CN"/>
        </w:rPr>
        <w:t>10</w:t>
      </w:r>
      <w:r>
        <w:rPr>
          <w:rFonts w:hint="eastAsia" w:ascii="宋体" w:hAnsi="宋体"/>
          <w:b/>
          <w:color w:val="auto"/>
          <w:spacing w:val="6"/>
          <w:sz w:val="32"/>
          <w:szCs w:val="32"/>
        </w:rPr>
        <w:t>、《中小企业声明函》或《残疾人福利性单位声明函》或属于监狱企业的证明文件（如有，请提供）；</w:t>
      </w:r>
    </w:p>
    <w:p w14:paraId="1805C72C">
      <w:pPr>
        <w:tabs>
          <w:tab w:val="left" w:pos="1305"/>
        </w:tabs>
        <w:spacing w:line="380" w:lineRule="exact"/>
        <w:ind w:firstLine="667" w:firstLineChars="200"/>
        <w:jc w:val="left"/>
        <w:rPr>
          <w:rFonts w:hint="eastAsia" w:ascii="宋体" w:hAnsi="宋体"/>
          <w:b/>
          <w:color w:val="auto"/>
          <w:spacing w:val="6"/>
          <w:sz w:val="32"/>
          <w:szCs w:val="32"/>
        </w:rPr>
      </w:pPr>
      <w:r>
        <w:rPr>
          <w:rFonts w:hint="eastAsia" w:ascii="宋体" w:hAnsi="宋体"/>
          <w:b/>
          <w:color w:val="auto"/>
          <w:spacing w:val="6"/>
          <w:sz w:val="32"/>
          <w:szCs w:val="32"/>
        </w:rPr>
        <w:t>【①属于中小型、微型企业【中小微型企业划分标准按照《国家统计局关于印发《统计上大中小微型企业划分办法〔2017〕》的通知》（国统字〔2017〕213号）执行，具体划分标准见第四章评标办法中附表《统计上大中小微型企业划分标准》】，以提供的《中小企业声明函》（见附件）为准；②如属于监狱企业的，应当提供由省级以上监狱管理局、戒毒管理局(含新疆生产建设兵团)出具的属于监狱企业的证明文件复印件；③如符合条件的残疾人福利性单位在参加政府采购活动时，应当提供《残疾人福利性单位声明函》（格式见附件），并对声明的真实性负责】。</w:t>
      </w:r>
    </w:p>
    <w:p w14:paraId="30B69A82">
      <w:pPr>
        <w:pStyle w:val="27"/>
        <w:spacing w:line="360" w:lineRule="auto"/>
        <w:jc w:val="center"/>
        <w:rPr>
          <w:rFonts w:hint="eastAsia" w:hAnsi="宋体"/>
          <w:b/>
          <w:bCs/>
          <w:color w:val="auto"/>
          <w:sz w:val="28"/>
          <w:szCs w:val="28"/>
        </w:rPr>
      </w:pPr>
      <w:r>
        <w:rPr>
          <w:rFonts w:hint="eastAsia" w:hAnsi="宋体"/>
          <w:b/>
          <w:bCs/>
          <w:color w:val="auto"/>
          <w:sz w:val="28"/>
          <w:szCs w:val="28"/>
        </w:rPr>
        <w:t>①</w:t>
      </w:r>
      <w:r>
        <w:rPr>
          <w:rFonts w:hAnsi="宋体"/>
          <w:b/>
          <w:bCs/>
          <w:color w:val="auto"/>
          <w:sz w:val="28"/>
          <w:szCs w:val="28"/>
        </w:rPr>
        <w:t>中小企业声明函</w:t>
      </w:r>
    </w:p>
    <w:p w14:paraId="6852378E">
      <w:pPr>
        <w:pStyle w:val="19"/>
        <w:spacing w:line="360" w:lineRule="auto"/>
        <w:ind w:right="142" w:firstLine="440" w:firstLineChars="200"/>
        <w:contextualSpacing/>
        <w:rPr>
          <w:rFonts w:hint="eastAsia" w:ascii="宋体" w:hAnsi="宋体" w:cs="宋体"/>
          <w:color w:val="auto"/>
          <w:kern w:val="24"/>
          <w:sz w:val="22"/>
          <w:szCs w:val="22"/>
        </w:rPr>
      </w:pPr>
      <w:r>
        <w:rPr>
          <w:rFonts w:hint="eastAsia" w:ascii="宋体" w:hAnsi="宋体" w:cs="宋体"/>
          <w:color w:val="auto"/>
          <w:kern w:val="24"/>
          <w:sz w:val="22"/>
          <w:szCs w:val="22"/>
        </w:rPr>
        <w:t>本公司（联合体）郑重声明，根据《政府采购促进中小企业发展管理办法》（财库﹝2020﹞46号）的规定，本公司（联合体）参加</w:t>
      </w:r>
      <w:r>
        <w:rPr>
          <w:rFonts w:hint="eastAsia" w:ascii="宋体" w:hAnsi="宋体" w:cs="宋体"/>
          <w:color w:val="auto"/>
          <w:kern w:val="24"/>
          <w:sz w:val="22"/>
          <w:szCs w:val="22"/>
          <w:u w:val="single"/>
        </w:rPr>
        <w:t>（单位名称）</w:t>
      </w:r>
      <w:r>
        <w:rPr>
          <w:rFonts w:hint="eastAsia" w:ascii="宋体" w:hAnsi="宋体" w:cs="宋体"/>
          <w:color w:val="auto"/>
          <w:kern w:val="24"/>
          <w:sz w:val="22"/>
          <w:szCs w:val="22"/>
        </w:rPr>
        <w:t>的</w:t>
      </w:r>
      <w:r>
        <w:rPr>
          <w:rFonts w:hint="eastAsia" w:ascii="宋体" w:hAnsi="宋体" w:cs="宋体"/>
          <w:color w:val="auto"/>
          <w:kern w:val="24"/>
          <w:sz w:val="22"/>
          <w:szCs w:val="22"/>
          <w:u w:val="single"/>
        </w:rPr>
        <w:t>（项目名称）</w:t>
      </w:r>
      <w:r>
        <w:rPr>
          <w:rFonts w:hint="eastAsia" w:ascii="宋体" w:hAnsi="宋体" w:cs="宋体"/>
          <w:color w:val="auto"/>
          <w:kern w:val="24"/>
          <w:sz w:val="22"/>
          <w:szCs w:val="22"/>
        </w:rPr>
        <w:t>采购活动，提供的货物全部由符合政策要求的中小企业制造。相关企业（含联合体中的中小企业、签订分包意向协议的中小企业）的具体情况如下：</w:t>
      </w:r>
    </w:p>
    <w:p w14:paraId="352A239E">
      <w:pPr>
        <w:tabs>
          <w:tab w:val="left" w:pos="1384"/>
          <w:tab w:val="left" w:pos="4562"/>
          <w:tab w:val="left" w:pos="6803"/>
        </w:tabs>
        <w:spacing w:line="360" w:lineRule="auto"/>
        <w:ind w:right="-58" w:firstLine="440" w:firstLineChars="200"/>
        <w:contextualSpacing/>
        <w:rPr>
          <w:rFonts w:hint="eastAsia" w:ascii="宋体" w:hAnsi="宋体" w:cs="宋体"/>
          <w:color w:val="auto"/>
          <w:kern w:val="24"/>
          <w:sz w:val="22"/>
          <w:szCs w:val="22"/>
        </w:rPr>
      </w:pPr>
      <w:r>
        <w:rPr>
          <w:rFonts w:hint="eastAsia" w:ascii="宋体" w:hAnsi="宋体" w:cs="宋体"/>
          <w:color w:val="auto"/>
          <w:kern w:val="24"/>
          <w:sz w:val="22"/>
          <w:szCs w:val="22"/>
        </w:rPr>
        <w:t>1.</w:t>
      </w:r>
      <w:r>
        <w:rPr>
          <w:rFonts w:hint="eastAsia" w:ascii="宋体" w:hAnsi="宋体" w:cs="宋体"/>
          <w:color w:val="auto"/>
          <w:kern w:val="24"/>
          <w:sz w:val="22"/>
          <w:szCs w:val="22"/>
          <w:u w:val="single"/>
        </w:rPr>
        <w:t>（标的名称）</w:t>
      </w:r>
      <w:r>
        <w:rPr>
          <w:rFonts w:hint="eastAsia" w:ascii="宋体" w:hAnsi="宋体" w:cs="宋体"/>
          <w:color w:val="auto"/>
          <w:kern w:val="24"/>
          <w:sz w:val="22"/>
          <w:szCs w:val="22"/>
        </w:rPr>
        <w:t>，属于</w:t>
      </w:r>
      <w:r>
        <w:rPr>
          <w:rFonts w:hint="eastAsia" w:ascii="宋体" w:hAnsi="宋体" w:cs="宋体"/>
          <w:color w:val="auto"/>
          <w:kern w:val="24"/>
          <w:sz w:val="22"/>
          <w:szCs w:val="22"/>
          <w:u w:val="single"/>
        </w:rPr>
        <w:t>（采购文件中明确的所属行业）</w:t>
      </w:r>
      <w:r>
        <w:rPr>
          <w:rFonts w:hint="eastAsia" w:ascii="宋体" w:hAnsi="宋体" w:cs="宋体"/>
          <w:color w:val="auto"/>
          <w:kern w:val="24"/>
          <w:sz w:val="22"/>
          <w:szCs w:val="22"/>
        </w:rPr>
        <w:t>行业；制造商为</w:t>
      </w:r>
      <w:r>
        <w:rPr>
          <w:rFonts w:hint="eastAsia" w:ascii="宋体" w:hAnsi="宋体" w:cs="宋体"/>
          <w:color w:val="auto"/>
          <w:kern w:val="24"/>
          <w:sz w:val="22"/>
          <w:szCs w:val="22"/>
          <w:u w:val="single"/>
        </w:rPr>
        <w:t>（企业名称）</w:t>
      </w:r>
      <w:r>
        <w:rPr>
          <w:rFonts w:hint="eastAsia" w:ascii="宋体" w:hAnsi="宋体" w:cs="宋体"/>
          <w:color w:val="auto"/>
          <w:kern w:val="24"/>
          <w:sz w:val="22"/>
          <w:szCs w:val="22"/>
        </w:rPr>
        <w:t>，从业人员</w:t>
      </w:r>
      <w:r>
        <w:rPr>
          <w:rFonts w:hint="eastAsia" w:ascii="宋体" w:hAnsi="宋体" w:cs="宋体"/>
          <w:color w:val="auto"/>
          <w:kern w:val="24"/>
          <w:sz w:val="22"/>
          <w:szCs w:val="22"/>
          <w:u w:val="single"/>
        </w:rPr>
        <w:t xml:space="preserve">      </w:t>
      </w:r>
      <w:r>
        <w:rPr>
          <w:rFonts w:hint="eastAsia" w:ascii="宋体" w:hAnsi="宋体" w:cs="宋体"/>
          <w:color w:val="auto"/>
          <w:kern w:val="24"/>
          <w:sz w:val="22"/>
          <w:szCs w:val="22"/>
        </w:rPr>
        <w:t>人，营业收入为</w:t>
      </w:r>
      <w:r>
        <w:rPr>
          <w:rFonts w:hint="eastAsia" w:ascii="宋体" w:hAnsi="宋体" w:cs="宋体"/>
          <w:color w:val="auto"/>
          <w:kern w:val="24"/>
          <w:sz w:val="22"/>
          <w:szCs w:val="22"/>
          <w:u w:val="single"/>
        </w:rPr>
        <w:t xml:space="preserve">      </w:t>
      </w:r>
      <w:r>
        <w:rPr>
          <w:rFonts w:hint="eastAsia" w:ascii="宋体" w:hAnsi="宋体" w:cs="宋体"/>
          <w:color w:val="auto"/>
          <w:kern w:val="24"/>
          <w:sz w:val="22"/>
          <w:szCs w:val="22"/>
        </w:rPr>
        <w:t>万元，资产总额为</w:t>
      </w:r>
      <w:r>
        <w:rPr>
          <w:rFonts w:hint="eastAsia" w:ascii="宋体" w:hAnsi="宋体" w:cs="宋体"/>
          <w:color w:val="auto"/>
          <w:kern w:val="24"/>
          <w:sz w:val="22"/>
          <w:szCs w:val="22"/>
          <w:u w:val="single"/>
        </w:rPr>
        <w:t xml:space="preserve">      </w:t>
      </w:r>
      <w:r>
        <w:rPr>
          <w:rFonts w:hint="eastAsia" w:ascii="宋体" w:hAnsi="宋体" w:cs="宋体"/>
          <w:color w:val="auto"/>
          <w:kern w:val="24"/>
          <w:sz w:val="22"/>
          <w:szCs w:val="22"/>
        </w:rPr>
        <w:t>万元，属于</w:t>
      </w:r>
      <w:r>
        <w:rPr>
          <w:rFonts w:hint="eastAsia" w:ascii="宋体" w:hAnsi="宋体" w:cs="宋体"/>
          <w:color w:val="auto"/>
          <w:kern w:val="24"/>
          <w:sz w:val="22"/>
          <w:szCs w:val="22"/>
          <w:u w:val="single"/>
        </w:rPr>
        <w:t>（中型企业、小型企业、微型企业）</w:t>
      </w:r>
      <w:r>
        <w:rPr>
          <w:rFonts w:hint="eastAsia" w:ascii="宋体" w:hAnsi="宋体" w:cs="宋体"/>
          <w:color w:val="auto"/>
          <w:kern w:val="24"/>
          <w:sz w:val="22"/>
          <w:szCs w:val="22"/>
        </w:rPr>
        <w:t>；</w:t>
      </w:r>
    </w:p>
    <w:p w14:paraId="2CA546DB">
      <w:pPr>
        <w:tabs>
          <w:tab w:val="left" w:pos="1065"/>
          <w:tab w:val="left" w:pos="6477"/>
        </w:tabs>
        <w:spacing w:line="360" w:lineRule="auto"/>
        <w:ind w:right="-58" w:firstLine="440" w:firstLineChars="200"/>
        <w:contextualSpacing/>
        <w:rPr>
          <w:rFonts w:hint="eastAsia" w:ascii="宋体" w:hAnsi="宋体" w:cs="宋体"/>
          <w:color w:val="auto"/>
          <w:kern w:val="24"/>
          <w:sz w:val="22"/>
          <w:szCs w:val="22"/>
        </w:rPr>
      </w:pPr>
      <w:r>
        <w:rPr>
          <w:rFonts w:hint="eastAsia" w:ascii="宋体" w:hAnsi="宋体" w:cs="宋体"/>
          <w:color w:val="auto"/>
          <w:kern w:val="24"/>
          <w:sz w:val="22"/>
          <w:szCs w:val="22"/>
        </w:rPr>
        <w:t>2.</w:t>
      </w:r>
      <w:r>
        <w:rPr>
          <w:rFonts w:hint="eastAsia" w:ascii="宋体" w:hAnsi="宋体" w:cs="宋体"/>
          <w:color w:val="auto"/>
          <w:kern w:val="24"/>
          <w:sz w:val="22"/>
          <w:szCs w:val="22"/>
          <w:u w:val="single"/>
        </w:rPr>
        <w:t>（标的名称）</w:t>
      </w:r>
      <w:r>
        <w:rPr>
          <w:rFonts w:hint="eastAsia" w:ascii="宋体" w:hAnsi="宋体" w:cs="宋体"/>
          <w:color w:val="auto"/>
          <w:kern w:val="24"/>
          <w:sz w:val="22"/>
          <w:szCs w:val="22"/>
        </w:rPr>
        <w:t>，属于</w:t>
      </w:r>
      <w:r>
        <w:rPr>
          <w:rFonts w:hint="eastAsia" w:ascii="宋体" w:hAnsi="宋体" w:cs="宋体"/>
          <w:color w:val="auto"/>
          <w:kern w:val="24"/>
          <w:sz w:val="22"/>
          <w:szCs w:val="22"/>
          <w:u w:val="single"/>
        </w:rPr>
        <w:t>（采购文件中明确的所属行业）</w:t>
      </w:r>
      <w:r>
        <w:rPr>
          <w:rFonts w:hint="eastAsia" w:ascii="宋体" w:hAnsi="宋体" w:cs="宋体"/>
          <w:color w:val="auto"/>
          <w:kern w:val="24"/>
          <w:sz w:val="22"/>
          <w:szCs w:val="22"/>
        </w:rPr>
        <w:t>行业；制造商为</w:t>
      </w:r>
      <w:r>
        <w:rPr>
          <w:rFonts w:hint="eastAsia" w:ascii="宋体" w:hAnsi="宋体" w:cs="宋体"/>
          <w:color w:val="auto"/>
          <w:kern w:val="24"/>
          <w:sz w:val="22"/>
          <w:szCs w:val="22"/>
          <w:u w:val="single"/>
        </w:rPr>
        <w:t>（企业名称）</w:t>
      </w:r>
      <w:r>
        <w:rPr>
          <w:rFonts w:hint="eastAsia" w:ascii="宋体" w:hAnsi="宋体" w:cs="宋体"/>
          <w:color w:val="auto"/>
          <w:kern w:val="24"/>
          <w:sz w:val="22"/>
          <w:szCs w:val="22"/>
        </w:rPr>
        <w:t>，从业人员</w:t>
      </w:r>
      <w:r>
        <w:rPr>
          <w:rFonts w:hint="eastAsia" w:ascii="宋体" w:hAnsi="宋体" w:cs="宋体"/>
          <w:color w:val="auto"/>
          <w:kern w:val="24"/>
          <w:sz w:val="22"/>
          <w:szCs w:val="22"/>
          <w:u w:val="single"/>
        </w:rPr>
        <w:t xml:space="preserve">      </w:t>
      </w:r>
      <w:r>
        <w:rPr>
          <w:rFonts w:hint="eastAsia" w:ascii="宋体" w:hAnsi="宋体" w:cs="宋体"/>
          <w:color w:val="auto"/>
          <w:kern w:val="24"/>
          <w:sz w:val="22"/>
          <w:szCs w:val="22"/>
        </w:rPr>
        <w:t>人，营业收入为</w:t>
      </w:r>
      <w:r>
        <w:rPr>
          <w:rFonts w:hint="eastAsia" w:ascii="宋体" w:hAnsi="宋体" w:cs="宋体"/>
          <w:color w:val="auto"/>
          <w:kern w:val="24"/>
          <w:sz w:val="22"/>
          <w:szCs w:val="22"/>
          <w:u w:val="single"/>
        </w:rPr>
        <w:t xml:space="preserve">      </w:t>
      </w:r>
      <w:r>
        <w:rPr>
          <w:rFonts w:hint="eastAsia" w:ascii="宋体" w:hAnsi="宋体" w:cs="宋体"/>
          <w:color w:val="auto"/>
          <w:kern w:val="24"/>
          <w:sz w:val="22"/>
          <w:szCs w:val="22"/>
        </w:rPr>
        <w:t>万元，资产总额为</w:t>
      </w:r>
      <w:r>
        <w:rPr>
          <w:rFonts w:hint="eastAsia" w:ascii="宋体" w:hAnsi="宋体" w:cs="宋体"/>
          <w:color w:val="auto"/>
          <w:kern w:val="24"/>
          <w:sz w:val="22"/>
          <w:szCs w:val="22"/>
          <w:u w:val="single"/>
        </w:rPr>
        <w:t xml:space="preserve">      </w:t>
      </w:r>
      <w:r>
        <w:rPr>
          <w:rFonts w:hint="eastAsia" w:ascii="宋体" w:hAnsi="宋体" w:cs="宋体"/>
          <w:color w:val="auto"/>
          <w:kern w:val="24"/>
          <w:sz w:val="22"/>
          <w:szCs w:val="22"/>
        </w:rPr>
        <w:t>万元，属于</w:t>
      </w:r>
      <w:r>
        <w:rPr>
          <w:rFonts w:hint="eastAsia" w:ascii="宋体" w:hAnsi="宋体" w:cs="宋体"/>
          <w:color w:val="auto"/>
          <w:kern w:val="24"/>
          <w:sz w:val="22"/>
          <w:szCs w:val="22"/>
          <w:u w:val="single"/>
        </w:rPr>
        <w:t>（中型企业、小型企业、微型企业）</w:t>
      </w:r>
      <w:r>
        <w:rPr>
          <w:rFonts w:hint="eastAsia" w:ascii="宋体" w:hAnsi="宋体" w:cs="宋体"/>
          <w:color w:val="auto"/>
          <w:kern w:val="24"/>
          <w:sz w:val="22"/>
          <w:szCs w:val="22"/>
        </w:rPr>
        <w:t>；</w:t>
      </w:r>
    </w:p>
    <w:p w14:paraId="5B9C0CF5">
      <w:pPr>
        <w:pStyle w:val="19"/>
        <w:spacing w:line="360" w:lineRule="auto"/>
        <w:ind w:right="142" w:firstLine="440" w:firstLineChars="200"/>
        <w:contextualSpacing/>
        <w:rPr>
          <w:rFonts w:hint="eastAsia" w:ascii="宋体" w:hAnsi="宋体" w:cs="宋体"/>
          <w:color w:val="auto"/>
          <w:kern w:val="24"/>
          <w:sz w:val="22"/>
          <w:szCs w:val="22"/>
        </w:rPr>
      </w:pPr>
      <w:r>
        <w:rPr>
          <w:rFonts w:hint="eastAsia" w:ascii="宋体" w:hAnsi="宋体" w:cs="宋体"/>
          <w:color w:val="auto"/>
          <w:kern w:val="24"/>
          <w:sz w:val="22"/>
          <w:szCs w:val="22"/>
        </w:rPr>
        <w:t xml:space="preserve">…… </w:t>
      </w:r>
    </w:p>
    <w:p w14:paraId="0CAA0533">
      <w:pPr>
        <w:pStyle w:val="19"/>
        <w:spacing w:line="360" w:lineRule="auto"/>
        <w:ind w:right="142" w:firstLine="440" w:firstLineChars="200"/>
        <w:contextualSpacing/>
        <w:rPr>
          <w:rFonts w:hint="eastAsia" w:ascii="宋体" w:hAnsi="宋体" w:cs="宋体"/>
          <w:color w:val="auto"/>
          <w:kern w:val="24"/>
          <w:sz w:val="22"/>
          <w:szCs w:val="22"/>
        </w:rPr>
      </w:pPr>
      <w:r>
        <w:rPr>
          <w:rFonts w:hint="eastAsia" w:ascii="宋体" w:hAnsi="宋体" w:cs="宋体"/>
          <w:color w:val="auto"/>
          <w:kern w:val="24"/>
          <w:sz w:val="22"/>
          <w:szCs w:val="22"/>
        </w:rPr>
        <w:t>以上企业，不属于大企业的分支机构，不存在控股股东为大企业的情形，也不存在与大企业的负责人为同一人的情形。</w:t>
      </w:r>
    </w:p>
    <w:p w14:paraId="7196221B">
      <w:pPr>
        <w:pStyle w:val="19"/>
        <w:spacing w:line="360" w:lineRule="auto"/>
        <w:ind w:right="142" w:firstLine="440" w:firstLineChars="200"/>
        <w:contextualSpacing/>
        <w:rPr>
          <w:rFonts w:hint="eastAsia" w:ascii="宋体" w:hAnsi="宋体" w:cs="宋体"/>
          <w:color w:val="auto"/>
          <w:kern w:val="24"/>
          <w:sz w:val="22"/>
          <w:szCs w:val="22"/>
        </w:rPr>
      </w:pPr>
      <w:r>
        <w:rPr>
          <w:rFonts w:hint="eastAsia" w:ascii="宋体" w:hAnsi="宋体" w:cs="宋体"/>
          <w:color w:val="auto"/>
          <w:kern w:val="24"/>
          <w:sz w:val="22"/>
          <w:szCs w:val="22"/>
        </w:rPr>
        <w:t>本企业对上述声明内容的真实性负责。如有虚假，将依法承担相应责任。</w:t>
      </w:r>
    </w:p>
    <w:p w14:paraId="27A768EF">
      <w:pPr>
        <w:widowControl/>
        <w:spacing w:line="360" w:lineRule="auto"/>
        <w:ind w:firstLine="464" w:firstLineChars="200"/>
        <w:jc w:val="left"/>
        <w:rPr>
          <w:rFonts w:hint="eastAsia" w:ascii="宋体" w:hAnsi="宋体" w:cs="宋体"/>
          <w:color w:val="auto"/>
          <w:spacing w:val="6"/>
          <w:sz w:val="22"/>
        </w:rPr>
      </w:pPr>
      <w:r>
        <w:rPr>
          <w:rFonts w:hint="eastAsia" w:ascii="宋体" w:hAnsi="宋体" w:cs="宋体"/>
          <w:color w:val="auto"/>
          <w:spacing w:val="6"/>
          <w:sz w:val="22"/>
        </w:rPr>
        <w:t xml:space="preserve"> </w:t>
      </w:r>
    </w:p>
    <w:p w14:paraId="5C716DDE">
      <w:pPr>
        <w:widowControl/>
        <w:spacing w:line="360" w:lineRule="auto"/>
        <w:ind w:firstLine="5336" w:firstLineChars="2300"/>
        <w:jc w:val="left"/>
        <w:rPr>
          <w:rFonts w:hint="eastAsia" w:ascii="宋体" w:hAnsi="宋体" w:cs="宋体"/>
          <w:color w:val="auto"/>
          <w:spacing w:val="6"/>
          <w:sz w:val="22"/>
        </w:rPr>
      </w:pPr>
      <w:r>
        <w:rPr>
          <w:rFonts w:hint="eastAsia" w:ascii="宋体" w:hAnsi="宋体" w:cs="宋体"/>
          <w:color w:val="auto"/>
          <w:spacing w:val="6"/>
          <w:sz w:val="22"/>
        </w:rPr>
        <w:t xml:space="preserve">企业名称（加盖CA证书签章）： </w:t>
      </w:r>
    </w:p>
    <w:p w14:paraId="0690BDB6">
      <w:pPr>
        <w:widowControl/>
        <w:spacing w:line="360" w:lineRule="auto"/>
        <w:ind w:firstLine="5336" w:firstLineChars="2300"/>
        <w:jc w:val="left"/>
        <w:rPr>
          <w:rFonts w:hint="eastAsia" w:ascii="宋体" w:hAnsi="宋体" w:cs="宋体"/>
          <w:color w:val="auto"/>
          <w:spacing w:val="6"/>
          <w:sz w:val="22"/>
        </w:rPr>
      </w:pPr>
      <w:r>
        <w:rPr>
          <w:rFonts w:hint="eastAsia" w:ascii="宋体" w:hAnsi="宋体" w:cs="宋体"/>
          <w:color w:val="auto"/>
          <w:spacing w:val="6"/>
          <w:sz w:val="22"/>
        </w:rPr>
        <w:t>日 期：</w:t>
      </w:r>
    </w:p>
    <w:p w14:paraId="79CA9D58">
      <w:pPr>
        <w:pStyle w:val="27"/>
        <w:spacing w:line="360" w:lineRule="exact"/>
        <w:rPr>
          <w:rFonts w:hint="eastAsia" w:hAnsi="宋体" w:cs="宋体"/>
          <w:b/>
          <w:bCs/>
          <w:color w:val="auto"/>
          <w:szCs w:val="21"/>
        </w:rPr>
      </w:pPr>
      <w:r>
        <w:rPr>
          <w:rFonts w:hint="eastAsia" w:hAnsi="宋体" w:cs="宋体"/>
          <w:b/>
          <w:bCs/>
          <w:color w:val="auto"/>
          <w:szCs w:val="21"/>
        </w:rPr>
        <w:t>注：1、从业人员、营业收入、资产总额填报上一年度数据，无上一年度数据的新成立企业可不填报。</w:t>
      </w:r>
    </w:p>
    <w:p w14:paraId="6D033BF1">
      <w:pPr>
        <w:pStyle w:val="27"/>
        <w:spacing w:line="360" w:lineRule="exact"/>
        <w:rPr>
          <w:rFonts w:hint="eastAsia" w:hAnsi="宋体"/>
          <w:b/>
          <w:bCs/>
          <w:color w:val="auto"/>
          <w:szCs w:val="21"/>
        </w:rPr>
      </w:pPr>
      <w:r>
        <w:rPr>
          <w:rFonts w:hint="eastAsia" w:hAnsi="宋体"/>
          <w:b/>
          <w:color w:val="auto"/>
          <w:szCs w:val="21"/>
        </w:rPr>
        <w:t>2、所属行业依照《中小企业划型标准规定》（工信部联企业〔2011〕300号）及《国民经济行业分类》（GB/T4754-2017）的有关规定执行，本项目货物在《统计上大中小微型企业划分标准》中所属行业均</w:t>
      </w:r>
      <w:r>
        <w:rPr>
          <w:rFonts w:hint="eastAsia" w:hAnsi="宋体"/>
          <w:b/>
          <w:color w:val="auto"/>
          <w:szCs w:val="21"/>
          <w:u w:val="single"/>
        </w:rPr>
        <w:t>为</w:t>
      </w:r>
      <w:r>
        <w:rPr>
          <w:rFonts w:hint="eastAsia" w:hAnsi="宋体"/>
          <w:b/>
          <w:bCs/>
          <w:color w:val="auto"/>
          <w:szCs w:val="21"/>
          <w:u w:val="single"/>
        </w:rPr>
        <w:t xml:space="preserve"> </w:t>
      </w:r>
      <w:r>
        <w:rPr>
          <w:rFonts w:hint="eastAsia" w:hAnsi="宋体"/>
          <w:b/>
          <w:color w:val="auto"/>
          <w:szCs w:val="21"/>
          <w:u w:val="single"/>
        </w:rPr>
        <w:t>工业</w:t>
      </w:r>
      <w:r>
        <w:rPr>
          <w:rFonts w:hint="eastAsia" w:hAnsi="宋体"/>
          <w:b/>
          <w:bCs/>
          <w:color w:val="auto"/>
          <w:szCs w:val="21"/>
          <w:u w:val="single"/>
        </w:rPr>
        <w:t xml:space="preserve"> </w:t>
      </w:r>
      <w:r>
        <w:rPr>
          <w:rFonts w:hint="eastAsia" w:hAnsi="宋体"/>
          <w:b/>
          <w:bCs/>
          <w:color w:val="auto"/>
          <w:szCs w:val="21"/>
        </w:rPr>
        <w:t>。</w:t>
      </w:r>
    </w:p>
    <w:p w14:paraId="301F79DF">
      <w:pPr>
        <w:rPr>
          <w:rFonts w:hint="eastAsia" w:ascii="宋体" w:hAnsi="宋体" w:cs="宋体"/>
          <w:b/>
          <w:bCs/>
          <w:color w:val="auto"/>
          <w:kern w:val="0"/>
          <w:sz w:val="30"/>
          <w:szCs w:val="30"/>
        </w:rPr>
      </w:pPr>
      <w:r>
        <w:rPr>
          <w:rFonts w:hint="eastAsia" w:ascii="宋体" w:hAnsi="宋体" w:cs="宋体"/>
          <w:b/>
          <w:bCs/>
          <w:color w:val="auto"/>
          <w:kern w:val="0"/>
          <w:sz w:val="30"/>
          <w:szCs w:val="30"/>
        </w:rPr>
        <w:br w:type="page"/>
      </w:r>
    </w:p>
    <w:p w14:paraId="42933A73">
      <w:pPr>
        <w:widowControl/>
        <w:spacing w:before="120" w:beforeLines="50" w:after="120" w:afterLines="50" w:line="400" w:lineRule="exact"/>
        <w:jc w:val="center"/>
        <w:rPr>
          <w:rFonts w:hint="eastAsia" w:ascii="宋体" w:hAnsi="宋体" w:cs="宋体"/>
          <w:b/>
          <w:bCs/>
          <w:color w:val="auto"/>
          <w:kern w:val="0"/>
          <w:sz w:val="30"/>
          <w:szCs w:val="30"/>
        </w:rPr>
      </w:pPr>
      <w:r>
        <w:rPr>
          <w:rFonts w:hint="eastAsia" w:ascii="宋体" w:hAnsi="宋体" w:cs="宋体"/>
          <w:b/>
          <w:bCs/>
          <w:color w:val="auto"/>
          <w:kern w:val="0"/>
          <w:sz w:val="30"/>
          <w:szCs w:val="30"/>
        </w:rPr>
        <w:t>统计上大中小微型企业划分标准</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7"/>
        <w:gridCol w:w="1358"/>
        <w:gridCol w:w="704"/>
        <w:gridCol w:w="1116"/>
        <w:gridCol w:w="1688"/>
        <w:gridCol w:w="1415"/>
        <w:gridCol w:w="984"/>
      </w:tblGrid>
      <w:tr w14:paraId="23176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exact"/>
          <w:tblHeader/>
          <w:jc w:val="center"/>
        </w:trPr>
        <w:tc>
          <w:tcPr>
            <w:tcW w:w="2097" w:type="dxa"/>
            <w:shd w:val="clear" w:color="auto" w:fill="FFFFFF"/>
            <w:vAlign w:val="center"/>
          </w:tcPr>
          <w:p w14:paraId="253630D6">
            <w:pPr>
              <w:widowControl/>
              <w:spacing w:line="240" w:lineRule="exact"/>
              <w:jc w:val="center"/>
              <w:rPr>
                <w:rFonts w:hint="eastAsia" w:ascii="宋体" w:hAnsi="宋体"/>
                <w:b/>
                <w:bCs/>
                <w:color w:val="auto"/>
                <w:kern w:val="0"/>
                <w:sz w:val="18"/>
                <w:szCs w:val="21"/>
              </w:rPr>
            </w:pPr>
            <w:r>
              <w:rPr>
                <w:rFonts w:ascii="宋体" w:hAnsi="宋体"/>
                <w:b/>
                <w:bCs/>
                <w:color w:val="auto"/>
                <w:kern w:val="0"/>
                <w:sz w:val="18"/>
                <w:szCs w:val="21"/>
              </w:rPr>
              <w:t>行业名称</w:t>
            </w:r>
          </w:p>
        </w:tc>
        <w:tc>
          <w:tcPr>
            <w:tcW w:w="1358" w:type="dxa"/>
            <w:shd w:val="clear" w:color="auto" w:fill="FFFFFF"/>
            <w:vAlign w:val="center"/>
          </w:tcPr>
          <w:p w14:paraId="2AFC3A2A">
            <w:pPr>
              <w:widowControl/>
              <w:jc w:val="center"/>
              <w:rPr>
                <w:rFonts w:hint="eastAsia" w:ascii="宋体" w:hAnsi="宋体"/>
                <w:b/>
                <w:bCs/>
                <w:color w:val="auto"/>
                <w:kern w:val="0"/>
                <w:sz w:val="18"/>
                <w:szCs w:val="18"/>
              </w:rPr>
            </w:pPr>
            <w:r>
              <w:rPr>
                <w:rFonts w:ascii="宋体" w:hAnsi="宋体"/>
                <w:b/>
                <w:bCs/>
                <w:color w:val="auto"/>
                <w:kern w:val="0"/>
                <w:sz w:val="18"/>
                <w:szCs w:val="18"/>
              </w:rPr>
              <w:t>指标名称</w:t>
            </w:r>
          </w:p>
        </w:tc>
        <w:tc>
          <w:tcPr>
            <w:tcW w:w="704" w:type="dxa"/>
            <w:shd w:val="clear" w:color="auto" w:fill="FFFFFF"/>
            <w:vAlign w:val="center"/>
          </w:tcPr>
          <w:p w14:paraId="29502E7B">
            <w:pPr>
              <w:widowControl/>
              <w:jc w:val="center"/>
              <w:rPr>
                <w:rFonts w:hint="eastAsia" w:ascii="宋体" w:hAnsi="宋体"/>
                <w:b/>
                <w:bCs/>
                <w:color w:val="auto"/>
                <w:kern w:val="0"/>
                <w:sz w:val="18"/>
                <w:szCs w:val="18"/>
              </w:rPr>
            </w:pPr>
            <w:r>
              <w:rPr>
                <w:rFonts w:ascii="宋体" w:hAnsi="宋体"/>
                <w:b/>
                <w:bCs/>
                <w:color w:val="auto"/>
                <w:kern w:val="0"/>
                <w:sz w:val="18"/>
                <w:szCs w:val="18"/>
              </w:rPr>
              <w:t>计量</w:t>
            </w:r>
          </w:p>
          <w:p w14:paraId="0413FAA1">
            <w:pPr>
              <w:widowControl/>
              <w:jc w:val="center"/>
              <w:rPr>
                <w:rFonts w:hint="eastAsia" w:ascii="宋体" w:hAnsi="宋体"/>
                <w:b/>
                <w:bCs/>
                <w:color w:val="auto"/>
                <w:kern w:val="0"/>
                <w:sz w:val="18"/>
                <w:szCs w:val="18"/>
              </w:rPr>
            </w:pPr>
            <w:r>
              <w:rPr>
                <w:rFonts w:ascii="宋体" w:hAnsi="宋体"/>
                <w:b/>
                <w:bCs/>
                <w:color w:val="auto"/>
                <w:kern w:val="0"/>
                <w:sz w:val="18"/>
                <w:szCs w:val="18"/>
              </w:rPr>
              <w:t>单位</w:t>
            </w:r>
          </w:p>
        </w:tc>
        <w:tc>
          <w:tcPr>
            <w:tcW w:w="1116" w:type="dxa"/>
            <w:shd w:val="clear" w:color="auto" w:fill="FFFFFF"/>
            <w:vAlign w:val="center"/>
          </w:tcPr>
          <w:p w14:paraId="0D82B314">
            <w:pPr>
              <w:widowControl/>
              <w:jc w:val="center"/>
              <w:rPr>
                <w:rFonts w:hint="eastAsia" w:ascii="宋体" w:hAnsi="宋体"/>
                <w:b/>
                <w:bCs/>
                <w:color w:val="auto"/>
                <w:kern w:val="0"/>
                <w:sz w:val="18"/>
                <w:szCs w:val="18"/>
              </w:rPr>
            </w:pPr>
            <w:r>
              <w:rPr>
                <w:rFonts w:ascii="宋体" w:hAnsi="宋体"/>
                <w:b/>
                <w:bCs/>
                <w:color w:val="auto"/>
                <w:kern w:val="0"/>
                <w:sz w:val="18"/>
                <w:szCs w:val="18"/>
              </w:rPr>
              <w:t>大型</w:t>
            </w:r>
          </w:p>
        </w:tc>
        <w:tc>
          <w:tcPr>
            <w:tcW w:w="1688" w:type="dxa"/>
            <w:shd w:val="clear" w:color="auto" w:fill="FFFFFF"/>
            <w:vAlign w:val="center"/>
          </w:tcPr>
          <w:p w14:paraId="6A1CCFC5">
            <w:pPr>
              <w:widowControl/>
              <w:jc w:val="center"/>
              <w:rPr>
                <w:rFonts w:hint="eastAsia" w:ascii="宋体" w:hAnsi="宋体"/>
                <w:b/>
                <w:bCs/>
                <w:color w:val="auto"/>
                <w:kern w:val="0"/>
                <w:sz w:val="18"/>
                <w:szCs w:val="18"/>
              </w:rPr>
            </w:pPr>
            <w:r>
              <w:rPr>
                <w:rFonts w:ascii="宋体" w:hAnsi="宋体"/>
                <w:b/>
                <w:bCs/>
                <w:color w:val="auto"/>
                <w:kern w:val="0"/>
                <w:sz w:val="18"/>
                <w:szCs w:val="18"/>
              </w:rPr>
              <w:t>中型</w:t>
            </w:r>
          </w:p>
        </w:tc>
        <w:tc>
          <w:tcPr>
            <w:tcW w:w="1415" w:type="dxa"/>
            <w:shd w:val="clear" w:color="auto" w:fill="FFFFFF"/>
            <w:vAlign w:val="center"/>
          </w:tcPr>
          <w:p w14:paraId="6E5B99AC">
            <w:pPr>
              <w:widowControl/>
              <w:jc w:val="center"/>
              <w:rPr>
                <w:rFonts w:hint="eastAsia" w:ascii="宋体" w:hAnsi="宋体"/>
                <w:b/>
                <w:bCs/>
                <w:color w:val="auto"/>
                <w:kern w:val="0"/>
                <w:sz w:val="18"/>
                <w:szCs w:val="18"/>
              </w:rPr>
            </w:pPr>
            <w:r>
              <w:rPr>
                <w:rFonts w:ascii="宋体" w:hAnsi="宋体"/>
                <w:b/>
                <w:bCs/>
                <w:color w:val="auto"/>
                <w:kern w:val="0"/>
                <w:sz w:val="18"/>
                <w:szCs w:val="18"/>
              </w:rPr>
              <w:t>小型</w:t>
            </w:r>
          </w:p>
        </w:tc>
        <w:tc>
          <w:tcPr>
            <w:tcW w:w="984" w:type="dxa"/>
            <w:shd w:val="clear" w:color="auto" w:fill="FFFFFF"/>
            <w:vAlign w:val="center"/>
          </w:tcPr>
          <w:p w14:paraId="4B2344E8">
            <w:pPr>
              <w:widowControl/>
              <w:jc w:val="center"/>
              <w:rPr>
                <w:rFonts w:hint="eastAsia" w:ascii="宋体" w:hAnsi="宋体"/>
                <w:b/>
                <w:bCs/>
                <w:color w:val="auto"/>
                <w:kern w:val="0"/>
                <w:sz w:val="18"/>
                <w:szCs w:val="18"/>
              </w:rPr>
            </w:pPr>
            <w:r>
              <w:rPr>
                <w:rFonts w:ascii="宋体" w:hAnsi="宋体"/>
                <w:b/>
                <w:bCs/>
                <w:color w:val="auto"/>
                <w:kern w:val="0"/>
                <w:sz w:val="18"/>
                <w:szCs w:val="18"/>
              </w:rPr>
              <w:t>微型</w:t>
            </w:r>
          </w:p>
        </w:tc>
      </w:tr>
      <w:tr w14:paraId="21498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exact"/>
          <w:jc w:val="center"/>
        </w:trPr>
        <w:tc>
          <w:tcPr>
            <w:tcW w:w="2097" w:type="dxa"/>
            <w:vAlign w:val="center"/>
          </w:tcPr>
          <w:p w14:paraId="53FD9B2B">
            <w:pPr>
              <w:widowControl/>
              <w:spacing w:line="240" w:lineRule="exact"/>
              <w:jc w:val="left"/>
              <w:rPr>
                <w:rFonts w:hint="eastAsia" w:ascii="宋体" w:hAnsi="宋体"/>
                <w:color w:val="auto"/>
                <w:kern w:val="0"/>
                <w:sz w:val="18"/>
                <w:szCs w:val="18"/>
              </w:rPr>
            </w:pPr>
            <w:r>
              <w:rPr>
                <w:rFonts w:ascii="宋体" w:hAnsi="宋体"/>
                <w:color w:val="auto"/>
                <w:kern w:val="0"/>
                <w:sz w:val="18"/>
                <w:szCs w:val="18"/>
              </w:rPr>
              <w:t>农、林、牧、渔业</w:t>
            </w:r>
          </w:p>
        </w:tc>
        <w:tc>
          <w:tcPr>
            <w:tcW w:w="1358" w:type="dxa"/>
            <w:vAlign w:val="center"/>
          </w:tcPr>
          <w:p w14:paraId="4336B24A">
            <w:pPr>
              <w:widowControl/>
              <w:jc w:val="center"/>
              <w:rPr>
                <w:rFonts w:hint="eastAsia" w:ascii="宋体" w:hAnsi="宋体"/>
                <w:color w:val="auto"/>
                <w:kern w:val="0"/>
                <w:sz w:val="18"/>
                <w:szCs w:val="18"/>
              </w:rPr>
            </w:pPr>
            <w:r>
              <w:rPr>
                <w:rFonts w:ascii="宋体" w:hAnsi="宋体"/>
                <w:color w:val="auto"/>
                <w:kern w:val="0"/>
                <w:sz w:val="18"/>
                <w:szCs w:val="18"/>
              </w:rPr>
              <w:t>营业收入（Y）</w:t>
            </w:r>
          </w:p>
        </w:tc>
        <w:tc>
          <w:tcPr>
            <w:tcW w:w="704" w:type="dxa"/>
            <w:vAlign w:val="center"/>
          </w:tcPr>
          <w:p w14:paraId="2462896A">
            <w:pPr>
              <w:widowControl/>
              <w:jc w:val="center"/>
              <w:rPr>
                <w:rFonts w:hint="eastAsia" w:ascii="宋体" w:hAnsi="宋体"/>
                <w:color w:val="auto"/>
                <w:kern w:val="0"/>
                <w:sz w:val="18"/>
                <w:szCs w:val="18"/>
              </w:rPr>
            </w:pPr>
            <w:r>
              <w:rPr>
                <w:rFonts w:ascii="宋体" w:hAnsi="宋体"/>
                <w:color w:val="auto"/>
                <w:kern w:val="0"/>
                <w:sz w:val="18"/>
                <w:szCs w:val="18"/>
              </w:rPr>
              <w:t>万元</w:t>
            </w:r>
          </w:p>
        </w:tc>
        <w:tc>
          <w:tcPr>
            <w:tcW w:w="1116" w:type="dxa"/>
            <w:vAlign w:val="center"/>
          </w:tcPr>
          <w:p w14:paraId="733E7AC0">
            <w:pPr>
              <w:widowControl/>
              <w:jc w:val="center"/>
              <w:rPr>
                <w:rFonts w:hint="eastAsia" w:ascii="宋体" w:hAnsi="宋体"/>
                <w:color w:val="auto"/>
                <w:kern w:val="0"/>
                <w:sz w:val="18"/>
                <w:szCs w:val="18"/>
              </w:rPr>
            </w:pPr>
            <w:r>
              <w:rPr>
                <w:rFonts w:ascii="宋体" w:hAnsi="宋体"/>
                <w:color w:val="auto"/>
                <w:kern w:val="0"/>
                <w:sz w:val="18"/>
                <w:szCs w:val="18"/>
              </w:rPr>
              <w:t>Y≥20000</w:t>
            </w:r>
          </w:p>
        </w:tc>
        <w:tc>
          <w:tcPr>
            <w:tcW w:w="1688" w:type="dxa"/>
            <w:vAlign w:val="center"/>
          </w:tcPr>
          <w:p w14:paraId="3EF81063">
            <w:pPr>
              <w:widowControl/>
              <w:jc w:val="center"/>
              <w:rPr>
                <w:rFonts w:hint="eastAsia" w:ascii="宋体" w:hAnsi="宋体"/>
                <w:color w:val="auto"/>
                <w:kern w:val="0"/>
                <w:sz w:val="18"/>
                <w:szCs w:val="18"/>
              </w:rPr>
            </w:pPr>
            <w:r>
              <w:rPr>
                <w:rFonts w:ascii="宋体" w:hAnsi="宋体"/>
                <w:color w:val="auto"/>
                <w:kern w:val="0"/>
                <w:sz w:val="18"/>
                <w:szCs w:val="18"/>
              </w:rPr>
              <w:t>500≤Y＜20000</w:t>
            </w:r>
          </w:p>
        </w:tc>
        <w:tc>
          <w:tcPr>
            <w:tcW w:w="1415" w:type="dxa"/>
            <w:vAlign w:val="center"/>
          </w:tcPr>
          <w:p w14:paraId="4D996A86">
            <w:pPr>
              <w:widowControl/>
              <w:jc w:val="center"/>
              <w:rPr>
                <w:rFonts w:hint="eastAsia" w:ascii="宋体" w:hAnsi="宋体"/>
                <w:color w:val="auto"/>
                <w:kern w:val="0"/>
                <w:sz w:val="18"/>
                <w:szCs w:val="18"/>
              </w:rPr>
            </w:pPr>
            <w:r>
              <w:rPr>
                <w:rFonts w:ascii="宋体" w:hAnsi="宋体"/>
                <w:color w:val="auto"/>
                <w:kern w:val="0"/>
                <w:sz w:val="18"/>
                <w:szCs w:val="18"/>
              </w:rPr>
              <w:t>50≤Y＜500</w:t>
            </w:r>
          </w:p>
        </w:tc>
        <w:tc>
          <w:tcPr>
            <w:tcW w:w="984" w:type="dxa"/>
            <w:vAlign w:val="center"/>
          </w:tcPr>
          <w:p w14:paraId="1198783D">
            <w:pPr>
              <w:widowControl/>
              <w:jc w:val="center"/>
              <w:rPr>
                <w:rFonts w:hint="eastAsia" w:ascii="宋体" w:hAnsi="宋体"/>
                <w:color w:val="auto"/>
                <w:kern w:val="0"/>
                <w:sz w:val="18"/>
                <w:szCs w:val="18"/>
              </w:rPr>
            </w:pPr>
            <w:r>
              <w:rPr>
                <w:rFonts w:ascii="宋体" w:hAnsi="宋体"/>
                <w:color w:val="auto"/>
                <w:kern w:val="0"/>
                <w:sz w:val="18"/>
                <w:szCs w:val="18"/>
              </w:rPr>
              <w:t>Y＜50</w:t>
            </w:r>
          </w:p>
        </w:tc>
      </w:tr>
      <w:tr w14:paraId="0C428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exact"/>
          <w:jc w:val="center"/>
        </w:trPr>
        <w:tc>
          <w:tcPr>
            <w:tcW w:w="2097" w:type="dxa"/>
            <w:vMerge w:val="restart"/>
            <w:vAlign w:val="center"/>
          </w:tcPr>
          <w:p w14:paraId="1C26B10A">
            <w:pPr>
              <w:widowControl/>
              <w:spacing w:line="240" w:lineRule="exact"/>
              <w:jc w:val="left"/>
              <w:rPr>
                <w:rFonts w:hint="eastAsia" w:ascii="宋体" w:hAnsi="宋体"/>
                <w:color w:val="auto"/>
                <w:kern w:val="0"/>
                <w:sz w:val="18"/>
                <w:szCs w:val="18"/>
              </w:rPr>
            </w:pPr>
            <w:r>
              <w:rPr>
                <w:rFonts w:ascii="宋体" w:hAnsi="宋体"/>
                <w:color w:val="auto"/>
                <w:kern w:val="0"/>
                <w:sz w:val="18"/>
                <w:szCs w:val="18"/>
              </w:rPr>
              <w:t>工业 *</w:t>
            </w:r>
          </w:p>
        </w:tc>
        <w:tc>
          <w:tcPr>
            <w:tcW w:w="1358" w:type="dxa"/>
            <w:vAlign w:val="center"/>
          </w:tcPr>
          <w:p w14:paraId="13629B16">
            <w:pPr>
              <w:widowControl/>
              <w:jc w:val="center"/>
              <w:rPr>
                <w:rFonts w:hint="eastAsia" w:ascii="宋体" w:hAnsi="宋体"/>
                <w:color w:val="auto"/>
                <w:kern w:val="0"/>
                <w:sz w:val="18"/>
                <w:szCs w:val="18"/>
              </w:rPr>
            </w:pPr>
            <w:r>
              <w:rPr>
                <w:rFonts w:ascii="宋体" w:hAnsi="宋体"/>
                <w:color w:val="auto"/>
                <w:kern w:val="0"/>
                <w:sz w:val="18"/>
                <w:szCs w:val="18"/>
              </w:rPr>
              <w:t>从业人员（X）</w:t>
            </w:r>
          </w:p>
        </w:tc>
        <w:tc>
          <w:tcPr>
            <w:tcW w:w="704" w:type="dxa"/>
            <w:vAlign w:val="center"/>
          </w:tcPr>
          <w:p w14:paraId="48E45549">
            <w:pPr>
              <w:widowControl/>
              <w:jc w:val="center"/>
              <w:rPr>
                <w:rFonts w:hint="eastAsia" w:ascii="宋体" w:hAnsi="宋体"/>
                <w:color w:val="auto"/>
                <w:kern w:val="0"/>
                <w:sz w:val="18"/>
                <w:szCs w:val="18"/>
              </w:rPr>
            </w:pPr>
            <w:r>
              <w:rPr>
                <w:rFonts w:ascii="宋体" w:hAnsi="宋体"/>
                <w:color w:val="auto"/>
                <w:kern w:val="0"/>
                <w:sz w:val="18"/>
                <w:szCs w:val="18"/>
              </w:rPr>
              <w:t>人</w:t>
            </w:r>
          </w:p>
        </w:tc>
        <w:tc>
          <w:tcPr>
            <w:tcW w:w="1116" w:type="dxa"/>
            <w:vAlign w:val="center"/>
          </w:tcPr>
          <w:p w14:paraId="7AA8B77E">
            <w:pPr>
              <w:widowControl/>
              <w:jc w:val="center"/>
              <w:rPr>
                <w:rFonts w:hint="eastAsia" w:ascii="宋体" w:hAnsi="宋体"/>
                <w:color w:val="auto"/>
                <w:kern w:val="0"/>
                <w:sz w:val="18"/>
                <w:szCs w:val="18"/>
              </w:rPr>
            </w:pPr>
            <w:r>
              <w:rPr>
                <w:rFonts w:ascii="宋体" w:hAnsi="宋体"/>
                <w:color w:val="auto"/>
                <w:kern w:val="0"/>
                <w:sz w:val="18"/>
                <w:szCs w:val="18"/>
              </w:rPr>
              <w:t>X≥1000</w:t>
            </w:r>
          </w:p>
        </w:tc>
        <w:tc>
          <w:tcPr>
            <w:tcW w:w="1688" w:type="dxa"/>
            <w:vAlign w:val="center"/>
          </w:tcPr>
          <w:p w14:paraId="35946525">
            <w:pPr>
              <w:widowControl/>
              <w:jc w:val="center"/>
              <w:rPr>
                <w:rFonts w:hint="eastAsia" w:ascii="宋体" w:hAnsi="宋体"/>
                <w:color w:val="auto"/>
                <w:kern w:val="0"/>
                <w:sz w:val="18"/>
                <w:szCs w:val="18"/>
              </w:rPr>
            </w:pPr>
            <w:r>
              <w:rPr>
                <w:rFonts w:ascii="宋体" w:hAnsi="宋体"/>
                <w:color w:val="auto"/>
                <w:kern w:val="0"/>
                <w:sz w:val="18"/>
                <w:szCs w:val="18"/>
              </w:rPr>
              <w:t>300≤X＜1000</w:t>
            </w:r>
          </w:p>
        </w:tc>
        <w:tc>
          <w:tcPr>
            <w:tcW w:w="1415" w:type="dxa"/>
            <w:vAlign w:val="center"/>
          </w:tcPr>
          <w:p w14:paraId="18F90666">
            <w:pPr>
              <w:widowControl/>
              <w:jc w:val="center"/>
              <w:rPr>
                <w:rFonts w:hint="eastAsia" w:ascii="宋体" w:hAnsi="宋体"/>
                <w:color w:val="auto"/>
                <w:kern w:val="0"/>
                <w:sz w:val="18"/>
                <w:szCs w:val="18"/>
              </w:rPr>
            </w:pPr>
            <w:r>
              <w:rPr>
                <w:rFonts w:ascii="宋体" w:hAnsi="宋体"/>
                <w:color w:val="auto"/>
                <w:kern w:val="0"/>
                <w:sz w:val="18"/>
                <w:szCs w:val="18"/>
              </w:rPr>
              <w:t>20≤X＜300</w:t>
            </w:r>
          </w:p>
        </w:tc>
        <w:tc>
          <w:tcPr>
            <w:tcW w:w="984" w:type="dxa"/>
            <w:vAlign w:val="center"/>
          </w:tcPr>
          <w:p w14:paraId="2477353F">
            <w:pPr>
              <w:widowControl/>
              <w:jc w:val="center"/>
              <w:rPr>
                <w:rFonts w:hint="eastAsia" w:ascii="宋体" w:hAnsi="宋体"/>
                <w:color w:val="auto"/>
                <w:kern w:val="0"/>
                <w:sz w:val="18"/>
                <w:szCs w:val="18"/>
              </w:rPr>
            </w:pPr>
            <w:r>
              <w:rPr>
                <w:rFonts w:ascii="宋体" w:hAnsi="宋体"/>
                <w:color w:val="auto"/>
                <w:kern w:val="0"/>
                <w:sz w:val="18"/>
                <w:szCs w:val="18"/>
              </w:rPr>
              <w:t>X＜20</w:t>
            </w:r>
          </w:p>
        </w:tc>
      </w:tr>
      <w:tr w14:paraId="16352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exact"/>
          <w:jc w:val="center"/>
        </w:trPr>
        <w:tc>
          <w:tcPr>
            <w:tcW w:w="2097" w:type="dxa"/>
            <w:vMerge w:val="continue"/>
            <w:vAlign w:val="center"/>
          </w:tcPr>
          <w:p w14:paraId="6E988004">
            <w:pPr>
              <w:widowControl/>
              <w:jc w:val="left"/>
              <w:rPr>
                <w:rFonts w:hint="eastAsia" w:ascii="宋体" w:hAnsi="宋体"/>
                <w:color w:val="auto"/>
                <w:kern w:val="0"/>
                <w:sz w:val="18"/>
                <w:szCs w:val="18"/>
              </w:rPr>
            </w:pPr>
          </w:p>
        </w:tc>
        <w:tc>
          <w:tcPr>
            <w:tcW w:w="1358" w:type="dxa"/>
            <w:vAlign w:val="center"/>
          </w:tcPr>
          <w:p w14:paraId="6B741D40">
            <w:pPr>
              <w:widowControl/>
              <w:spacing w:line="240" w:lineRule="exact"/>
              <w:jc w:val="center"/>
              <w:rPr>
                <w:rFonts w:hint="eastAsia" w:ascii="宋体" w:hAnsi="宋体"/>
                <w:color w:val="auto"/>
                <w:kern w:val="0"/>
                <w:sz w:val="18"/>
                <w:szCs w:val="18"/>
              </w:rPr>
            </w:pPr>
            <w:r>
              <w:rPr>
                <w:rFonts w:ascii="宋体" w:hAnsi="宋体"/>
                <w:color w:val="auto"/>
                <w:kern w:val="0"/>
                <w:sz w:val="18"/>
                <w:szCs w:val="18"/>
              </w:rPr>
              <w:t>营业收入（Y）</w:t>
            </w:r>
          </w:p>
        </w:tc>
        <w:tc>
          <w:tcPr>
            <w:tcW w:w="704" w:type="dxa"/>
            <w:vAlign w:val="center"/>
          </w:tcPr>
          <w:p w14:paraId="60930D92">
            <w:pPr>
              <w:widowControl/>
              <w:jc w:val="center"/>
              <w:rPr>
                <w:rFonts w:hint="eastAsia" w:ascii="宋体" w:hAnsi="宋体"/>
                <w:color w:val="auto"/>
                <w:kern w:val="0"/>
                <w:sz w:val="18"/>
                <w:szCs w:val="18"/>
              </w:rPr>
            </w:pPr>
            <w:r>
              <w:rPr>
                <w:rFonts w:ascii="宋体" w:hAnsi="宋体"/>
                <w:color w:val="auto"/>
                <w:kern w:val="0"/>
                <w:sz w:val="18"/>
                <w:szCs w:val="18"/>
              </w:rPr>
              <w:t>万元</w:t>
            </w:r>
          </w:p>
        </w:tc>
        <w:tc>
          <w:tcPr>
            <w:tcW w:w="1116" w:type="dxa"/>
            <w:vAlign w:val="center"/>
          </w:tcPr>
          <w:p w14:paraId="047C747B">
            <w:pPr>
              <w:widowControl/>
              <w:jc w:val="center"/>
              <w:rPr>
                <w:rFonts w:hint="eastAsia" w:ascii="宋体" w:hAnsi="宋体"/>
                <w:color w:val="auto"/>
                <w:kern w:val="0"/>
                <w:sz w:val="18"/>
                <w:szCs w:val="18"/>
              </w:rPr>
            </w:pPr>
            <w:r>
              <w:rPr>
                <w:rFonts w:ascii="宋体" w:hAnsi="宋体"/>
                <w:color w:val="auto"/>
                <w:kern w:val="0"/>
                <w:sz w:val="18"/>
                <w:szCs w:val="18"/>
              </w:rPr>
              <w:t>Y≥40000</w:t>
            </w:r>
          </w:p>
        </w:tc>
        <w:tc>
          <w:tcPr>
            <w:tcW w:w="1688" w:type="dxa"/>
            <w:vAlign w:val="center"/>
          </w:tcPr>
          <w:p w14:paraId="358D4F60">
            <w:pPr>
              <w:widowControl/>
              <w:jc w:val="center"/>
              <w:rPr>
                <w:rFonts w:hint="eastAsia" w:ascii="宋体" w:hAnsi="宋体"/>
                <w:color w:val="auto"/>
                <w:kern w:val="0"/>
                <w:sz w:val="18"/>
                <w:szCs w:val="18"/>
              </w:rPr>
            </w:pPr>
            <w:r>
              <w:rPr>
                <w:rFonts w:ascii="宋体" w:hAnsi="宋体"/>
                <w:color w:val="auto"/>
                <w:kern w:val="0"/>
                <w:sz w:val="18"/>
                <w:szCs w:val="18"/>
              </w:rPr>
              <w:t>2000≤Y＜40000</w:t>
            </w:r>
          </w:p>
        </w:tc>
        <w:tc>
          <w:tcPr>
            <w:tcW w:w="1415" w:type="dxa"/>
            <w:vAlign w:val="center"/>
          </w:tcPr>
          <w:p w14:paraId="092AF4AA">
            <w:pPr>
              <w:widowControl/>
              <w:jc w:val="center"/>
              <w:rPr>
                <w:rFonts w:hint="eastAsia" w:ascii="宋体" w:hAnsi="宋体"/>
                <w:color w:val="auto"/>
                <w:kern w:val="0"/>
                <w:sz w:val="18"/>
                <w:szCs w:val="18"/>
              </w:rPr>
            </w:pPr>
            <w:r>
              <w:rPr>
                <w:rFonts w:ascii="宋体" w:hAnsi="宋体"/>
                <w:color w:val="auto"/>
                <w:kern w:val="0"/>
                <w:sz w:val="18"/>
                <w:szCs w:val="18"/>
              </w:rPr>
              <w:t>300≤Y＜2000</w:t>
            </w:r>
          </w:p>
        </w:tc>
        <w:tc>
          <w:tcPr>
            <w:tcW w:w="984" w:type="dxa"/>
            <w:vAlign w:val="center"/>
          </w:tcPr>
          <w:p w14:paraId="4FF8C89E">
            <w:pPr>
              <w:widowControl/>
              <w:jc w:val="center"/>
              <w:rPr>
                <w:rFonts w:hint="eastAsia" w:ascii="宋体" w:hAnsi="宋体"/>
                <w:color w:val="auto"/>
                <w:kern w:val="0"/>
                <w:sz w:val="18"/>
                <w:szCs w:val="18"/>
              </w:rPr>
            </w:pPr>
            <w:r>
              <w:rPr>
                <w:rFonts w:ascii="宋体" w:hAnsi="宋体"/>
                <w:color w:val="auto"/>
                <w:kern w:val="0"/>
                <w:sz w:val="18"/>
                <w:szCs w:val="18"/>
              </w:rPr>
              <w:t>Y＜300</w:t>
            </w:r>
          </w:p>
        </w:tc>
      </w:tr>
      <w:tr w14:paraId="24FB9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exact"/>
          <w:jc w:val="center"/>
        </w:trPr>
        <w:tc>
          <w:tcPr>
            <w:tcW w:w="2097" w:type="dxa"/>
            <w:vMerge w:val="restart"/>
            <w:vAlign w:val="center"/>
          </w:tcPr>
          <w:p w14:paraId="10CC8F8F">
            <w:pPr>
              <w:widowControl/>
              <w:spacing w:line="240" w:lineRule="exact"/>
              <w:jc w:val="left"/>
              <w:rPr>
                <w:rFonts w:hint="eastAsia" w:ascii="宋体" w:hAnsi="宋体"/>
                <w:color w:val="auto"/>
                <w:kern w:val="0"/>
                <w:sz w:val="18"/>
                <w:szCs w:val="18"/>
              </w:rPr>
            </w:pPr>
            <w:r>
              <w:rPr>
                <w:rFonts w:ascii="宋体" w:hAnsi="宋体"/>
                <w:color w:val="auto"/>
                <w:kern w:val="0"/>
                <w:sz w:val="18"/>
                <w:szCs w:val="18"/>
              </w:rPr>
              <w:t>建筑业</w:t>
            </w:r>
          </w:p>
        </w:tc>
        <w:tc>
          <w:tcPr>
            <w:tcW w:w="1358" w:type="dxa"/>
            <w:vAlign w:val="center"/>
          </w:tcPr>
          <w:p w14:paraId="12AC2A75">
            <w:pPr>
              <w:widowControl/>
              <w:jc w:val="center"/>
              <w:rPr>
                <w:rFonts w:hint="eastAsia" w:ascii="宋体" w:hAnsi="宋体"/>
                <w:color w:val="auto"/>
                <w:kern w:val="0"/>
                <w:sz w:val="18"/>
                <w:szCs w:val="18"/>
              </w:rPr>
            </w:pPr>
            <w:r>
              <w:rPr>
                <w:rFonts w:ascii="宋体" w:hAnsi="宋体"/>
                <w:color w:val="auto"/>
                <w:kern w:val="0"/>
                <w:sz w:val="18"/>
                <w:szCs w:val="18"/>
              </w:rPr>
              <w:t>营业收入（Y）</w:t>
            </w:r>
          </w:p>
        </w:tc>
        <w:tc>
          <w:tcPr>
            <w:tcW w:w="704" w:type="dxa"/>
            <w:vAlign w:val="center"/>
          </w:tcPr>
          <w:p w14:paraId="71E5853F">
            <w:pPr>
              <w:widowControl/>
              <w:jc w:val="center"/>
              <w:rPr>
                <w:rFonts w:hint="eastAsia" w:ascii="宋体" w:hAnsi="宋体"/>
                <w:color w:val="auto"/>
                <w:kern w:val="0"/>
                <w:sz w:val="18"/>
                <w:szCs w:val="18"/>
              </w:rPr>
            </w:pPr>
            <w:r>
              <w:rPr>
                <w:rFonts w:ascii="宋体" w:hAnsi="宋体"/>
                <w:color w:val="auto"/>
                <w:kern w:val="0"/>
                <w:sz w:val="18"/>
                <w:szCs w:val="18"/>
              </w:rPr>
              <w:t>万元</w:t>
            </w:r>
          </w:p>
        </w:tc>
        <w:tc>
          <w:tcPr>
            <w:tcW w:w="1116" w:type="dxa"/>
            <w:vAlign w:val="center"/>
          </w:tcPr>
          <w:p w14:paraId="0D35AB50">
            <w:pPr>
              <w:widowControl/>
              <w:jc w:val="center"/>
              <w:rPr>
                <w:rFonts w:hint="eastAsia" w:ascii="宋体" w:hAnsi="宋体"/>
                <w:color w:val="auto"/>
                <w:kern w:val="0"/>
                <w:sz w:val="18"/>
                <w:szCs w:val="18"/>
              </w:rPr>
            </w:pPr>
            <w:r>
              <w:rPr>
                <w:rFonts w:ascii="宋体" w:hAnsi="宋体"/>
                <w:color w:val="auto"/>
                <w:kern w:val="0"/>
                <w:sz w:val="18"/>
                <w:szCs w:val="18"/>
              </w:rPr>
              <w:t>Y≥80000</w:t>
            </w:r>
          </w:p>
        </w:tc>
        <w:tc>
          <w:tcPr>
            <w:tcW w:w="1688" w:type="dxa"/>
            <w:vAlign w:val="center"/>
          </w:tcPr>
          <w:p w14:paraId="5EF9E56A">
            <w:pPr>
              <w:widowControl/>
              <w:jc w:val="center"/>
              <w:rPr>
                <w:rFonts w:hint="eastAsia" w:ascii="宋体" w:hAnsi="宋体"/>
                <w:color w:val="auto"/>
                <w:kern w:val="0"/>
                <w:sz w:val="18"/>
                <w:szCs w:val="18"/>
              </w:rPr>
            </w:pPr>
            <w:r>
              <w:rPr>
                <w:rFonts w:ascii="宋体" w:hAnsi="宋体"/>
                <w:color w:val="auto"/>
                <w:kern w:val="0"/>
                <w:sz w:val="18"/>
                <w:szCs w:val="18"/>
              </w:rPr>
              <w:t>6000≤Y＜80000</w:t>
            </w:r>
          </w:p>
        </w:tc>
        <w:tc>
          <w:tcPr>
            <w:tcW w:w="1415" w:type="dxa"/>
            <w:vAlign w:val="center"/>
          </w:tcPr>
          <w:p w14:paraId="33E30D0B">
            <w:pPr>
              <w:widowControl/>
              <w:jc w:val="center"/>
              <w:rPr>
                <w:rFonts w:hint="eastAsia" w:ascii="宋体" w:hAnsi="宋体"/>
                <w:color w:val="auto"/>
                <w:kern w:val="0"/>
                <w:sz w:val="18"/>
                <w:szCs w:val="18"/>
              </w:rPr>
            </w:pPr>
            <w:r>
              <w:rPr>
                <w:rFonts w:ascii="宋体" w:hAnsi="宋体"/>
                <w:color w:val="auto"/>
                <w:kern w:val="0"/>
                <w:sz w:val="18"/>
                <w:szCs w:val="18"/>
              </w:rPr>
              <w:t>300≤Y＜6000</w:t>
            </w:r>
          </w:p>
        </w:tc>
        <w:tc>
          <w:tcPr>
            <w:tcW w:w="984" w:type="dxa"/>
            <w:vAlign w:val="center"/>
          </w:tcPr>
          <w:p w14:paraId="28782A4D">
            <w:pPr>
              <w:widowControl/>
              <w:jc w:val="center"/>
              <w:rPr>
                <w:rFonts w:hint="eastAsia" w:ascii="宋体" w:hAnsi="宋体"/>
                <w:color w:val="auto"/>
                <w:kern w:val="0"/>
                <w:sz w:val="18"/>
                <w:szCs w:val="18"/>
              </w:rPr>
            </w:pPr>
            <w:r>
              <w:rPr>
                <w:rFonts w:ascii="宋体" w:hAnsi="宋体"/>
                <w:color w:val="auto"/>
                <w:kern w:val="0"/>
                <w:sz w:val="18"/>
                <w:szCs w:val="18"/>
              </w:rPr>
              <w:t>Y＜300</w:t>
            </w:r>
          </w:p>
        </w:tc>
      </w:tr>
      <w:tr w14:paraId="64530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exact"/>
          <w:jc w:val="center"/>
        </w:trPr>
        <w:tc>
          <w:tcPr>
            <w:tcW w:w="2097" w:type="dxa"/>
            <w:vMerge w:val="continue"/>
            <w:vAlign w:val="center"/>
          </w:tcPr>
          <w:p w14:paraId="627CEC1B">
            <w:pPr>
              <w:widowControl/>
              <w:jc w:val="left"/>
              <w:rPr>
                <w:rFonts w:hint="eastAsia" w:ascii="宋体" w:hAnsi="宋体"/>
                <w:color w:val="auto"/>
                <w:kern w:val="0"/>
                <w:sz w:val="18"/>
                <w:szCs w:val="18"/>
              </w:rPr>
            </w:pPr>
          </w:p>
        </w:tc>
        <w:tc>
          <w:tcPr>
            <w:tcW w:w="1358" w:type="dxa"/>
            <w:vAlign w:val="center"/>
          </w:tcPr>
          <w:p w14:paraId="6D7AC071">
            <w:pPr>
              <w:widowControl/>
              <w:spacing w:line="240" w:lineRule="exact"/>
              <w:jc w:val="center"/>
              <w:rPr>
                <w:rFonts w:hint="eastAsia" w:ascii="宋体" w:hAnsi="宋体"/>
                <w:color w:val="auto"/>
                <w:kern w:val="0"/>
                <w:sz w:val="18"/>
                <w:szCs w:val="18"/>
              </w:rPr>
            </w:pPr>
            <w:r>
              <w:rPr>
                <w:rFonts w:ascii="宋体" w:hAnsi="宋体"/>
                <w:color w:val="auto"/>
                <w:kern w:val="0"/>
                <w:sz w:val="18"/>
                <w:szCs w:val="18"/>
              </w:rPr>
              <w:t>资产总额（Z）</w:t>
            </w:r>
          </w:p>
        </w:tc>
        <w:tc>
          <w:tcPr>
            <w:tcW w:w="704" w:type="dxa"/>
            <w:vAlign w:val="center"/>
          </w:tcPr>
          <w:p w14:paraId="193599D4">
            <w:pPr>
              <w:widowControl/>
              <w:jc w:val="center"/>
              <w:rPr>
                <w:rFonts w:hint="eastAsia" w:ascii="宋体" w:hAnsi="宋体"/>
                <w:color w:val="auto"/>
                <w:kern w:val="0"/>
                <w:sz w:val="18"/>
                <w:szCs w:val="18"/>
              </w:rPr>
            </w:pPr>
            <w:r>
              <w:rPr>
                <w:rFonts w:ascii="宋体" w:hAnsi="宋体"/>
                <w:color w:val="auto"/>
                <w:kern w:val="0"/>
                <w:sz w:val="18"/>
                <w:szCs w:val="18"/>
              </w:rPr>
              <w:t>万元</w:t>
            </w:r>
          </w:p>
        </w:tc>
        <w:tc>
          <w:tcPr>
            <w:tcW w:w="1116" w:type="dxa"/>
            <w:vAlign w:val="center"/>
          </w:tcPr>
          <w:p w14:paraId="385B0759">
            <w:pPr>
              <w:widowControl/>
              <w:jc w:val="center"/>
              <w:rPr>
                <w:rFonts w:hint="eastAsia" w:ascii="宋体" w:hAnsi="宋体"/>
                <w:color w:val="auto"/>
                <w:kern w:val="0"/>
                <w:sz w:val="18"/>
                <w:szCs w:val="18"/>
              </w:rPr>
            </w:pPr>
            <w:r>
              <w:rPr>
                <w:rFonts w:ascii="宋体" w:hAnsi="宋体"/>
                <w:color w:val="auto"/>
                <w:kern w:val="0"/>
                <w:sz w:val="18"/>
                <w:szCs w:val="18"/>
              </w:rPr>
              <w:t>Z≥80000</w:t>
            </w:r>
          </w:p>
        </w:tc>
        <w:tc>
          <w:tcPr>
            <w:tcW w:w="1688" w:type="dxa"/>
            <w:vAlign w:val="center"/>
          </w:tcPr>
          <w:p w14:paraId="1735B70E">
            <w:pPr>
              <w:widowControl/>
              <w:jc w:val="center"/>
              <w:rPr>
                <w:rFonts w:hint="eastAsia" w:ascii="宋体" w:hAnsi="宋体"/>
                <w:color w:val="auto"/>
                <w:kern w:val="0"/>
                <w:sz w:val="18"/>
                <w:szCs w:val="18"/>
              </w:rPr>
            </w:pPr>
            <w:r>
              <w:rPr>
                <w:rFonts w:ascii="宋体" w:hAnsi="宋体"/>
                <w:color w:val="auto"/>
                <w:kern w:val="0"/>
                <w:sz w:val="18"/>
                <w:szCs w:val="18"/>
              </w:rPr>
              <w:t>5000≤Z＜80000</w:t>
            </w:r>
          </w:p>
        </w:tc>
        <w:tc>
          <w:tcPr>
            <w:tcW w:w="1415" w:type="dxa"/>
            <w:vAlign w:val="center"/>
          </w:tcPr>
          <w:p w14:paraId="02BC3FC6">
            <w:pPr>
              <w:widowControl/>
              <w:jc w:val="center"/>
              <w:rPr>
                <w:rFonts w:hint="eastAsia" w:ascii="宋体" w:hAnsi="宋体"/>
                <w:color w:val="auto"/>
                <w:kern w:val="0"/>
                <w:sz w:val="18"/>
                <w:szCs w:val="18"/>
              </w:rPr>
            </w:pPr>
            <w:r>
              <w:rPr>
                <w:rFonts w:ascii="宋体" w:hAnsi="宋体"/>
                <w:color w:val="auto"/>
                <w:kern w:val="0"/>
                <w:sz w:val="18"/>
                <w:szCs w:val="18"/>
              </w:rPr>
              <w:t>300≤Z＜5000</w:t>
            </w:r>
          </w:p>
        </w:tc>
        <w:tc>
          <w:tcPr>
            <w:tcW w:w="984" w:type="dxa"/>
            <w:vAlign w:val="center"/>
          </w:tcPr>
          <w:p w14:paraId="0AE73E70">
            <w:pPr>
              <w:widowControl/>
              <w:jc w:val="center"/>
              <w:rPr>
                <w:rFonts w:hint="eastAsia" w:ascii="宋体" w:hAnsi="宋体"/>
                <w:color w:val="auto"/>
                <w:kern w:val="0"/>
                <w:sz w:val="18"/>
                <w:szCs w:val="18"/>
              </w:rPr>
            </w:pPr>
            <w:r>
              <w:rPr>
                <w:rFonts w:ascii="宋体" w:hAnsi="宋体"/>
                <w:color w:val="auto"/>
                <w:kern w:val="0"/>
                <w:sz w:val="18"/>
                <w:szCs w:val="18"/>
              </w:rPr>
              <w:t>Z＜300</w:t>
            </w:r>
          </w:p>
        </w:tc>
      </w:tr>
      <w:tr w14:paraId="50B0C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exact"/>
          <w:jc w:val="center"/>
        </w:trPr>
        <w:tc>
          <w:tcPr>
            <w:tcW w:w="2097" w:type="dxa"/>
            <w:vMerge w:val="restart"/>
            <w:vAlign w:val="center"/>
          </w:tcPr>
          <w:p w14:paraId="6072A351">
            <w:pPr>
              <w:widowControl/>
              <w:spacing w:line="240" w:lineRule="exact"/>
              <w:jc w:val="left"/>
              <w:rPr>
                <w:rFonts w:hint="eastAsia" w:ascii="宋体" w:hAnsi="宋体"/>
                <w:color w:val="auto"/>
                <w:kern w:val="0"/>
                <w:sz w:val="18"/>
                <w:szCs w:val="18"/>
              </w:rPr>
            </w:pPr>
            <w:r>
              <w:rPr>
                <w:rFonts w:ascii="宋体" w:hAnsi="宋体"/>
                <w:color w:val="auto"/>
                <w:kern w:val="0"/>
                <w:sz w:val="18"/>
                <w:szCs w:val="18"/>
              </w:rPr>
              <w:t>批发业</w:t>
            </w:r>
          </w:p>
        </w:tc>
        <w:tc>
          <w:tcPr>
            <w:tcW w:w="1358" w:type="dxa"/>
            <w:vAlign w:val="center"/>
          </w:tcPr>
          <w:p w14:paraId="28F0492C">
            <w:pPr>
              <w:widowControl/>
              <w:jc w:val="center"/>
              <w:rPr>
                <w:rFonts w:hint="eastAsia" w:ascii="宋体" w:hAnsi="宋体"/>
                <w:color w:val="auto"/>
                <w:kern w:val="0"/>
                <w:sz w:val="18"/>
                <w:szCs w:val="18"/>
              </w:rPr>
            </w:pPr>
            <w:r>
              <w:rPr>
                <w:rFonts w:ascii="宋体" w:hAnsi="宋体"/>
                <w:color w:val="auto"/>
                <w:kern w:val="0"/>
                <w:sz w:val="18"/>
                <w:szCs w:val="18"/>
              </w:rPr>
              <w:t>从业人员（X）</w:t>
            </w:r>
          </w:p>
        </w:tc>
        <w:tc>
          <w:tcPr>
            <w:tcW w:w="704" w:type="dxa"/>
            <w:vAlign w:val="center"/>
          </w:tcPr>
          <w:p w14:paraId="2533E24C">
            <w:pPr>
              <w:widowControl/>
              <w:jc w:val="center"/>
              <w:rPr>
                <w:rFonts w:hint="eastAsia" w:ascii="宋体" w:hAnsi="宋体"/>
                <w:color w:val="auto"/>
                <w:kern w:val="0"/>
                <w:sz w:val="18"/>
                <w:szCs w:val="18"/>
              </w:rPr>
            </w:pPr>
            <w:r>
              <w:rPr>
                <w:rFonts w:ascii="宋体" w:hAnsi="宋体"/>
                <w:color w:val="auto"/>
                <w:kern w:val="0"/>
                <w:sz w:val="18"/>
                <w:szCs w:val="18"/>
              </w:rPr>
              <w:t>人</w:t>
            </w:r>
          </w:p>
        </w:tc>
        <w:tc>
          <w:tcPr>
            <w:tcW w:w="1116" w:type="dxa"/>
            <w:vAlign w:val="center"/>
          </w:tcPr>
          <w:p w14:paraId="527D31C2">
            <w:pPr>
              <w:widowControl/>
              <w:jc w:val="center"/>
              <w:rPr>
                <w:rFonts w:hint="eastAsia" w:ascii="宋体" w:hAnsi="宋体"/>
                <w:color w:val="auto"/>
                <w:kern w:val="0"/>
                <w:sz w:val="18"/>
                <w:szCs w:val="18"/>
              </w:rPr>
            </w:pPr>
            <w:r>
              <w:rPr>
                <w:rFonts w:ascii="宋体" w:hAnsi="宋体"/>
                <w:color w:val="auto"/>
                <w:kern w:val="0"/>
                <w:sz w:val="18"/>
                <w:szCs w:val="18"/>
              </w:rPr>
              <w:t>X≥200</w:t>
            </w:r>
          </w:p>
        </w:tc>
        <w:tc>
          <w:tcPr>
            <w:tcW w:w="1688" w:type="dxa"/>
            <w:vAlign w:val="center"/>
          </w:tcPr>
          <w:p w14:paraId="27EAC980">
            <w:pPr>
              <w:widowControl/>
              <w:jc w:val="center"/>
              <w:rPr>
                <w:rFonts w:hint="eastAsia" w:ascii="宋体" w:hAnsi="宋体"/>
                <w:color w:val="auto"/>
                <w:kern w:val="0"/>
                <w:sz w:val="18"/>
                <w:szCs w:val="18"/>
              </w:rPr>
            </w:pPr>
            <w:r>
              <w:rPr>
                <w:rFonts w:ascii="宋体" w:hAnsi="宋体"/>
                <w:color w:val="auto"/>
                <w:kern w:val="0"/>
                <w:sz w:val="18"/>
                <w:szCs w:val="18"/>
              </w:rPr>
              <w:t>20≤X＜200</w:t>
            </w:r>
          </w:p>
        </w:tc>
        <w:tc>
          <w:tcPr>
            <w:tcW w:w="1415" w:type="dxa"/>
            <w:vAlign w:val="center"/>
          </w:tcPr>
          <w:p w14:paraId="75410E29">
            <w:pPr>
              <w:widowControl/>
              <w:jc w:val="center"/>
              <w:rPr>
                <w:rFonts w:hint="eastAsia" w:ascii="宋体" w:hAnsi="宋体"/>
                <w:color w:val="auto"/>
                <w:kern w:val="0"/>
                <w:sz w:val="18"/>
                <w:szCs w:val="18"/>
              </w:rPr>
            </w:pPr>
            <w:r>
              <w:rPr>
                <w:rFonts w:ascii="宋体" w:hAnsi="宋体"/>
                <w:color w:val="auto"/>
                <w:kern w:val="0"/>
                <w:sz w:val="18"/>
                <w:szCs w:val="18"/>
              </w:rPr>
              <w:t>5≤X＜20</w:t>
            </w:r>
          </w:p>
        </w:tc>
        <w:tc>
          <w:tcPr>
            <w:tcW w:w="984" w:type="dxa"/>
            <w:vAlign w:val="center"/>
          </w:tcPr>
          <w:p w14:paraId="5BC932DA">
            <w:pPr>
              <w:widowControl/>
              <w:jc w:val="center"/>
              <w:rPr>
                <w:rFonts w:hint="eastAsia" w:ascii="宋体" w:hAnsi="宋体"/>
                <w:color w:val="auto"/>
                <w:kern w:val="0"/>
                <w:sz w:val="18"/>
                <w:szCs w:val="18"/>
              </w:rPr>
            </w:pPr>
            <w:r>
              <w:rPr>
                <w:rFonts w:ascii="宋体" w:hAnsi="宋体"/>
                <w:color w:val="auto"/>
                <w:kern w:val="0"/>
                <w:sz w:val="18"/>
                <w:szCs w:val="18"/>
              </w:rPr>
              <w:t>X＜5</w:t>
            </w:r>
          </w:p>
        </w:tc>
      </w:tr>
      <w:tr w14:paraId="1B816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exact"/>
          <w:jc w:val="center"/>
        </w:trPr>
        <w:tc>
          <w:tcPr>
            <w:tcW w:w="2097" w:type="dxa"/>
            <w:vMerge w:val="continue"/>
            <w:vAlign w:val="center"/>
          </w:tcPr>
          <w:p w14:paraId="29DDC867">
            <w:pPr>
              <w:widowControl/>
              <w:jc w:val="left"/>
              <w:rPr>
                <w:rFonts w:hint="eastAsia" w:ascii="宋体" w:hAnsi="宋体"/>
                <w:color w:val="auto"/>
                <w:kern w:val="0"/>
                <w:sz w:val="18"/>
                <w:szCs w:val="18"/>
              </w:rPr>
            </w:pPr>
          </w:p>
        </w:tc>
        <w:tc>
          <w:tcPr>
            <w:tcW w:w="1358" w:type="dxa"/>
            <w:vAlign w:val="center"/>
          </w:tcPr>
          <w:p w14:paraId="3C5DDEAD">
            <w:pPr>
              <w:widowControl/>
              <w:spacing w:line="240" w:lineRule="exact"/>
              <w:jc w:val="center"/>
              <w:rPr>
                <w:rFonts w:hint="eastAsia" w:ascii="宋体" w:hAnsi="宋体"/>
                <w:color w:val="auto"/>
                <w:kern w:val="0"/>
                <w:sz w:val="18"/>
                <w:szCs w:val="18"/>
              </w:rPr>
            </w:pPr>
            <w:r>
              <w:rPr>
                <w:rFonts w:ascii="宋体" w:hAnsi="宋体"/>
                <w:color w:val="auto"/>
                <w:kern w:val="0"/>
                <w:sz w:val="18"/>
                <w:szCs w:val="18"/>
              </w:rPr>
              <w:t>营业收入（Y）</w:t>
            </w:r>
          </w:p>
        </w:tc>
        <w:tc>
          <w:tcPr>
            <w:tcW w:w="704" w:type="dxa"/>
            <w:vAlign w:val="center"/>
          </w:tcPr>
          <w:p w14:paraId="783462B8">
            <w:pPr>
              <w:widowControl/>
              <w:jc w:val="center"/>
              <w:rPr>
                <w:rFonts w:hint="eastAsia" w:ascii="宋体" w:hAnsi="宋体"/>
                <w:color w:val="auto"/>
                <w:kern w:val="0"/>
                <w:sz w:val="18"/>
                <w:szCs w:val="18"/>
              </w:rPr>
            </w:pPr>
            <w:r>
              <w:rPr>
                <w:rFonts w:ascii="宋体" w:hAnsi="宋体"/>
                <w:color w:val="auto"/>
                <w:kern w:val="0"/>
                <w:sz w:val="18"/>
                <w:szCs w:val="18"/>
              </w:rPr>
              <w:t>万元</w:t>
            </w:r>
          </w:p>
        </w:tc>
        <w:tc>
          <w:tcPr>
            <w:tcW w:w="1116" w:type="dxa"/>
            <w:vAlign w:val="center"/>
          </w:tcPr>
          <w:p w14:paraId="0CBC1ED0">
            <w:pPr>
              <w:widowControl/>
              <w:jc w:val="center"/>
              <w:rPr>
                <w:rFonts w:hint="eastAsia" w:ascii="宋体" w:hAnsi="宋体"/>
                <w:color w:val="auto"/>
                <w:kern w:val="0"/>
                <w:sz w:val="18"/>
                <w:szCs w:val="18"/>
              </w:rPr>
            </w:pPr>
            <w:r>
              <w:rPr>
                <w:rFonts w:ascii="宋体" w:hAnsi="宋体"/>
                <w:color w:val="auto"/>
                <w:kern w:val="0"/>
                <w:sz w:val="18"/>
                <w:szCs w:val="18"/>
              </w:rPr>
              <w:t>Y≥40000</w:t>
            </w:r>
          </w:p>
        </w:tc>
        <w:tc>
          <w:tcPr>
            <w:tcW w:w="1688" w:type="dxa"/>
            <w:vAlign w:val="center"/>
          </w:tcPr>
          <w:p w14:paraId="27F6CFAE">
            <w:pPr>
              <w:widowControl/>
              <w:jc w:val="center"/>
              <w:rPr>
                <w:rFonts w:hint="eastAsia" w:ascii="宋体" w:hAnsi="宋体"/>
                <w:color w:val="auto"/>
                <w:kern w:val="0"/>
                <w:sz w:val="18"/>
                <w:szCs w:val="18"/>
              </w:rPr>
            </w:pPr>
            <w:r>
              <w:rPr>
                <w:rFonts w:ascii="宋体" w:hAnsi="宋体"/>
                <w:color w:val="auto"/>
                <w:kern w:val="0"/>
                <w:sz w:val="18"/>
                <w:szCs w:val="18"/>
              </w:rPr>
              <w:t>5000≤Y＜40000</w:t>
            </w:r>
          </w:p>
        </w:tc>
        <w:tc>
          <w:tcPr>
            <w:tcW w:w="1415" w:type="dxa"/>
            <w:vAlign w:val="center"/>
          </w:tcPr>
          <w:p w14:paraId="428A0FF1">
            <w:pPr>
              <w:widowControl/>
              <w:ind w:left="-1" w:leftChars="-1" w:hanging="1"/>
              <w:jc w:val="center"/>
              <w:rPr>
                <w:rFonts w:hint="eastAsia" w:ascii="宋体" w:hAnsi="宋体"/>
                <w:color w:val="auto"/>
                <w:kern w:val="0"/>
                <w:sz w:val="18"/>
                <w:szCs w:val="18"/>
              </w:rPr>
            </w:pPr>
            <w:r>
              <w:rPr>
                <w:rFonts w:ascii="宋体" w:hAnsi="宋体"/>
                <w:color w:val="auto"/>
                <w:kern w:val="0"/>
                <w:sz w:val="18"/>
                <w:szCs w:val="18"/>
              </w:rPr>
              <w:t>1000≤Y＜5000</w:t>
            </w:r>
          </w:p>
        </w:tc>
        <w:tc>
          <w:tcPr>
            <w:tcW w:w="984" w:type="dxa"/>
            <w:vAlign w:val="center"/>
          </w:tcPr>
          <w:p w14:paraId="45926033">
            <w:pPr>
              <w:widowControl/>
              <w:jc w:val="center"/>
              <w:rPr>
                <w:rFonts w:hint="eastAsia" w:ascii="宋体" w:hAnsi="宋体"/>
                <w:color w:val="auto"/>
                <w:kern w:val="0"/>
                <w:sz w:val="18"/>
                <w:szCs w:val="18"/>
              </w:rPr>
            </w:pPr>
            <w:r>
              <w:rPr>
                <w:rFonts w:ascii="宋体" w:hAnsi="宋体"/>
                <w:color w:val="auto"/>
                <w:kern w:val="0"/>
                <w:sz w:val="18"/>
                <w:szCs w:val="18"/>
              </w:rPr>
              <w:t>Y＜1000</w:t>
            </w:r>
          </w:p>
        </w:tc>
      </w:tr>
      <w:tr w14:paraId="2A4F1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exact"/>
          <w:jc w:val="center"/>
        </w:trPr>
        <w:tc>
          <w:tcPr>
            <w:tcW w:w="2097" w:type="dxa"/>
            <w:vMerge w:val="restart"/>
            <w:vAlign w:val="center"/>
          </w:tcPr>
          <w:p w14:paraId="4D89A842">
            <w:pPr>
              <w:widowControl/>
              <w:spacing w:line="240" w:lineRule="exact"/>
              <w:jc w:val="left"/>
              <w:rPr>
                <w:rFonts w:hint="eastAsia" w:ascii="宋体" w:hAnsi="宋体"/>
                <w:color w:val="auto"/>
                <w:kern w:val="0"/>
                <w:sz w:val="18"/>
                <w:szCs w:val="18"/>
              </w:rPr>
            </w:pPr>
            <w:r>
              <w:rPr>
                <w:rFonts w:ascii="宋体" w:hAnsi="宋体"/>
                <w:color w:val="auto"/>
                <w:kern w:val="0"/>
                <w:sz w:val="18"/>
                <w:szCs w:val="18"/>
              </w:rPr>
              <w:t>零售业</w:t>
            </w:r>
          </w:p>
        </w:tc>
        <w:tc>
          <w:tcPr>
            <w:tcW w:w="1358" w:type="dxa"/>
            <w:vAlign w:val="center"/>
          </w:tcPr>
          <w:p w14:paraId="3508D3FA">
            <w:pPr>
              <w:widowControl/>
              <w:jc w:val="center"/>
              <w:rPr>
                <w:rFonts w:hint="eastAsia" w:ascii="宋体" w:hAnsi="宋体"/>
                <w:color w:val="auto"/>
                <w:kern w:val="0"/>
                <w:sz w:val="18"/>
                <w:szCs w:val="18"/>
              </w:rPr>
            </w:pPr>
            <w:r>
              <w:rPr>
                <w:rFonts w:ascii="宋体" w:hAnsi="宋体"/>
                <w:color w:val="auto"/>
                <w:kern w:val="0"/>
                <w:sz w:val="18"/>
                <w:szCs w:val="18"/>
              </w:rPr>
              <w:t>从业人员（X）</w:t>
            </w:r>
          </w:p>
        </w:tc>
        <w:tc>
          <w:tcPr>
            <w:tcW w:w="704" w:type="dxa"/>
            <w:vAlign w:val="center"/>
          </w:tcPr>
          <w:p w14:paraId="2EB8FC28">
            <w:pPr>
              <w:widowControl/>
              <w:jc w:val="center"/>
              <w:rPr>
                <w:rFonts w:hint="eastAsia" w:ascii="宋体" w:hAnsi="宋体"/>
                <w:color w:val="auto"/>
                <w:kern w:val="0"/>
                <w:sz w:val="18"/>
                <w:szCs w:val="18"/>
              </w:rPr>
            </w:pPr>
            <w:r>
              <w:rPr>
                <w:rFonts w:ascii="宋体" w:hAnsi="宋体"/>
                <w:color w:val="auto"/>
                <w:kern w:val="0"/>
                <w:sz w:val="18"/>
                <w:szCs w:val="18"/>
              </w:rPr>
              <w:t>人</w:t>
            </w:r>
          </w:p>
        </w:tc>
        <w:tc>
          <w:tcPr>
            <w:tcW w:w="1116" w:type="dxa"/>
            <w:vAlign w:val="center"/>
          </w:tcPr>
          <w:p w14:paraId="09AE584F">
            <w:pPr>
              <w:widowControl/>
              <w:jc w:val="center"/>
              <w:rPr>
                <w:rFonts w:hint="eastAsia" w:ascii="宋体" w:hAnsi="宋体"/>
                <w:color w:val="auto"/>
                <w:kern w:val="0"/>
                <w:sz w:val="18"/>
                <w:szCs w:val="18"/>
              </w:rPr>
            </w:pPr>
            <w:r>
              <w:rPr>
                <w:rFonts w:ascii="宋体" w:hAnsi="宋体"/>
                <w:color w:val="auto"/>
                <w:kern w:val="0"/>
                <w:sz w:val="18"/>
                <w:szCs w:val="18"/>
              </w:rPr>
              <w:t>X≥300</w:t>
            </w:r>
          </w:p>
        </w:tc>
        <w:tc>
          <w:tcPr>
            <w:tcW w:w="1688" w:type="dxa"/>
            <w:vAlign w:val="center"/>
          </w:tcPr>
          <w:p w14:paraId="007E9702">
            <w:pPr>
              <w:widowControl/>
              <w:jc w:val="center"/>
              <w:rPr>
                <w:rFonts w:hint="eastAsia" w:ascii="宋体" w:hAnsi="宋体"/>
                <w:color w:val="auto"/>
                <w:kern w:val="0"/>
                <w:sz w:val="18"/>
                <w:szCs w:val="18"/>
              </w:rPr>
            </w:pPr>
            <w:r>
              <w:rPr>
                <w:rFonts w:ascii="宋体" w:hAnsi="宋体"/>
                <w:color w:val="auto"/>
                <w:kern w:val="0"/>
                <w:sz w:val="18"/>
                <w:szCs w:val="18"/>
              </w:rPr>
              <w:t>50≤X＜300</w:t>
            </w:r>
          </w:p>
        </w:tc>
        <w:tc>
          <w:tcPr>
            <w:tcW w:w="1415" w:type="dxa"/>
            <w:vAlign w:val="center"/>
          </w:tcPr>
          <w:p w14:paraId="1373E612">
            <w:pPr>
              <w:widowControl/>
              <w:ind w:left="-1" w:leftChars="-1" w:hanging="1"/>
              <w:jc w:val="center"/>
              <w:rPr>
                <w:rFonts w:hint="eastAsia" w:ascii="宋体" w:hAnsi="宋体"/>
                <w:color w:val="auto"/>
                <w:kern w:val="0"/>
                <w:sz w:val="18"/>
                <w:szCs w:val="18"/>
              </w:rPr>
            </w:pPr>
            <w:r>
              <w:rPr>
                <w:rFonts w:ascii="宋体" w:hAnsi="宋体"/>
                <w:color w:val="auto"/>
                <w:kern w:val="0"/>
                <w:sz w:val="18"/>
                <w:szCs w:val="18"/>
              </w:rPr>
              <w:t xml:space="preserve">10≤X＜50 </w:t>
            </w:r>
          </w:p>
        </w:tc>
        <w:tc>
          <w:tcPr>
            <w:tcW w:w="984" w:type="dxa"/>
            <w:vAlign w:val="center"/>
          </w:tcPr>
          <w:p w14:paraId="604DF8CF">
            <w:pPr>
              <w:widowControl/>
              <w:jc w:val="center"/>
              <w:rPr>
                <w:rFonts w:hint="eastAsia" w:ascii="宋体" w:hAnsi="宋体"/>
                <w:color w:val="auto"/>
                <w:kern w:val="0"/>
                <w:sz w:val="18"/>
                <w:szCs w:val="18"/>
              </w:rPr>
            </w:pPr>
            <w:r>
              <w:rPr>
                <w:rFonts w:ascii="宋体" w:hAnsi="宋体"/>
                <w:color w:val="auto"/>
                <w:kern w:val="0"/>
                <w:sz w:val="18"/>
                <w:szCs w:val="18"/>
              </w:rPr>
              <w:t>X＜10</w:t>
            </w:r>
          </w:p>
        </w:tc>
      </w:tr>
      <w:tr w14:paraId="0D5BE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exact"/>
          <w:jc w:val="center"/>
        </w:trPr>
        <w:tc>
          <w:tcPr>
            <w:tcW w:w="2097" w:type="dxa"/>
            <w:vMerge w:val="continue"/>
            <w:vAlign w:val="center"/>
          </w:tcPr>
          <w:p w14:paraId="367FCD21">
            <w:pPr>
              <w:widowControl/>
              <w:jc w:val="left"/>
              <w:rPr>
                <w:rFonts w:hint="eastAsia" w:ascii="宋体" w:hAnsi="宋体"/>
                <w:color w:val="auto"/>
                <w:kern w:val="0"/>
                <w:sz w:val="18"/>
                <w:szCs w:val="18"/>
              </w:rPr>
            </w:pPr>
          </w:p>
        </w:tc>
        <w:tc>
          <w:tcPr>
            <w:tcW w:w="1358" w:type="dxa"/>
            <w:vAlign w:val="center"/>
          </w:tcPr>
          <w:p w14:paraId="5FED3AEF">
            <w:pPr>
              <w:widowControl/>
              <w:spacing w:line="240" w:lineRule="exact"/>
              <w:jc w:val="center"/>
              <w:rPr>
                <w:rFonts w:hint="eastAsia" w:ascii="宋体" w:hAnsi="宋体"/>
                <w:color w:val="auto"/>
                <w:kern w:val="0"/>
                <w:sz w:val="18"/>
                <w:szCs w:val="18"/>
              </w:rPr>
            </w:pPr>
            <w:r>
              <w:rPr>
                <w:rFonts w:ascii="宋体" w:hAnsi="宋体"/>
                <w:color w:val="auto"/>
                <w:kern w:val="0"/>
                <w:sz w:val="18"/>
                <w:szCs w:val="18"/>
              </w:rPr>
              <w:t>营业收入（Y）</w:t>
            </w:r>
          </w:p>
        </w:tc>
        <w:tc>
          <w:tcPr>
            <w:tcW w:w="704" w:type="dxa"/>
            <w:vAlign w:val="center"/>
          </w:tcPr>
          <w:p w14:paraId="2AFADBC3">
            <w:pPr>
              <w:widowControl/>
              <w:jc w:val="center"/>
              <w:rPr>
                <w:rFonts w:hint="eastAsia" w:ascii="宋体" w:hAnsi="宋体"/>
                <w:color w:val="auto"/>
                <w:kern w:val="0"/>
                <w:sz w:val="18"/>
                <w:szCs w:val="18"/>
              </w:rPr>
            </w:pPr>
            <w:r>
              <w:rPr>
                <w:rFonts w:ascii="宋体" w:hAnsi="宋体"/>
                <w:color w:val="auto"/>
                <w:kern w:val="0"/>
                <w:sz w:val="18"/>
                <w:szCs w:val="18"/>
              </w:rPr>
              <w:t>万元</w:t>
            </w:r>
          </w:p>
        </w:tc>
        <w:tc>
          <w:tcPr>
            <w:tcW w:w="1116" w:type="dxa"/>
            <w:vAlign w:val="center"/>
          </w:tcPr>
          <w:p w14:paraId="74CD81C2">
            <w:pPr>
              <w:widowControl/>
              <w:jc w:val="center"/>
              <w:rPr>
                <w:rFonts w:hint="eastAsia" w:ascii="宋体" w:hAnsi="宋体"/>
                <w:color w:val="auto"/>
                <w:kern w:val="0"/>
                <w:sz w:val="18"/>
                <w:szCs w:val="18"/>
              </w:rPr>
            </w:pPr>
            <w:r>
              <w:rPr>
                <w:rFonts w:ascii="宋体" w:hAnsi="宋体"/>
                <w:color w:val="auto"/>
                <w:kern w:val="0"/>
                <w:sz w:val="18"/>
                <w:szCs w:val="18"/>
              </w:rPr>
              <w:t>Y≥20000</w:t>
            </w:r>
          </w:p>
        </w:tc>
        <w:tc>
          <w:tcPr>
            <w:tcW w:w="1688" w:type="dxa"/>
            <w:vAlign w:val="center"/>
          </w:tcPr>
          <w:p w14:paraId="0AF7D8FB">
            <w:pPr>
              <w:widowControl/>
              <w:jc w:val="center"/>
              <w:rPr>
                <w:rFonts w:hint="eastAsia" w:ascii="宋体" w:hAnsi="宋体"/>
                <w:color w:val="auto"/>
                <w:kern w:val="0"/>
                <w:sz w:val="18"/>
                <w:szCs w:val="18"/>
              </w:rPr>
            </w:pPr>
            <w:r>
              <w:rPr>
                <w:rFonts w:ascii="宋体" w:hAnsi="宋体"/>
                <w:color w:val="auto"/>
                <w:kern w:val="0"/>
                <w:sz w:val="18"/>
                <w:szCs w:val="18"/>
              </w:rPr>
              <w:t>500≤Y＜20000</w:t>
            </w:r>
          </w:p>
        </w:tc>
        <w:tc>
          <w:tcPr>
            <w:tcW w:w="1415" w:type="dxa"/>
            <w:vAlign w:val="center"/>
          </w:tcPr>
          <w:p w14:paraId="614BBF11">
            <w:pPr>
              <w:widowControl/>
              <w:ind w:left="-1" w:leftChars="-1" w:hanging="1"/>
              <w:jc w:val="center"/>
              <w:rPr>
                <w:rFonts w:hint="eastAsia" w:ascii="宋体" w:hAnsi="宋体"/>
                <w:color w:val="auto"/>
                <w:kern w:val="0"/>
                <w:sz w:val="18"/>
                <w:szCs w:val="18"/>
              </w:rPr>
            </w:pPr>
            <w:r>
              <w:rPr>
                <w:rFonts w:ascii="宋体" w:hAnsi="宋体"/>
                <w:color w:val="auto"/>
                <w:kern w:val="0"/>
                <w:sz w:val="18"/>
                <w:szCs w:val="18"/>
              </w:rPr>
              <w:t>100≤Y＜500</w:t>
            </w:r>
          </w:p>
        </w:tc>
        <w:tc>
          <w:tcPr>
            <w:tcW w:w="984" w:type="dxa"/>
            <w:vAlign w:val="center"/>
          </w:tcPr>
          <w:p w14:paraId="31EDDD9F">
            <w:pPr>
              <w:widowControl/>
              <w:jc w:val="center"/>
              <w:rPr>
                <w:rFonts w:hint="eastAsia" w:ascii="宋体" w:hAnsi="宋体"/>
                <w:color w:val="auto"/>
                <w:kern w:val="0"/>
                <w:sz w:val="18"/>
                <w:szCs w:val="18"/>
              </w:rPr>
            </w:pPr>
            <w:r>
              <w:rPr>
                <w:rFonts w:ascii="宋体" w:hAnsi="宋体"/>
                <w:color w:val="auto"/>
                <w:kern w:val="0"/>
                <w:sz w:val="18"/>
                <w:szCs w:val="18"/>
              </w:rPr>
              <w:t>Y＜100</w:t>
            </w:r>
          </w:p>
        </w:tc>
      </w:tr>
      <w:tr w14:paraId="1B1E3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exact"/>
          <w:jc w:val="center"/>
        </w:trPr>
        <w:tc>
          <w:tcPr>
            <w:tcW w:w="2097" w:type="dxa"/>
            <w:vMerge w:val="restart"/>
            <w:vAlign w:val="center"/>
          </w:tcPr>
          <w:p w14:paraId="1A8F14F3">
            <w:pPr>
              <w:widowControl/>
              <w:spacing w:line="240" w:lineRule="exact"/>
              <w:jc w:val="left"/>
              <w:rPr>
                <w:rFonts w:hint="eastAsia" w:ascii="宋体" w:hAnsi="宋体"/>
                <w:color w:val="auto"/>
                <w:kern w:val="0"/>
                <w:sz w:val="18"/>
                <w:szCs w:val="18"/>
              </w:rPr>
            </w:pPr>
            <w:r>
              <w:rPr>
                <w:rFonts w:ascii="宋体" w:hAnsi="宋体"/>
                <w:color w:val="auto"/>
                <w:kern w:val="0"/>
                <w:sz w:val="18"/>
                <w:szCs w:val="18"/>
              </w:rPr>
              <w:t>交通运输业 *</w:t>
            </w:r>
          </w:p>
        </w:tc>
        <w:tc>
          <w:tcPr>
            <w:tcW w:w="1358" w:type="dxa"/>
            <w:vAlign w:val="center"/>
          </w:tcPr>
          <w:p w14:paraId="7E237070">
            <w:pPr>
              <w:widowControl/>
              <w:jc w:val="center"/>
              <w:rPr>
                <w:rFonts w:hint="eastAsia" w:ascii="宋体" w:hAnsi="宋体"/>
                <w:color w:val="auto"/>
                <w:kern w:val="0"/>
                <w:sz w:val="18"/>
                <w:szCs w:val="18"/>
              </w:rPr>
            </w:pPr>
            <w:r>
              <w:rPr>
                <w:rFonts w:ascii="宋体" w:hAnsi="宋体"/>
                <w:color w:val="auto"/>
                <w:kern w:val="0"/>
                <w:sz w:val="18"/>
                <w:szCs w:val="18"/>
              </w:rPr>
              <w:t>从业人员（X）</w:t>
            </w:r>
          </w:p>
        </w:tc>
        <w:tc>
          <w:tcPr>
            <w:tcW w:w="704" w:type="dxa"/>
            <w:vAlign w:val="center"/>
          </w:tcPr>
          <w:p w14:paraId="309D6170">
            <w:pPr>
              <w:widowControl/>
              <w:jc w:val="center"/>
              <w:rPr>
                <w:rFonts w:hint="eastAsia" w:ascii="宋体" w:hAnsi="宋体"/>
                <w:color w:val="auto"/>
                <w:kern w:val="0"/>
                <w:sz w:val="18"/>
                <w:szCs w:val="18"/>
              </w:rPr>
            </w:pPr>
            <w:r>
              <w:rPr>
                <w:rFonts w:ascii="宋体" w:hAnsi="宋体"/>
                <w:color w:val="auto"/>
                <w:kern w:val="0"/>
                <w:sz w:val="18"/>
                <w:szCs w:val="18"/>
              </w:rPr>
              <w:t>人</w:t>
            </w:r>
          </w:p>
        </w:tc>
        <w:tc>
          <w:tcPr>
            <w:tcW w:w="1116" w:type="dxa"/>
            <w:vAlign w:val="center"/>
          </w:tcPr>
          <w:p w14:paraId="20AFDD22">
            <w:pPr>
              <w:widowControl/>
              <w:jc w:val="center"/>
              <w:rPr>
                <w:rFonts w:hint="eastAsia" w:ascii="宋体" w:hAnsi="宋体"/>
                <w:color w:val="auto"/>
                <w:kern w:val="0"/>
                <w:sz w:val="18"/>
                <w:szCs w:val="18"/>
              </w:rPr>
            </w:pPr>
            <w:r>
              <w:rPr>
                <w:rFonts w:ascii="宋体" w:hAnsi="宋体"/>
                <w:color w:val="auto"/>
                <w:kern w:val="0"/>
                <w:sz w:val="18"/>
                <w:szCs w:val="18"/>
              </w:rPr>
              <w:t>X≥1000</w:t>
            </w:r>
          </w:p>
        </w:tc>
        <w:tc>
          <w:tcPr>
            <w:tcW w:w="1688" w:type="dxa"/>
            <w:vAlign w:val="center"/>
          </w:tcPr>
          <w:p w14:paraId="15C313DB">
            <w:pPr>
              <w:widowControl/>
              <w:jc w:val="center"/>
              <w:rPr>
                <w:rFonts w:hint="eastAsia" w:ascii="宋体" w:hAnsi="宋体"/>
                <w:color w:val="auto"/>
                <w:kern w:val="0"/>
                <w:sz w:val="18"/>
                <w:szCs w:val="18"/>
              </w:rPr>
            </w:pPr>
            <w:r>
              <w:rPr>
                <w:rFonts w:ascii="宋体" w:hAnsi="宋体"/>
                <w:color w:val="auto"/>
                <w:kern w:val="0"/>
                <w:sz w:val="18"/>
                <w:szCs w:val="18"/>
              </w:rPr>
              <w:t>300≤X＜1000</w:t>
            </w:r>
          </w:p>
        </w:tc>
        <w:tc>
          <w:tcPr>
            <w:tcW w:w="1415" w:type="dxa"/>
            <w:vAlign w:val="center"/>
          </w:tcPr>
          <w:p w14:paraId="77DD7C5E">
            <w:pPr>
              <w:widowControl/>
              <w:jc w:val="center"/>
              <w:rPr>
                <w:rFonts w:hint="eastAsia" w:ascii="宋体" w:hAnsi="宋体"/>
                <w:color w:val="auto"/>
                <w:kern w:val="0"/>
                <w:sz w:val="18"/>
                <w:szCs w:val="18"/>
              </w:rPr>
            </w:pPr>
            <w:r>
              <w:rPr>
                <w:rFonts w:ascii="宋体" w:hAnsi="宋体"/>
                <w:color w:val="auto"/>
                <w:kern w:val="0"/>
                <w:sz w:val="18"/>
                <w:szCs w:val="18"/>
              </w:rPr>
              <w:t>20≤X＜300</w:t>
            </w:r>
          </w:p>
        </w:tc>
        <w:tc>
          <w:tcPr>
            <w:tcW w:w="984" w:type="dxa"/>
            <w:vAlign w:val="center"/>
          </w:tcPr>
          <w:p w14:paraId="06F90AC1">
            <w:pPr>
              <w:widowControl/>
              <w:jc w:val="center"/>
              <w:rPr>
                <w:rFonts w:hint="eastAsia" w:ascii="宋体" w:hAnsi="宋体"/>
                <w:color w:val="auto"/>
                <w:kern w:val="0"/>
                <w:sz w:val="18"/>
                <w:szCs w:val="18"/>
              </w:rPr>
            </w:pPr>
            <w:r>
              <w:rPr>
                <w:rFonts w:ascii="宋体" w:hAnsi="宋体"/>
                <w:color w:val="auto"/>
                <w:kern w:val="0"/>
                <w:sz w:val="18"/>
                <w:szCs w:val="18"/>
              </w:rPr>
              <w:t>X＜20</w:t>
            </w:r>
          </w:p>
        </w:tc>
      </w:tr>
      <w:tr w14:paraId="72793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exact"/>
          <w:jc w:val="center"/>
        </w:trPr>
        <w:tc>
          <w:tcPr>
            <w:tcW w:w="2097" w:type="dxa"/>
            <w:vMerge w:val="continue"/>
            <w:vAlign w:val="center"/>
          </w:tcPr>
          <w:p w14:paraId="704EABFA">
            <w:pPr>
              <w:widowControl/>
              <w:jc w:val="left"/>
              <w:rPr>
                <w:rFonts w:hint="eastAsia" w:ascii="宋体" w:hAnsi="宋体"/>
                <w:color w:val="auto"/>
                <w:kern w:val="0"/>
                <w:sz w:val="18"/>
                <w:szCs w:val="18"/>
              </w:rPr>
            </w:pPr>
          </w:p>
        </w:tc>
        <w:tc>
          <w:tcPr>
            <w:tcW w:w="1358" w:type="dxa"/>
            <w:vAlign w:val="center"/>
          </w:tcPr>
          <w:p w14:paraId="1528877D">
            <w:pPr>
              <w:widowControl/>
              <w:spacing w:line="240" w:lineRule="exact"/>
              <w:jc w:val="center"/>
              <w:rPr>
                <w:rFonts w:hint="eastAsia" w:ascii="宋体" w:hAnsi="宋体"/>
                <w:color w:val="auto"/>
                <w:kern w:val="0"/>
                <w:sz w:val="18"/>
                <w:szCs w:val="18"/>
              </w:rPr>
            </w:pPr>
            <w:r>
              <w:rPr>
                <w:rFonts w:ascii="宋体" w:hAnsi="宋体"/>
                <w:color w:val="auto"/>
                <w:kern w:val="0"/>
                <w:sz w:val="18"/>
                <w:szCs w:val="18"/>
              </w:rPr>
              <w:t>营业收入（Y）</w:t>
            </w:r>
          </w:p>
        </w:tc>
        <w:tc>
          <w:tcPr>
            <w:tcW w:w="704" w:type="dxa"/>
            <w:vAlign w:val="center"/>
          </w:tcPr>
          <w:p w14:paraId="4EE28F04">
            <w:pPr>
              <w:widowControl/>
              <w:jc w:val="center"/>
              <w:rPr>
                <w:rFonts w:hint="eastAsia" w:ascii="宋体" w:hAnsi="宋体"/>
                <w:color w:val="auto"/>
                <w:kern w:val="0"/>
                <w:sz w:val="18"/>
                <w:szCs w:val="18"/>
              </w:rPr>
            </w:pPr>
            <w:r>
              <w:rPr>
                <w:rFonts w:ascii="宋体" w:hAnsi="宋体"/>
                <w:color w:val="auto"/>
                <w:kern w:val="0"/>
                <w:sz w:val="18"/>
                <w:szCs w:val="18"/>
              </w:rPr>
              <w:t>万元</w:t>
            </w:r>
          </w:p>
        </w:tc>
        <w:tc>
          <w:tcPr>
            <w:tcW w:w="1116" w:type="dxa"/>
            <w:vAlign w:val="center"/>
          </w:tcPr>
          <w:p w14:paraId="649566AA">
            <w:pPr>
              <w:widowControl/>
              <w:jc w:val="center"/>
              <w:rPr>
                <w:rFonts w:hint="eastAsia" w:ascii="宋体" w:hAnsi="宋体"/>
                <w:color w:val="auto"/>
                <w:kern w:val="0"/>
                <w:sz w:val="18"/>
                <w:szCs w:val="18"/>
              </w:rPr>
            </w:pPr>
            <w:r>
              <w:rPr>
                <w:rFonts w:ascii="宋体" w:hAnsi="宋体"/>
                <w:color w:val="auto"/>
                <w:kern w:val="0"/>
                <w:sz w:val="18"/>
                <w:szCs w:val="18"/>
              </w:rPr>
              <w:t>Y≥30000</w:t>
            </w:r>
          </w:p>
        </w:tc>
        <w:tc>
          <w:tcPr>
            <w:tcW w:w="1688" w:type="dxa"/>
            <w:vAlign w:val="center"/>
          </w:tcPr>
          <w:p w14:paraId="52907C45">
            <w:pPr>
              <w:widowControl/>
              <w:jc w:val="center"/>
              <w:rPr>
                <w:rFonts w:hint="eastAsia" w:ascii="宋体" w:hAnsi="宋体"/>
                <w:color w:val="auto"/>
                <w:kern w:val="0"/>
                <w:sz w:val="18"/>
                <w:szCs w:val="18"/>
              </w:rPr>
            </w:pPr>
            <w:r>
              <w:rPr>
                <w:rFonts w:ascii="宋体" w:hAnsi="宋体"/>
                <w:color w:val="auto"/>
                <w:kern w:val="0"/>
                <w:sz w:val="18"/>
                <w:szCs w:val="18"/>
              </w:rPr>
              <w:t>3000≤Y＜30000</w:t>
            </w:r>
          </w:p>
        </w:tc>
        <w:tc>
          <w:tcPr>
            <w:tcW w:w="1415" w:type="dxa"/>
            <w:vAlign w:val="center"/>
          </w:tcPr>
          <w:p w14:paraId="0BFC4E38">
            <w:pPr>
              <w:widowControl/>
              <w:jc w:val="center"/>
              <w:rPr>
                <w:rFonts w:hint="eastAsia" w:ascii="宋体" w:hAnsi="宋体"/>
                <w:color w:val="auto"/>
                <w:kern w:val="0"/>
                <w:sz w:val="18"/>
                <w:szCs w:val="18"/>
              </w:rPr>
            </w:pPr>
            <w:r>
              <w:rPr>
                <w:rFonts w:ascii="宋体" w:hAnsi="宋体"/>
                <w:color w:val="auto"/>
                <w:kern w:val="0"/>
                <w:sz w:val="18"/>
                <w:szCs w:val="18"/>
              </w:rPr>
              <w:t>200≤Y＜3000</w:t>
            </w:r>
          </w:p>
        </w:tc>
        <w:tc>
          <w:tcPr>
            <w:tcW w:w="984" w:type="dxa"/>
            <w:vAlign w:val="center"/>
          </w:tcPr>
          <w:p w14:paraId="69516414">
            <w:pPr>
              <w:widowControl/>
              <w:jc w:val="center"/>
              <w:rPr>
                <w:rFonts w:hint="eastAsia" w:ascii="宋体" w:hAnsi="宋体"/>
                <w:color w:val="auto"/>
                <w:kern w:val="0"/>
                <w:sz w:val="18"/>
                <w:szCs w:val="18"/>
              </w:rPr>
            </w:pPr>
            <w:r>
              <w:rPr>
                <w:rFonts w:ascii="宋体" w:hAnsi="宋体"/>
                <w:color w:val="auto"/>
                <w:kern w:val="0"/>
                <w:sz w:val="18"/>
                <w:szCs w:val="18"/>
              </w:rPr>
              <w:t>Y＜200</w:t>
            </w:r>
          </w:p>
        </w:tc>
      </w:tr>
      <w:tr w14:paraId="11128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exact"/>
          <w:jc w:val="center"/>
        </w:trPr>
        <w:tc>
          <w:tcPr>
            <w:tcW w:w="2097" w:type="dxa"/>
            <w:vMerge w:val="restart"/>
            <w:vAlign w:val="center"/>
          </w:tcPr>
          <w:p w14:paraId="2EC40AF9">
            <w:pPr>
              <w:widowControl/>
              <w:spacing w:line="240" w:lineRule="exact"/>
              <w:jc w:val="left"/>
              <w:rPr>
                <w:rFonts w:hint="eastAsia" w:ascii="宋体" w:hAnsi="宋体"/>
                <w:color w:val="auto"/>
                <w:kern w:val="0"/>
                <w:sz w:val="18"/>
                <w:szCs w:val="18"/>
              </w:rPr>
            </w:pPr>
            <w:r>
              <w:rPr>
                <w:rFonts w:ascii="宋体" w:hAnsi="宋体"/>
                <w:color w:val="auto"/>
                <w:kern w:val="0"/>
                <w:sz w:val="18"/>
                <w:szCs w:val="18"/>
              </w:rPr>
              <w:t>仓储业*</w:t>
            </w:r>
          </w:p>
        </w:tc>
        <w:tc>
          <w:tcPr>
            <w:tcW w:w="1358" w:type="dxa"/>
            <w:vAlign w:val="center"/>
          </w:tcPr>
          <w:p w14:paraId="31E5B66B">
            <w:pPr>
              <w:widowControl/>
              <w:jc w:val="center"/>
              <w:rPr>
                <w:rFonts w:hint="eastAsia" w:ascii="宋体" w:hAnsi="宋体"/>
                <w:color w:val="auto"/>
                <w:kern w:val="0"/>
                <w:sz w:val="18"/>
                <w:szCs w:val="18"/>
              </w:rPr>
            </w:pPr>
            <w:r>
              <w:rPr>
                <w:rFonts w:ascii="宋体" w:hAnsi="宋体"/>
                <w:color w:val="auto"/>
                <w:kern w:val="0"/>
                <w:sz w:val="18"/>
                <w:szCs w:val="18"/>
              </w:rPr>
              <w:t>从业人员（X）</w:t>
            </w:r>
          </w:p>
        </w:tc>
        <w:tc>
          <w:tcPr>
            <w:tcW w:w="704" w:type="dxa"/>
            <w:vAlign w:val="center"/>
          </w:tcPr>
          <w:p w14:paraId="5493F70B">
            <w:pPr>
              <w:widowControl/>
              <w:jc w:val="center"/>
              <w:rPr>
                <w:rFonts w:hint="eastAsia" w:ascii="宋体" w:hAnsi="宋体"/>
                <w:color w:val="auto"/>
                <w:kern w:val="0"/>
                <w:sz w:val="18"/>
                <w:szCs w:val="18"/>
              </w:rPr>
            </w:pPr>
            <w:r>
              <w:rPr>
                <w:rFonts w:ascii="宋体" w:hAnsi="宋体"/>
                <w:color w:val="auto"/>
                <w:kern w:val="0"/>
                <w:sz w:val="18"/>
                <w:szCs w:val="18"/>
              </w:rPr>
              <w:t>人</w:t>
            </w:r>
          </w:p>
        </w:tc>
        <w:tc>
          <w:tcPr>
            <w:tcW w:w="1116" w:type="dxa"/>
            <w:vAlign w:val="center"/>
          </w:tcPr>
          <w:p w14:paraId="4B794879">
            <w:pPr>
              <w:widowControl/>
              <w:jc w:val="center"/>
              <w:rPr>
                <w:rFonts w:hint="eastAsia" w:ascii="宋体" w:hAnsi="宋体"/>
                <w:color w:val="auto"/>
                <w:kern w:val="0"/>
                <w:sz w:val="18"/>
                <w:szCs w:val="18"/>
              </w:rPr>
            </w:pPr>
            <w:r>
              <w:rPr>
                <w:rFonts w:ascii="宋体" w:hAnsi="宋体"/>
                <w:color w:val="auto"/>
                <w:kern w:val="0"/>
                <w:sz w:val="18"/>
                <w:szCs w:val="18"/>
              </w:rPr>
              <w:t>X≥200</w:t>
            </w:r>
          </w:p>
        </w:tc>
        <w:tc>
          <w:tcPr>
            <w:tcW w:w="1688" w:type="dxa"/>
            <w:vAlign w:val="center"/>
          </w:tcPr>
          <w:p w14:paraId="06DE1DE1">
            <w:pPr>
              <w:widowControl/>
              <w:ind w:left="1" w:leftChars="-51" w:hanging="108" w:hangingChars="60"/>
              <w:jc w:val="center"/>
              <w:rPr>
                <w:rFonts w:hint="eastAsia" w:ascii="宋体" w:hAnsi="宋体"/>
                <w:color w:val="auto"/>
                <w:kern w:val="0"/>
                <w:sz w:val="18"/>
                <w:szCs w:val="18"/>
              </w:rPr>
            </w:pPr>
            <w:r>
              <w:rPr>
                <w:rFonts w:ascii="宋体" w:hAnsi="宋体"/>
                <w:color w:val="auto"/>
                <w:kern w:val="0"/>
                <w:sz w:val="18"/>
                <w:szCs w:val="18"/>
              </w:rPr>
              <w:t>100≤X＜200</w:t>
            </w:r>
          </w:p>
        </w:tc>
        <w:tc>
          <w:tcPr>
            <w:tcW w:w="1415" w:type="dxa"/>
            <w:vAlign w:val="center"/>
          </w:tcPr>
          <w:p w14:paraId="122D0500">
            <w:pPr>
              <w:widowControl/>
              <w:jc w:val="center"/>
              <w:rPr>
                <w:rFonts w:hint="eastAsia" w:ascii="宋体" w:hAnsi="宋体"/>
                <w:color w:val="auto"/>
                <w:kern w:val="0"/>
                <w:sz w:val="18"/>
                <w:szCs w:val="18"/>
              </w:rPr>
            </w:pPr>
            <w:r>
              <w:rPr>
                <w:rFonts w:ascii="宋体" w:hAnsi="宋体"/>
                <w:color w:val="auto"/>
                <w:kern w:val="0"/>
                <w:sz w:val="18"/>
                <w:szCs w:val="18"/>
              </w:rPr>
              <w:t>20≤X＜100</w:t>
            </w:r>
          </w:p>
        </w:tc>
        <w:tc>
          <w:tcPr>
            <w:tcW w:w="984" w:type="dxa"/>
            <w:vAlign w:val="center"/>
          </w:tcPr>
          <w:p w14:paraId="642596AE">
            <w:pPr>
              <w:widowControl/>
              <w:jc w:val="center"/>
              <w:rPr>
                <w:rFonts w:hint="eastAsia" w:ascii="宋体" w:hAnsi="宋体"/>
                <w:color w:val="auto"/>
                <w:kern w:val="0"/>
                <w:sz w:val="18"/>
                <w:szCs w:val="18"/>
              </w:rPr>
            </w:pPr>
            <w:r>
              <w:rPr>
                <w:rFonts w:ascii="宋体" w:hAnsi="宋体"/>
                <w:color w:val="auto"/>
                <w:kern w:val="0"/>
                <w:sz w:val="18"/>
                <w:szCs w:val="18"/>
              </w:rPr>
              <w:t>X＜20</w:t>
            </w:r>
          </w:p>
        </w:tc>
      </w:tr>
      <w:tr w14:paraId="59EA8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exact"/>
          <w:jc w:val="center"/>
        </w:trPr>
        <w:tc>
          <w:tcPr>
            <w:tcW w:w="2097" w:type="dxa"/>
            <w:vMerge w:val="continue"/>
            <w:vAlign w:val="center"/>
          </w:tcPr>
          <w:p w14:paraId="0FF42619">
            <w:pPr>
              <w:widowControl/>
              <w:jc w:val="left"/>
              <w:rPr>
                <w:rFonts w:hint="eastAsia" w:ascii="宋体" w:hAnsi="宋体"/>
                <w:color w:val="auto"/>
                <w:kern w:val="0"/>
                <w:sz w:val="18"/>
                <w:szCs w:val="18"/>
              </w:rPr>
            </w:pPr>
          </w:p>
        </w:tc>
        <w:tc>
          <w:tcPr>
            <w:tcW w:w="1358" w:type="dxa"/>
            <w:vAlign w:val="center"/>
          </w:tcPr>
          <w:p w14:paraId="24664342">
            <w:pPr>
              <w:widowControl/>
              <w:spacing w:line="240" w:lineRule="exact"/>
              <w:jc w:val="center"/>
              <w:rPr>
                <w:rFonts w:hint="eastAsia" w:ascii="宋体" w:hAnsi="宋体"/>
                <w:color w:val="auto"/>
                <w:kern w:val="0"/>
                <w:sz w:val="18"/>
                <w:szCs w:val="18"/>
              </w:rPr>
            </w:pPr>
            <w:r>
              <w:rPr>
                <w:rFonts w:ascii="宋体" w:hAnsi="宋体"/>
                <w:color w:val="auto"/>
                <w:kern w:val="0"/>
                <w:sz w:val="18"/>
                <w:szCs w:val="18"/>
              </w:rPr>
              <w:t>营业收入（Y）</w:t>
            </w:r>
          </w:p>
        </w:tc>
        <w:tc>
          <w:tcPr>
            <w:tcW w:w="704" w:type="dxa"/>
            <w:vAlign w:val="center"/>
          </w:tcPr>
          <w:p w14:paraId="022EFAF8">
            <w:pPr>
              <w:widowControl/>
              <w:jc w:val="center"/>
              <w:rPr>
                <w:rFonts w:hint="eastAsia" w:ascii="宋体" w:hAnsi="宋体"/>
                <w:color w:val="auto"/>
                <w:kern w:val="0"/>
                <w:sz w:val="18"/>
                <w:szCs w:val="18"/>
              </w:rPr>
            </w:pPr>
            <w:r>
              <w:rPr>
                <w:rFonts w:ascii="宋体" w:hAnsi="宋体"/>
                <w:color w:val="auto"/>
                <w:kern w:val="0"/>
                <w:sz w:val="18"/>
                <w:szCs w:val="18"/>
              </w:rPr>
              <w:t>万元</w:t>
            </w:r>
          </w:p>
        </w:tc>
        <w:tc>
          <w:tcPr>
            <w:tcW w:w="1116" w:type="dxa"/>
            <w:vAlign w:val="center"/>
          </w:tcPr>
          <w:p w14:paraId="5F5EB437">
            <w:pPr>
              <w:widowControl/>
              <w:jc w:val="center"/>
              <w:rPr>
                <w:rFonts w:hint="eastAsia" w:ascii="宋体" w:hAnsi="宋体"/>
                <w:color w:val="auto"/>
                <w:kern w:val="0"/>
                <w:sz w:val="18"/>
                <w:szCs w:val="18"/>
              </w:rPr>
            </w:pPr>
            <w:r>
              <w:rPr>
                <w:rFonts w:ascii="宋体" w:hAnsi="宋体"/>
                <w:color w:val="auto"/>
                <w:kern w:val="0"/>
                <w:sz w:val="18"/>
                <w:szCs w:val="18"/>
              </w:rPr>
              <w:t>Y≥30000</w:t>
            </w:r>
          </w:p>
        </w:tc>
        <w:tc>
          <w:tcPr>
            <w:tcW w:w="1688" w:type="dxa"/>
            <w:vAlign w:val="center"/>
          </w:tcPr>
          <w:p w14:paraId="4F347DB2">
            <w:pPr>
              <w:widowControl/>
              <w:jc w:val="center"/>
              <w:rPr>
                <w:rFonts w:hint="eastAsia" w:ascii="宋体" w:hAnsi="宋体"/>
                <w:color w:val="auto"/>
                <w:kern w:val="0"/>
                <w:sz w:val="18"/>
                <w:szCs w:val="18"/>
              </w:rPr>
            </w:pPr>
            <w:r>
              <w:rPr>
                <w:rFonts w:ascii="宋体" w:hAnsi="宋体"/>
                <w:color w:val="auto"/>
                <w:kern w:val="0"/>
                <w:sz w:val="18"/>
                <w:szCs w:val="18"/>
              </w:rPr>
              <w:t>1000≤Y＜30000</w:t>
            </w:r>
          </w:p>
        </w:tc>
        <w:tc>
          <w:tcPr>
            <w:tcW w:w="1415" w:type="dxa"/>
            <w:vAlign w:val="center"/>
          </w:tcPr>
          <w:p w14:paraId="2BC6ECBB">
            <w:pPr>
              <w:widowControl/>
              <w:jc w:val="center"/>
              <w:rPr>
                <w:rFonts w:hint="eastAsia" w:ascii="宋体" w:hAnsi="宋体"/>
                <w:color w:val="auto"/>
                <w:kern w:val="0"/>
                <w:sz w:val="18"/>
                <w:szCs w:val="18"/>
              </w:rPr>
            </w:pPr>
            <w:r>
              <w:rPr>
                <w:rFonts w:ascii="宋体" w:hAnsi="宋体"/>
                <w:color w:val="auto"/>
                <w:kern w:val="0"/>
                <w:sz w:val="18"/>
                <w:szCs w:val="18"/>
              </w:rPr>
              <w:t>100≤Y＜1000</w:t>
            </w:r>
          </w:p>
        </w:tc>
        <w:tc>
          <w:tcPr>
            <w:tcW w:w="984" w:type="dxa"/>
            <w:vAlign w:val="center"/>
          </w:tcPr>
          <w:p w14:paraId="09749E53">
            <w:pPr>
              <w:widowControl/>
              <w:jc w:val="center"/>
              <w:rPr>
                <w:rFonts w:hint="eastAsia" w:ascii="宋体" w:hAnsi="宋体"/>
                <w:color w:val="auto"/>
                <w:kern w:val="0"/>
                <w:sz w:val="18"/>
                <w:szCs w:val="18"/>
              </w:rPr>
            </w:pPr>
            <w:r>
              <w:rPr>
                <w:rFonts w:ascii="宋体" w:hAnsi="宋体"/>
                <w:color w:val="auto"/>
                <w:kern w:val="0"/>
                <w:sz w:val="18"/>
                <w:szCs w:val="18"/>
              </w:rPr>
              <w:t>Y＜100</w:t>
            </w:r>
          </w:p>
        </w:tc>
      </w:tr>
      <w:tr w14:paraId="67BF1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exact"/>
          <w:jc w:val="center"/>
        </w:trPr>
        <w:tc>
          <w:tcPr>
            <w:tcW w:w="2097" w:type="dxa"/>
            <w:vMerge w:val="restart"/>
            <w:vAlign w:val="center"/>
          </w:tcPr>
          <w:p w14:paraId="1578199F">
            <w:pPr>
              <w:widowControl/>
              <w:spacing w:line="240" w:lineRule="exact"/>
              <w:jc w:val="left"/>
              <w:rPr>
                <w:rFonts w:hint="eastAsia" w:ascii="宋体" w:hAnsi="宋体"/>
                <w:color w:val="auto"/>
                <w:kern w:val="0"/>
                <w:sz w:val="18"/>
                <w:szCs w:val="18"/>
              </w:rPr>
            </w:pPr>
            <w:r>
              <w:rPr>
                <w:rFonts w:ascii="宋体" w:hAnsi="宋体"/>
                <w:color w:val="auto"/>
                <w:kern w:val="0"/>
                <w:sz w:val="18"/>
                <w:szCs w:val="18"/>
              </w:rPr>
              <w:t>邮政业</w:t>
            </w:r>
          </w:p>
        </w:tc>
        <w:tc>
          <w:tcPr>
            <w:tcW w:w="1358" w:type="dxa"/>
            <w:vAlign w:val="center"/>
          </w:tcPr>
          <w:p w14:paraId="3B7B9D5D">
            <w:pPr>
              <w:widowControl/>
              <w:jc w:val="center"/>
              <w:rPr>
                <w:rFonts w:hint="eastAsia" w:ascii="宋体" w:hAnsi="宋体"/>
                <w:color w:val="auto"/>
                <w:kern w:val="0"/>
                <w:sz w:val="18"/>
                <w:szCs w:val="18"/>
              </w:rPr>
            </w:pPr>
            <w:r>
              <w:rPr>
                <w:rFonts w:ascii="宋体" w:hAnsi="宋体"/>
                <w:color w:val="auto"/>
                <w:kern w:val="0"/>
                <w:sz w:val="18"/>
                <w:szCs w:val="18"/>
              </w:rPr>
              <w:t>从业人员（X）</w:t>
            </w:r>
          </w:p>
        </w:tc>
        <w:tc>
          <w:tcPr>
            <w:tcW w:w="704" w:type="dxa"/>
            <w:vAlign w:val="center"/>
          </w:tcPr>
          <w:p w14:paraId="1050BFE5">
            <w:pPr>
              <w:widowControl/>
              <w:jc w:val="center"/>
              <w:rPr>
                <w:rFonts w:hint="eastAsia" w:ascii="宋体" w:hAnsi="宋体"/>
                <w:color w:val="auto"/>
                <w:kern w:val="0"/>
                <w:sz w:val="18"/>
                <w:szCs w:val="18"/>
              </w:rPr>
            </w:pPr>
            <w:r>
              <w:rPr>
                <w:rFonts w:ascii="宋体" w:hAnsi="宋体"/>
                <w:color w:val="auto"/>
                <w:kern w:val="0"/>
                <w:sz w:val="18"/>
                <w:szCs w:val="18"/>
              </w:rPr>
              <w:t>人</w:t>
            </w:r>
          </w:p>
        </w:tc>
        <w:tc>
          <w:tcPr>
            <w:tcW w:w="1116" w:type="dxa"/>
            <w:vAlign w:val="center"/>
          </w:tcPr>
          <w:p w14:paraId="04DE7622">
            <w:pPr>
              <w:widowControl/>
              <w:jc w:val="center"/>
              <w:rPr>
                <w:rFonts w:hint="eastAsia" w:ascii="宋体" w:hAnsi="宋体"/>
                <w:color w:val="auto"/>
                <w:kern w:val="0"/>
                <w:sz w:val="18"/>
                <w:szCs w:val="18"/>
              </w:rPr>
            </w:pPr>
            <w:r>
              <w:rPr>
                <w:rFonts w:ascii="宋体" w:hAnsi="宋体"/>
                <w:color w:val="auto"/>
                <w:kern w:val="0"/>
                <w:sz w:val="18"/>
                <w:szCs w:val="18"/>
              </w:rPr>
              <w:t>X≥1000</w:t>
            </w:r>
          </w:p>
        </w:tc>
        <w:tc>
          <w:tcPr>
            <w:tcW w:w="1688" w:type="dxa"/>
            <w:vAlign w:val="center"/>
          </w:tcPr>
          <w:p w14:paraId="6566A3D5">
            <w:pPr>
              <w:widowControl/>
              <w:jc w:val="center"/>
              <w:rPr>
                <w:rFonts w:hint="eastAsia" w:ascii="宋体" w:hAnsi="宋体"/>
                <w:color w:val="auto"/>
                <w:kern w:val="0"/>
                <w:sz w:val="18"/>
                <w:szCs w:val="18"/>
              </w:rPr>
            </w:pPr>
            <w:r>
              <w:rPr>
                <w:rFonts w:ascii="宋体" w:hAnsi="宋体"/>
                <w:color w:val="auto"/>
                <w:kern w:val="0"/>
                <w:sz w:val="18"/>
                <w:szCs w:val="18"/>
              </w:rPr>
              <w:t>300≤X＜1000</w:t>
            </w:r>
          </w:p>
        </w:tc>
        <w:tc>
          <w:tcPr>
            <w:tcW w:w="1415" w:type="dxa"/>
            <w:vAlign w:val="center"/>
          </w:tcPr>
          <w:p w14:paraId="2DA80609">
            <w:pPr>
              <w:widowControl/>
              <w:jc w:val="center"/>
              <w:rPr>
                <w:rFonts w:hint="eastAsia" w:ascii="宋体" w:hAnsi="宋体"/>
                <w:color w:val="auto"/>
                <w:kern w:val="0"/>
                <w:sz w:val="18"/>
                <w:szCs w:val="18"/>
              </w:rPr>
            </w:pPr>
            <w:r>
              <w:rPr>
                <w:rFonts w:ascii="宋体" w:hAnsi="宋体"/>
                <w:color w:val="auto"/>
                <w:kern w:val="0"/>
                <w:sz w:val="18"/>
                <w:szCs w:val="18"/>
              </w:rPr>
              <w:t>20≤X＜300</w:t>
            </w:r>
          </w:p>
        </w:tc>
        <w:tc>
          <w:tcPr>
            <w:tcW w:w="984" w:type="dxa"/>
            <w:vAlign w:val="center"/>
          </w:tcPr>
          <w:p w14:paraId="21FC5113">
            <w:pPr>
              <w:widowControl/>
              <w:jc w:val="center"/>
              <w:rPr>
                <w:rFonts w:hint="eastAsia" w:ascii="宋体" w:hAnsi="宋体"/>
                <w:color w:val="auto"/>
                <w:kern w:val="0"/>
                <w:sz w:val="18"/>
                <w:szCs w:val="18"/>
              </w:rPr>
            </w:pPr>
            <w:r>
              <w:rPr>
                <w:rFonts w:ascii="宋体" w:hAnsi="宋体"/>
                <w:color w:val="auto"/>
                <w:kern w:val="0"/>
                <w:sz w:val="18"/>
                <w:szCs w:val="18"/>
              </w:rPr>
              <w:t>X＜20</w:t>
            </w:r>
          </w:p>
        </w:tc>
      </w:tr>
      <w:tr w14:paraId="637F3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exact"/>
          <w:jc w:val="center"/>
        </w:trPr>
        <w:tc>
          <w:tcPr>
            <w:tcW w:w="2097" w:type="dxa"/>
            <w:vMerge w:val="continue"/>
            <w:vAlign w:val="center"/>
          </w:tcPr>
          <w:p w14:paraId="29B5F342">
            <w:pPr>
              <w:widowControl/>
              <w:jc w:val="left"/>
              <w:rPr>
                <w:rFonts w:hint="eastAsia" w:ascii="宋体" w:hAnsi="宋体"/>
                <w:color w:val="auto"/>
                <w:kern w:val="0"/>
                <w:sz w:val="18"/>
                <w:szCs w:val="18"/>
              </w:rPr>
            </w:pPr>
          </w:p>
        </w:tc>
        <w:tc>
          <w:tcPr>
            <w:tcW w:w="1358" w:type="dxa"/>
            <w:vAlign w:val="center"/>
          </w:tcPr>
          <w:p w14:paraId="4441F5C1">
            <w:pPr>
              <w:widowControl/>
              <w:spacing w:line="240" w:lineRule="exact"/>
              <w:jc w:val="center"/>
              <w:rPr>
                <w:rFonts w:hint="eastAsia" w:ascii="宋体" w:hAnsi="宋体"/>
                <w:color w:val="auto"/>
                <w:kern w:val="0"/>
                <w:sz w:val="18"/>
                <w:szCs w:val="18"/>
              </w:rPr>
            </w:pPr>
            <w:r>
              <w:rPr>
                <w:rFonts w:ascii="宋体" w:hAnsi="宋体"/>
                <w:color w:val="auto"/>
                <w:kern w:val="0"/>
                <w:sz w:val="18"/>
                <w:szCs w:val="18"/>
              </w:rPr>
              <w:t>营业收入（Y）</w:t>
            </w:r>
          </w:p>
        </w:tc>
        <w:tc>
          <w:tcPr>
            <w:tcW w:w="704" w:type="dxa"/>
            <w:vAlign w:val="center"/>
          </w:tcPr>
          <w:p w14:paraId="317DD198">
            <w:pPr>
              <w:widowControl/>
              <w:jc w:val="center"/>
              <w:rPr>
                <w:rFonts w:hint="eastAsia" w:ascii="宋体" w:hAnsi="宋体"/>
                <w:color w:val="auto"/>
                <w:kern w:val="0"/>
                <w:sz w:val="18"/>
                <w:szCs w:val="18"/>
              </w:rPr>
            </w:pPr>
            <w:r>
              <w:rPr>
                <w:rFonts w:ascii="宋体" w:hAnsi="宋体"/>
                <w:color w:val="auto"/>
                <w:kern w:val="0"/>
                <w:sz w:val="18"/>
                <w:szCs w:val="18"/>
              </w:rPr>
              <w:t>万元</w:t>
            </w:r>
          </w:p>
        </w:tc>
        <w:tc>
          <w:tcPr>
            <w:tcW w:w="1116" w:type="dxa"/>
            <w:vAlign w:val="center"/>
          </w:tcPr>
          <w:p w14:paraId="42DE7DF3">
            <w:pPr>
              <w:widowControl/>
              <w:jc w:val="center"/>
              <w:rPr>
                <w:rFonts w:hint="eastAsia" w:ascii="宋体" w:hAnsi="宋体"/>
                <w:color w:val="auto"/>
                <w:kern w:val="0"/>
                <w:sz w:val="18"/>
                <w:szCs w:val="18"/>
              </w:rPr>
            </w:pPr>
            <w:r>
              <w:rPr>
                <w:rFonts w:ascii="宋体" w:hAnsi="宋体"/>
                <w:color w:val="auto"/>
                <w:kern w:val="0"/>
                <w:sz w:val="18"/>
                <w:szCs w:val="18"/>
              </w:rPr>
              <w:t>Y≥30000</w:t>
            </w:r>
          </w:p>
        </w:tc>
        <w:tc>
          <w:tcPr>
            <w:tcW w:w="1688" w:type="dxa"/>
            <w:vAlign w:val="center"/>
          </w:tcPr>
          <w:p w14:paraId="6C92A2EC">
            <w:pPr>
              <w:widowControl/>
              <w:jc w:val="center"/>
              <w:rPr>
                <w:rFonts w:hint="eastAsia" w:ascii="宋体" w:hAnsi="宋体"/>
                <w:color w:val="auto"/>
                <w:kern w:val="0"/>
                <w:sz w:val="18"/>
                <w:szCs w:val="18"/>
              </w:rPr>
            </w:pPr>
            <w:r>
              <w:rPr>
                <w:rFonts w:ascii="宋体" w:hAnsi="宋体"/>
                <w:color w:val="auto"/>
                <w:kern w:val="0"/>
                <w:sz w:val="18"/>
                <w:szCs w:val="18"/>
              </w:rPr>
              <w:t>2000≤Y＜30000</w:t>
            </w:r>
          </w:p>
        </w:tc>
        <w:tc>
          <w:tcPr>
            <w:tcW w:w="1415" w:type="dxa"/>
            <w:vAlign w:val="center"/>
          </w:tcPr>
          <w:p w14:paraId="50813B28">
            <w:pPr>
              <w:widowControl/>
              <w:jc w:val="center"/>
              <w:rPr>
                <w:rFonts w:hint="eastAsia" w:ascii="宋体" w:hAnsi="宋体"/>
                <w:color w:val="auto"/>
                <w:kern w:val="0"/>
                <w:sz w:val="18"/>
                <w:szCs w:val="18"/>
              </w:rPr>
            </w:pPr>
            <w:r>
              <w:rPr>
                <w:rFonts w:ascii="宋体" w:hAnsi="宋体"/>
                <w:color w:val="auto"/>
                <w:kern w:val="0"/>
                <w:sz w:val="18"/>
                <w:szCs w:val="18"/>
              </w:rPr>
              <w:t>100≤Y＜2000</w:t>
            </w:r>
          </w:p>
        </w:tc>
        <w:tc>
          <w:tcPr>
            <w:tcW w:w="984" w:type="dxa"/>
            <w:vAlign w:val="center"/>
          </w:tcPr>
          <w:p w14:paraId="08C75E74">
            <w:pPr>
              <w:widowControl/>
              <w:jc w:val="center"/>
              <w:rPr>
                <w:rFonts w:hint="eastAsia" w:ascii="宋体" w:hAnsi="宋体"/>
                <w:color w:val="auto"/>
                <w:kern w:val="0"/>
                <w:sz w:val="18"/>
                <w:szCs w:val="18"/>
              </w:rPr>
            </w:pPr>
            <w:r>
              <w:rPr>
                <w:rFonts w:ascii="宋体" w:hAnsi="宋体"/>
                <w:color w:val="auto"/>
                <w:kern w:val="0"/>
                <w:sz w:val="18"/>
                <w:szCs w:val="18"/>
              </w:rPr>
              <w:t>Y＜100</w:t>
            </w:r>
          </w:p>
        </w:tc>
      </w:tr>
      <w:tr w14:paraId="3780C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exact"/>
          <w:jc w:val="center"/>
        </w:trPr>
        <w:tc>
          <w:tcPr>
            <w:tcW w:w="2097" w:type="dxa"/>
            <w:vMerge w:val="restart"/>
            <w:vAlign w:val="center"/>
          </w:tcPr>
          <w:p w14:paraId="21951FCA">
            <w:pPr>
              <w:widowControl/>
              <w:spacing w:line="240" w:lineRule="exact"/>
              <w:jc w:val="left"/>
              <w:rPr>
                <w:rFonts w:hint="eastAsia" w:ascii="宋体" w:hAnsi="宋体"/>
                <w:color w:val="auto"/>
                <w:kern w:val="0"/>
                <w:sz w:val="18"/>
                <w:szCs w:val="18"/>
              </w:rPr>
            </w:pPr>
            <w:r>
              <w:rPr>
                <w:rFonts w:ascii="宋体" w:hAnsi="宋体"/>
                <w:color w:val="auto"/>
                <w:kern w:val="0"/>
                <w:sz w:val="18"/>
                <w:szCs w:val="18"/>
              </w:rPr>
              <w:t>住宿业</w:t>
            </w:r>
          </w:p>
        </w:tc>
        <w:tc>
          <w:tcPr>
            <w:tcW w:w="1358" w:type="dxa"/>
            <w:vAlign w:val="center"/>
          </w:tcPr>
          <w:p w14:paraId="70F156E8">
            <w:pPr>
              <w:widowControl/>
              <w:jc w:val="center"/>
              <w:rPr>
                <w:rFonts w:hint="eastAsia" w:ascii="宋体" w:hAnsi="宋体"/>
                <w:color w:val="auto"/>
                <w:kern w:val="0"/>
                <w:sz w:val="18"/>
                <w:szCs w:val="18"/>
              </w:rPr>
            </w:pPr>
            <w:r>
              <w:rPr>
                <w:rFonts w:ascii="宋体" w:hAnsi="宋体"/>
                <w:color w:val="auto"/>
                <w:kern w:val="0"/>
                <w:sz w:val="18"/>
                <w:szCs w:val="18"/>
              </w:rPr>
              <w:t>从业人员（X）</w:t>
            </w:r>
          </w:p>
        </w:tc>
        <w:tc>
          <w:tcPr>
            <w:tcW w:w="704" w:type="dxa"/>
            <w:vAlign w:val="center"/>
          </w:tcPr>
          <w:p w14:paraId="759FE9E7">
            <w:pPr>
              <w:widowControl/>
              <w:jc w:val="center"/>
              <w:rPr>
                <w:rFonts w:hint="eastAsia" w:ascii="宋体" w:hAnsi="宋体"/>
                <w:color w:val="auto"/>
                <w:kern w:val="0"/>
                <w:sz w:val="18"/>
                <w:szCs w:val="18"/>
              </w:rPr>
            </w:pPr>
            <w:r>
              <w:rPr>
                <w:rFonts w:ascii="宋体" w:hAnsi="宋体"/>
                <w:color w:val="auto"/>
                <w:kern w:val="0"/>
                <w:sz w:val="18"/>
                <w:szCs w:val="18"/>
              </w:rPr>
              <w:t>人</w:t>
            </w:r>
          </w:p>
        </w:tc>
        <w:tc>
          <w:tcPr>
            <w:tcW w:w="1116" w:type="dxa"/>
            <w:vAlign w:val="center"/>
          </w:tcPr>
          <w:p w14:paraId="12DD4B37">
            <w:pPr>
              <w:widowControl/>
              <w:jc w:val="center"/>
              <w:rPr>
                <w:rFonts w:hint="eastAsia" w:ascii="宋体" w:hAnsi="宋体"/>
                <w:color w:val="auto"/>
                <w:kern w:val="0"/>
                <w:sz w:val="18"/>
                <w:szCs w:val="18"/>
              </w:rPr>
            </w:pPr>
            <w:r>
              <w:rPr>
                <w:rFonts w:ascii="宋体" w:hAnsi="宋体"/>
                <w:color w:val="auto"/>
                <w:kern w:val="0"/>
                <w:sz w:val="18"/>
                <w:szCs w:val="18"/>
              </w:rPr>
              <w:t>X≥300</w:t>
            </w:r>
          </w:p>
        </w:tc>
        <w:tc>
          <w:tcPr>
            <w:tcW w:w="1688" w:type="dxa"/>
            <w:vAlign w:val="center"/>
          </w:tcPr>
          <w:p w14:paraId="4E9B400A">
            <w:pPr>
              <w:widowControl/>
              <w:ind w:left="1" w:leftChars="-51" w:hanging="108" w:hangingChars="60"/>
              <w:jc w:val="center"/>
              <w:rPr>
                <w:rFonts w:hint="eastAsia" w:ascii="宋体" w:hAnsi="宋体"/>
                <w:color w:val="auto"/>
                <w:kern w:val="0"/>
                <w:sz w:val="18"/>
                <w:szCs w:val="18"/>
              </w:rPr>
            </w:pPr>
            <w:r>
              <w:rPr>
                <w:rFonts w:ascii="宋体" w:hAnsi="宋体"/>
                <w:color w:val="auto"/>
                <w:kern w:val="0"/>
                <w:sz w:val="18"/>
                <w:szCs w:val="18"/>
              </w:rPr>
              <w:t>100≤X＜300</w:t>
            </w:r>
          </w:p>
        </w:tc>
        <w:tc>
          <w:tcPr>
            <w:tcW w:w="1415" w:type="dxa"/>
            <w:vAlign w:val="center"/>
          </w:tcPr>
          <w:p w14:paraId="34F4AF47">
            <w:pPr>
              <w:widowControl/>
              <w:jc w:val="center"/>
              <w:rPr>
                <w:rFonts w:hint="eastAsia" w:ascii="宋体" w:hAnsi="宋体"/>
                <w:color w:val="auto"/>
                <w:kern w:val="0"/>
                <w:sz w:val="18"/>
                <w:szCs w:val="18"/>
              </w:rPr>
            </w:pPr>
            <w:r>
              <w:rPr>
                <w:rFonts w:ascii="宋体" w:hAnsi="宋体"/>
                <w:color w:val="auto"/>
                <w:kern w:val="0"/>
                <w:sz w:val="18"/>
                <w:szCs w:val="18"/>
              </w:rPr>
              <w:t>10≤X＜100</w:t>
            </w:r>
          </w:p>
        </w:tc>
        <w:tc>
          <w:tcPr>
            <w:tcW w:w="984" w:type="dxa"/>
            <w:vAlign w:val="center"/>
          </w:tcPr>
          <w:p w14:paraId="29F502FF">
            <w:pPr>
              <w:widowControl/>
              <w:jc w:val="center"/>
              <w:rPr>
                <w:rFonts w:hint="eastAsia" w:ascii="宋体" w:hAnsi="宋体"/>
                <w:color w:val="auto"/>
                <w:kern w:val="0"/>
                <w:sz w:val="18"/>
                <w:szCs w:val="18"/>
              </w:rPr>
            </w:pPr>
            <w:r>
              <w:rPr>
                <w:rFonts w:ascii="宋体" w:hAnsi="宋体"/>
                <w:color w:val="auto"/>
                <w:kern w:val="0"/>
                <w:sz w:val="18"/>
                <w:szCs w:val="18"/>
              </w:rPr>
              <w:t>X＜10</w:t>
            </w:r>
          </w:p>
        </w:tc>
      </w:tr>
      <w:tr w14:paraId="70DA4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exact"/>
          <w:jc w:val="center"/>
        </w:trPr>
        <w:tc>
          <w:tcPr>
            <w:tcW w:w="2097" w:type="dxa"/>
            <w:vMerge w:val="continue"/>
            <w:vAlign w:val="center"/>
          </w:tcPr>
          <w:p w14:paraId="6154EDF7">
            <w:pPr>
              <w:widowControl/>
              <w:jc w:val="left"/>
              <w:rPr>
                <w:rFonts w:hint="eastAsia" w:ascii="宋体" w:hAnsi="宋体"/>
                <w:color w:val="auto"/>
                <w:kern w:val="0"/>
                <w:sz w:val="18"/>
                <w:szCs w:val="18"/>
              </w:rPr>
            </w:pPr>
          </w:p>
        </w:tc>
        <w:tc>
          <w:tcPr>
            <w:tcW w:w="1358" w:type="dxa"/>
            <w:vAlign w:val="center"/>
          </w:tcPr>
          <w:p w14:paraId="123A19DD">
            <w:pPr>
              <w:widowControl/>
              <w:spacing w:line="240" w:lineRule="exact"/>
              <w:jc w:val="center"/>
              <w:rPr>
                <w:rFonts w:hint="eastAsia" w:ascii="宋体" w:hAnsi="宋体"/>
                <w:color w:val="auto"/>
                <w:kern w:val="0"/>
                <w:sz w:val="18"/>
                <w:szCs w:val="18"/>
              </w:rPr>
            </w:pPr>
            <w:r>
              <w:rPr>
                <w:rFonts w:ascii="宋体" w:hAnsi="宋体"/>
                <w:color w:val="auto"/>
                <w:kern w:val="0"/>
                <w:sz w:val="18"/>
                <w:szCs w:val="18"/>
              </w:rPr>
              <w:t>营业收入（Y）</w:t>
            </w:r>
          </w:p>
        </w:tc>
        <w:tc>
          <w:tcPr>
            <w:tcW w:w="704" w:type="dxa"/>
            <w:vAlign w:val="center"/>
          </w:tcPr>
          <w:p w14:paraId="59FEF3CC">
            <w:pPr>
              <w:widowControl/>
              <w:jc w:val="center"/>
              <w:rPr>
                <w:rFonts w:hint="eastAsia" w:ascii="宋体" w:hAnsi="宋体"/>
                <w:color w:val="auto"/>
                <w:kern w:val="0"/>
                <w:sz w:val="18"/>
                <w:szCs w:val="18"/>
              </w:rPr>
            </w:pPr>
            <w:r>
              <w:rPr>
                <w:rFonts w:ascii="宋体" w:hAnsi="宋体"/>
                <w:color w:val="auto"/>
                <w:kern w:val="0"/>
                <w:sz w:val="18"/>
                <w:szCs w:val="18"/>
              </w:rPr>
              <w:t>万元</w:t>
            </w:r>
          </w:p>
        </w:tc>
        <w:tc>
          <w:tcPr>
            <w:tcW w:w="1116" w:type="dxa"/>
            <w:vAlign w:val="center"/>
          </w:tcPr>
          <w:p w14:paraId="24DBC203">
            <w:pPr>
              <w:widowControl/>
              <w:jc w:val="center"/>
              <w:rPr>
                <w:rFonts w:hint="eastAsia" w:ascii="宋体" w:hAnsi="宋体"/>
                <w:color w:val="auto"/>
                <w:kern w:val="0"/>
                <w:sz w:val="18"/>
                <w:szCs w:val="18"/>
              </w:rPr>
            </w:pPr>
            <w:r>
              <w:rPr>
                <w:rFonts w:ascii="宋体" w:hAnsi="宋体"/>
                <w:color w:val="auto"/>
                <w:kern w:val="0"/>
                <w:sz w:val="18"/>
                <w:szCs w:val="18"/>
              </w:rPr>
              <w:t>Y≥10000</w:t>
            </w:r>
          </w:p>
        </w:tc>
        <w:tc>
          <w:tcPr>
            <w:tcW w:w="1688" w:type="dxa"/>
            <w:vAlign w:val="center"/>
          </w:tcPr>
          <w:p w14:paraId="1DAEABF5">
            <w:pPr>
              <w:widowControl/>
              <w:jc w:val="center"/>
              <w:rPr>
                <w:rFonts w:hint="eastAsia" w:ascii="宋体" w:hAnsi="宋体"/>
                <w:color w:val="auto"/>
                <w:kern w:val="0"/>
                <w:sz w:val="18"/>
                <w:szCs w:val="18"/>
              </w:rPr>
            </w:pPr>
            <w:r>
              <w:rPr>
                <w:rFonts w:ascii="宋体" w:hAnsi="宋体"/>
                <w:color w:val="auto"/>
                <w:kern w:val="0"/>
                <w:sz w:val="18"/>
                <w:szCs w:val="18"/>
              </w:rPr>
              <w:t>2000≤Y＜10000</w:t>
            </w:r>
          </w:p>
        </w:tc>
        <w:tc>
          <w:tcPr>
            <w:tcW w:w="1415" w:type="dxa"/>
            <w:vAlign w:val="center"/>
          </w:tcPr>
          <w:p w14:paraId="510798B0">
            <w:pPr>
              <w:widowControl/>
              <w:jc w:val="center"/>
              <w:rPr>
                <w:rFonts w:hint="eastAsia" w:ascii="宋体" w:hAnsi="宋体"/>
                <w:color w:val="auto"/>
                <w:kern w:val="0"/>
                <w:sz w:val="18"/>
                <w:szCs w:val="18"/>
              </w:rPr>
            </w:pPr>
            <w:r>
              <w:rPr>
                <w:rFonts w:ascii="宋体" w:hAnsi="宋体"/>
                <w:color w:val="auto"/>
                <w:kern w:val="0"/>
                <w:sz w:val="18"/>
                <w:szCs w:val="18"/>
              </w:rPr>
              <w:t>100≤Y＜2000</w:t>
            </w:r>
          </w:p>
        </w:tc>
        <w:tc>
          <w:tcPr>
            <w:tcW w:w="984" w:type="dxa"/>
            <w:vAlign w:val="center"/>
          </w:tcPr>
          <w:p w14:paraId="2B798B1B">
            <w:pPr>
              <w:widowControl/>
              <w:jc w:val="center"/>
              <w:rPr>
                <w:rFonts w:hint="eastAsia" w:ascii="宋体" w:hAnsi="宋体"/>
                <w:color w:val="auto"/>
                <w:kern w:val="0"/>
                <w:sz w:val="18"/>
                <w:szCs w:val="18"/>
              </w:rPr>
            </w:pPr>
            <w:r>
              <w:rPr>
                <w:rFonts w:ascii="宋体" w:hAnsi="宋体"/>
                <w:color w:val="auto"/>
                <w:kern w:val="0"/>
                <w:sz w:val="18"/>
                <w:szCs w:val="18"/>
              </w:rPr>
              <w:t>Y＜100</w:t>
            </w:r>
          </w:p>
        </w:tc>
      </w:tr>
      <w:tr w14:paraId="71965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exact"/>
          <w:jc w:val="center"/>
        </w:trPr>
        <w:tc>
          <w:tcPr>
            <w:tcW w:w="2097" w:type="dxa"/>
            <w:vMerge w:val="restart"/>
            <w:vAlign w:val="center"/>
          </w:tcPr>
          <w:p w14:paraId="009F9C2B">
            <w:pPr>
              <w:widowControl/>
              <w:spacing w:line="240" w:lineRule="exact"/>
              <w:jc w:val="left"/>
              <w:rPr>
                <w:rFonts w:hint="eastAsia" w:ascii="宋体" w:hAnsi="宋体"/>
                <w:color w:val="auto"/>
                <w:kern w:val="0"/>
                <w:sz w:val="18"/>
                <w:szCs w:val="18"/>
              </w:rPr>
            </w:pPr>
            <w:r>
              <w:rPr>
                <w:rFonts w:ascii="宋体" w:hAnsi="宋体"/>
                <w:color w:val="auto"/>
                <w:kern w:val="0"/>
                <w:sz w:val="18"/>
                <w:szCs w:val="18"/>
              </w:rPr>
              <w:t>餐饮业</w:t>
            </w:r>
          </w:p>
        </w:tc>
        <w:tc>
          <w:tcPr>
            <w:tcW w:w="1358" w:type="dxa"/>
            <w:vAlign w:val="center"/>
          </w:tcPr>
          <w:p w14:paraId="0636D11A">
            <w:pPr>
              <w:widowControl/>
              <w:jc w:val="center"/>
              <w:rPr>
                <w:rFonts w:hint="eastAsia" w:ascii="宋体" w:hAnsi="宋体"/>
                <w:color w:val="auto"/>
                <w:kern w:val="0"/>
                <w:sz w:val="18"/>
                <w:szCs w:val="18"/>
              </w:rPr>
            </w:pPr>
            <w:r>
              <w:rPr>
                <w:rFonts w:ascii="宋体" w:hAnsi="宋体"/>
                <w:color w:val="auto"/>
                <w:kern w:val="0"/>
                <w:sz w:val="18"/>
                <w:szCs w:val="18"/>
              </w:rPr>
              <w:t>从业人员（X）</w:t>
            </w:r>
          </w:p>
        </w:tc>
        <w:tc>
          <w:tcPr>
            <w:tcW w:w="704" w:type="dxa"/>
            <w:vAlign w:val="center"/>
          </w:tcPr>
          <w:p w14:paraId="00007DC2">
            <w:pPr>
              <w:widowControl/>
              <w:jc w:val="center"/>
              <w:rPr>
                <w:rFonts w:hint="eastAsia" w:ascii="宋体" w:hAnsi="宋体"/>
                <w:color w:val="auto"/>
                <w:kern w:val="0"/>
                <w:sz w:val="18"/>
                <w:szCs w:val="18"/>
              </w:rPr>
            </w:pPr>
            <w:r>
              <w:rPr>
                <w:rFonts w:ascii="宋体" w:hAnsi="宋体"/>
                <w:color w:val="auto"/>
                <w:kern w:val="0"/>
                <w:sz w:val="18"/>
                <w:szCs w:val="18"/>
              </w:rPr>
              <w:t>人</w:t>
            </w:r>
          </w:p>
        </w:tc>
        <w:tc>
          <w:tcPr>
            <w:tcW w:w="1116" w:type="dxa"/>
            <w:vAlign w:val="center"/>
          </w:tcPr>
          <w:p w14:paraId="2DE53A00">
            <w:pPr>
              <w:widowControl/>
              <w:jc w:val="center"/>
              <w:rPr>
                <w:rFonts w:hint="eastAsia" w:ascii="宋体" w:hAnsi="宋体"/>
                <w:color w:val="auto"/>
                <w:kern w:val="0"/>
                <w:sz w:val="18"/>
                <w:szCs w:val="18"/>
              </w:rPr>
            </w:pPr>
            <w:r>
              <w:rPr>
                <w:rFonts w:ascii="宋体" w:hAnsi="宋体"/>
                <w:color w:val="auto"/>
                <w:kern w:val="0"/>
                <w:sz w:val="18"/>
                <w:szCs w:val="18"/>
              </w:rPr>
              <w:t>X≥300</w:t>
            </w:r>
          </w:p>
        </w:tc>
        <w:tc>
          <w:tcPr>
            <w:tcW w:w="1688" w:type="dxa"/>
            <w:vAlign w:val="center"/>
          </w:tcPr>
          <w:p w14:paraId="4DEEE73F">
            <w:pPr>
              <w:widowControl/>
              <w:ind w:left="1" w:leftChars="-51" w:hanging="108" w:hangingChars="60"/>
              <w:jc w:val="center"/>
              <w:rPr>
                <w:rFonts w:hint="eastAsia" w:ascii="宋体" w:hAnsi="宋体"/>
                <w:color w:val="auto"/>
                <w:kern w:val="0"/>
                <w:sz w:val="18"/>
                <w:szCs w:val="18"/>
              </w:rPr>
            </w:pPr>
            <w:r>
              <w:rPr>
                <w:rFonts w:ascii="宋体" w:hAnsi="宋体"/>
                <w:color w:val="auto"/>
                <w:kern w:val="0"/>
                <w:sz w:val="18"/>
                <w:szCs w:val="18"/>
              </w:rPr>
              <w:t xml:space="preserve">100≤X＜300 </w:t>
            </w:r>
          </w:p>
        </w:tc>
        <w:tc>
          <w:tcPr>
            <w:tcW w:w="1415" w:type="dxa"/>
            <w:vAlign w:val="center"/>
          </w:tcPr>
          <w:p w14:paraId="612A387F">
            <w:pPr>
              <w:widowControl/>
              <w:jc w:val="center"/>
              <w:rPr>
                <w:rFonts w:hint="eastAsia" w:ascii="宋体" w:hAnsi="宋体"/>
                <w:color w:val="auto"/>
                <w:kern w:val="0"/>
                <w:sz w:val="18"/>
                <w:szCs w:val="18"/>
              </w:rPr>
            </w:pPr>
            <w:r>
              <w:rPr>
                <w:rFonts w:ascii="宋体" w:hAnsi="宋体"/>
                <w:color w:val="auto"/>
                <w:kern w:val="0"/>
                <w:sz w:val="18"/>
                <w:szCs w:val="18"/>
              </w:rPr>
              <w:t>10≤X＜100</w:t>
            </w:r>
          </w:p>
        </w:tc>
        <w:tc>
          <w:tcPr>
            <w:tcW w:w="984" w:type="dxa"/>
            <w:vAlign w:val="center"/>
          </w:tcPr>
          <w:p w14:paraId="2BC64D75">
            <w:pPr>
              <w:widowControl/>
              <w:jc w:val="center"/>
              <w:rPr>
                <w:rFonts w:hint="eastAsia" w:ascii="宋体" w:hAnsi="宋体"/>
                <w:color w:val="auto"/>
                <w:kern w:val="0"/>
                <w:sz w:val="18"/>
                <w:szCs w:val="18"/>
              </w:rPr>
            </w:pPr>
            <w:r>
              <w:rPr>
                <w:rFonts w:ascii="宋体" w:hAnsi="宋体"/>
                <w:color w:val="auto"/>
                <w:kern w:val="0"/>
                <w:sz w:val="18"/>
                <w:szCs w:val="18"/>
              </w:rPr>
              <w:t>X＜10</w:t>
            </w:r>
          </w:p>
        </w:tc>
      </w:tr>
      <w:tr w14:paraId="49E37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exact"/>
          <w:jc w:val="center"/>
        </w:trPr>
        <w:tc>
          <w:tcPr>
            <w:tcW w:w="2097" w:type="dxa"/>
            <w:vMerge w:val="continue"/>
            <w:vAlign w:val="center"/>
          </w:tcPr>
          <w:p w14:paraId="304F2FBD">
            <w:pPr>
              <w:widowControl/>
              <w:jc w:val="left"/>
              <w:rPr>
                <w:rFonts w:hint="eastAsia" w:ascii="宋体" w:hAnsi="宋体"/>
                <w:color w:val="auto"/>
                <w:kern w:val="0"/>
                <w:sz w:val="18"/>
                <w:szCs w:val="18"/>
              </w:rPr>
            </w:pPr>
          </w:p>
        </w:tc>
        <w:tc>
          <w:tcPr>
            <w:tcW w:w="1358" w:type="dxa"/>
            <w:vAlign w:val="center"/>
          </w:tcPr>
          <w:p w14:paraId="68E72246">
            <w:pPr>
              <w:widowControl/>
              <w:spacing w:line="240" w:lineRule="exact"/>
              <w:jc w:val="center"/>
              <w:rPr>
                <w:rFonts w:hint="eastAsia" w:ascii="宋体" w:hAnsi="宋体"/>
                <w:color w:val="auto"/>
                <w:kern w:val="0"/>
                <w:sz w:val="18"/>
                <w:szCs w:val="18"/>
              </w:rPr>
            </w:pPr>
            <w:r>
              <w:rPr>
                <w:rFonts w:ascii="宋体" w:hAnsi="宋体"/>
                <w:color w:val="auto"/>
                <w:kern w:val="0"/>
                <w:sz w:val="18"/>
                <w:szCs w:val="18"/>
              </w:rPr>
              <w:t>营业收入（Y）</w:t>
            </w:r>
          </w:p>
        </w:tc>
        <w:tc>
          <w:tcPr>
            <w:tcW w:w="704" w:type="dxa"/>
            <w:vAlign w:val="center"/>
          </w:tcPr>
          <w:p w14:paraId="061AD59D">
            <w:pPr>
              <w:widowControl/>
              <w:jc w:val="center"/>
              <w:rPr>
                <w:rFonts w:hint="eastAsia" w:ascii="宋体" w:hAnsi="宋体"/>
                <w:color w:val="auto"/>
                <w:kern w:val="0"/>
                <w:sz w:val="18"/>
                <w:szCs w:val="18"/>
              </w:rPr>
            </w:pPr>
            <w:r>
              <w:rPr>
                <w:rFonts w:ascii="宋体" w:hAnsi="宋体"/>
                <w:color w:val="auto"/>
                <w:kern w:val="0"/>
                <w:sz w:val="18"/>
                <w:szCs w:val="18"/>
              </w:rPr>
              <w:t>万元</w:t>
            </w:r>
          </w:p>
        </w:tc>
        <w:tc>
          <w:tcPr>
            <w:tcW w:w="1116" w:type="dxa"/>
            <w:vAlign w:val="center"/>
          </w:tcPr>
          <w:p w14:paraId="4E819704">
            <w:pPr>
              <w:widowControl/>
              <w:jc w:val="center"/>
              <w:rPr>
                <w:rFonts w:hint="eastAsia" w:ascii="宋体" w:hAnsi="宋体"/>
                <w:color w:val="auto"/>
                <w:kern w:val="0"/>
                <w:sz w:val="18"/>
                <w:szCs w:val="18"/>
              </w:rPr>
            </w:pPr>
            <w:r>
              <w:rPr>
                <w:rFonts w:ascii="宋体" w:hAnsi="宋体"/>
                <w:color w:val="auto"/>
                <w:kern w:val="0"/>
                <w:sz w:val="18"/>
                <w:szCs w:val="18"/>
              </w:rPr>
              <w:t>Y≥10000</w:t>
            </w:r>
          </w:p>
        </w:tc>
        <w:tc>
          <w:tcPr>
            <w:tcW w:w="1688" w:type="dxa"/>
            <w:vAlign w:val="center"/>
          </w:tcPr>
          <w:p w14:paraId="5C8B4A05">
            <w:pPr>
              <w:widowControl/>
              <w:jc w:val="center"/>
              <w:rPr>
                <w:rFonts w:hint="eastAsia" w:ascii="宋体" w:hAnsi="宋体"/>
                <w:color w:val="auto"/>
                <w:kern w:val="0"/>
                <w:sz w:val="18"/>
                <w:szCs w:val="18"/>
              </w:rPr>
            </w:pPr>
            <w:r>
              <w:rPr>
                <w:rFonts w:ascii="宋体" w:hAnsi="宋体"/>
                <w:color w:val="auto"/>
                <w:kern w:val="0"/>
                <w:sz w:val="18"/>
                <w:szCs w:val="18"/>
              </w:rPr>
              <w:t>2000≤Y＜10000</w:t>
            </w:r>
          </w:p>
        </w:tc>
        <w:tc>
          <w:tcPr>
            <w:tcW w:w="1415" w:type="dxa"/>
            <w:vAlign w:val="center"/>
          </w:tcPr>
          <w:p w14:paraId="66A38C4A">
            <w:pPr>
              <w:widowControl/>
              <w:jc w:val="center"/>
              <w:rPr>
                <w:rFonts w:hint="eastAsia" w:ascii="宋体" w:hAnsi="宋体"/>
                <w:color w:val="auto"/>
                <w:kern w:val="0"/>
                <w:sz w:val="18"/>
                <w:szCs w:val="18"/>
              </w:rPr>
            </w:pPr>
            <w:r>
              <w:rPr>
                <w:rFonts w:ascii="宋体" w:hAnsi="宋体"/>
                <w:color w:val="auto"/>
                <w:kern w:val="0"/>
                <w:sz w:val="18"/>
                <w:szCs w:val="18"/>
              </w:rPr>
              <w:t>100≤Y＜2000</w:t>
            </w:r>
          </w:p>
        </w:tc>
        <w:tc>
          <w:tcPr>
            <w:tcW w:w="984" w:type="dxa"/>
            <w:vAlign w:val="center"/>
          </w:tcPr>
          <w:p w14:paraId="2B49D0FF">
            <w:pPr>
              <w:widowControl/>
              <w:jc w:val="center"/>
              <w:rPr>
                <w:rFonts w:hint="eastAsia" w:ascii="宋体" w:hAnsi="宋体"/>
                <w:color w:val="auto"/>
                <w:kern w:val="0"/>
                <w:sz w:val="18"/>
                <w:szCs w:val="18"/>
              </w:rPr>
            </w:pPr>
            <w:r>
              <w:rPr>
                <w:rFonts w:ascii="宋体" w:hAnsi="宋体"/>
                <w:color w:val="auto"/>
                <w:kern w:val="0"/>
                <w:sz w:val="18"/>
                <w:szCs w:val="18"/>
              </w:rPr>
              <w:t>Y＜100</w:t>
            </w:r>
          </w:p>
        </w:tc>
      </w:tr>
      <w:tr w14:paraId="29A4F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exact"/>
          <w:jc w:val="center"/>
        </w:trPr>
        <w:tc>
          <w:tcPr>
            <w:tcW w:w="2097" w:type="dxa"/>
            <w:vMerge w:val="restart"/>
            <w:vAlign w:val="center"/>
          </w:tcPr>
          <w:p w14:paraId="379F72E5">
            <w:pPr>
              <w:widowControl/>
              <w:spacing w:line="240" w:lineRule="exact"/>
              <w:jc w:val="left"/>
              <w:rPr>
                <w:rFonts w:hint="eastAsia" w:ascii="宋体" w:hAnsi="宋体"/>
                <w:color w:val="auto"/>
                <w:kern w:val="0"/>
                <w:sz w:val="18"/>
                <w:szCs w:val="18"/>
              </w:rPr>
            </w:pPr>
            <w:r>
              <w:rPr>
                <w:rFonts w:ascii="宋体" w:hAnsi="宋体"/>
                <w:color w:val="auto"/>
                <w:kern w:val="0"/>
                <w:sz w:val="18"/>
                <w:szCs w:val="18"/>
              </w:rPr>
              <w:t>信息传输业 *</w:t>
            </w:r>
          </w:p>
        </w:tc>
        <w:tc>
          <w:tcPr>
            <w:tcW w:w="1358" w:type="dxa"/>
            <w:vAlign w:val="center"/>
          </w:tcPr>
          <w:p w14:paraId="7B079EC5">
            <w:pPr>
              <w:widowControl/>
              <w:jc w:val="center"/>
              <w:rPr>
                <w:rFonts w:hint="eastAsia" w:ascii="宋体" w:hAnsi="宋体"/>
                <w:color w:val="auto"/>
                <w:kern w:val="0"/>
                <w:sz w:val="18"/>
                <w:szCs w:val="18"/>
              </w:rPr>
            </w:pPr>
            <w:r>
              <w:rPr>
                <w:rFonts w:ascii="宋体" w:hAnsi="宋体"/>
                <w:color w:val="auto"/>
                <w:kern w:val="0"/>
                <w:sz w:val="18"/>
                <w:szCs w:val="18"/>
              </w:rPr>
              <w:t>从业人员（X）</w:t>
            </w:r>
          </w:p>
        </w:tc>
        <w:tc>
          <w:tcPr>
            <w:tcW w:w="704" w:type="dxa"/>
            <w:vAlign w:val="center"/>
          </w:tcPr>
          <w:p w14:paraId="6E62D4C3">
            <w:pPr>
              <w:widowControl/>
              <w:jc w:val="center"/>
              <w:rPr>
                <w:rFonts w:hint="eastAsia" w:ascii="宋体" w:hAnsi="宋体"/>
                <w:color w:val="auto"/>
                <w:kern w:val="0"/>
                <w:sz w:val="18"/>
                <w:szCs w:val="18"/>
              </w:rPr>
            </w:pPr>
            <w:r>
              <w:rPr>
                <w:rFonts w:ascii="宋体" w:hAnsi="宋体"/>
                <w:color w:val="auto"/>
                <w:kern w:val="0"/>
                <w:sz w:val="18"/>
                <w:szCs w:val="18"/>
              </w:rPr>
              <w:t>人</w:t>
            </w:r>
          </w:p>
        </w:tc>
        <w:tc>
          <w:tcPr>
            <w:tcW w:w="1116" w:type="dxa"/>
            <w:vAlign w:val="center"/>
          </w:tcPr>
          <w:p w14:paraId="60893DF1">
            <w:pPr>
              <w:widowControl/>
              <w:jc w:val="center"/>
              <w:rPr>
                <w:rFonts w:hint="eastAsia" w:ascii="宋体" w:hAnsi="宋体"/>
                <w:color w:val="auto"/>
                <w:kern w:val="0"/>
                <w:sz w:val="18"/>
                <w:szCs w:val="18"/>
              </w:rPr>
            </w:pPr>
            <w:r>
              <w:rPr>
                <w:rFonts w:ascii="宋体" w:hAnsi="宋体"/>
                <w:color w:val="auto"/>
                <w:kern w:val="0"/>
                <w:sz w:val="18"/>
                <w:szCs w:val="18"/>
              </w:rPr>
              <w:t>X≥2000</w:t>
            </w:r>
          </w:p>
        </w:tc>
        <w:tc>
          <w:tcPr>
            <w:tcW w:w="1688" w:type="dxa"/>
            <w:vAlign w:val="center"/>
          </w:tcPr>
          <w:p w14:paraId="0C1A1F32">
            <w:pPr>
              <w:widowControl/>
              <w:jc w:val="center"/>
              <w:rPr>
                <w:rFonts w:hint="eastAsia" w:ascii="宋体" w:hAnsi="宋体"/>
                <w:color w:val="auto"/>
                <w:kern w:val="0"/>
                <w:sz w:val="18"/>
                <w:szCs w:val="18"/>
              </w:rPr>
            </w:pPr>
            <w:r>
              <w:rPr>
                <w:rFonts w:ascii="宋体" w:hAnsi="宋体"/>
                <w:color w:val="auto"/>
                <w:kern w:val="0"/>
                <w:sz w:val="18"/>
                <w:szCs w:val="18"/>
              </w:rPr>
              <w:t>100≤X＜2000</w:t>
            </w:r>
          </w:p>
        </w:tc>
        <w:tc>
          <w:tcPr>
            <w:tcW w:w="1415" w:type="dxa"/>
            <w:vAlign w:val="center"/>
          </w:tcPr>
          <w:p w14:paraId="612B7011">
            <w:pPr>
              <w:widowControl/>
              <w:jc w:val="center"/>
              <w:rPr>
                <w:rFonts w:hint="eastAsia" w:ascii="宋体" w:hAnsi="宋体"/>
                <w:color w:val="auto"/>
                <w:kern w:val="0"/>
                <w:sz w:val="18"/>
                <w:szCs w:val="18"/>
              </w:rPr>
            </w:pPr>
            <w:r>
              <w:rPr>
                <w:rFonts w:ascii="宋体" w:hAnsi="宋体"/>
                <w:color w:val="auto"/>
                <w:kern w:val="0"/>
                <w:sz w:val="18"/>
                <w:szCs w:val="18"/>
              </w:rPr>
              <w:t>10≤X＜100</w:t>
            </w:r>
          </w:p>
        </w:tc>
        <w:tc>
          <w:tcPr>
            <w:tcW w:w="984" w:type="dxa"/>
            <w:vAlign w:val="center"/>
          </w:tcPr>
          <w:p w14:paraId="5A773123">
            <w:pPr>
              <w:widowControl/>
              <w:jc w:val="center"/>
              <w:rPr>
                <w:rFonts w:hint="eastAsia" w:ascii="宋体" w:hAnsi="宋体"/>
                <w:color w:val="auto"/>
                <w:kern w:val="0"/>
                <w:sz w:val="18"/>
                <w:szCs w:val="18"/>
              </w:rPr>
            </w:pPr>
            <w:r>
              <w:rPr>
                <w:rFonts w:ascii="宋体" w:hAnsi="宋体"/>
                <w:color w:val="auto"/>
                <w:kern w:val="0"/>
                <w:sz w:val="18"/>
                <w:szCs w:val="18"/>
              </w:rPr>
              <w:t>X＜10</w:t>
            </w:r>
          </w:p>
        </w:tc>
      </w:tr>
      <w:tr w14:paraId="0B9AE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exact"/>
          <w:jc w:val="center"/>
        </w:trPr>
        <w:tc>
          <w:tcPr>
            <w:tcW w:w="2097" w:type="dxa"/>
            <w:vMerge w:val="continue"/>
            <w:vAlign w:val="center"/>
          </w:tcPr>
          <w:p w14:paraId="3923866F">
            <w:pPr>
              <w:widowControl/>
              <w:jc w:val="left"/>
              <w:rPr>
                <w:rFonts w:hint="eastAsia" w:ascii="宋体" w:hAnsi="宋体"/>
                <w:color w:val="auto"/>
                <w:kern w:val="0"/>
                <w:sz w:val="18"/>
                <w:szCs w:val="18"/>
              </w:rPr>
            </w:pPr>
          </w:p>
        </w:tc>
        <w:tc>
          <w:tcPr>
            <w:tcW w:w="1358" w:type="dxa"/>
            <w:vAlign w:val="center"/>
          </w:tcPr>
          <w:p w14:paraId="22E93315">
            <w:pPr>
              <w:widowControl/>
              <w:spacing w:line="240" w:lineRule="exact"/>
              <w:jc w:val="center"/>
              <w:rPr>
                <w:rFonts w:hint="eastAsia" w:ascii="宋体" w:hAnsi="宋体"/>
                <w:color w:val="auto"/>
                <w:kern w:val="0"/>
                <w:sz w:val="18"/>
                <w:szCs w:val="18"/>
              </w:rPr>
            </w:pPr>
            <w:r>
              <w:rPr>
                <w:rFonts w:ascii="宋体" w:hAnsi="宋体"/>
                <w:color w:val="auto"/>
                <w:kern w:val="0"/>
                <w:sz w:val="18"/>
                <w:szCs w:val="18"/>
              </w:rPr>
              <w:t>营业收入（Y）</w:t>
            </w:r>
          </w:p>
        </w:tc>
        <w:tc>
          <w:tcPr>
            <w:tcW w:w="704" w:type="dxa"/>
            <w:vAlign w:val="center"/>
          </w:tcPr>
          <w:p w14:paraId="67596F8A">
            <w:pPr>
              <w:widowControl/>
              <w:jc w:val="center"/>
              <w:rPr>
                <w:rFonts w:hint="eastAsia" w:ascii="宋体" w:hAnsi="宋体"/>
                <w:color w:val="auto"/>
                <w:kern w:val="0"/>
                <w:sz w:val="18"/>
                <w:szCs w:val="18"/>
              </w:rPr>
            </w:pPr>
            <w:r>
              <w:rPr>
                <w:rFonts w:ascii="宋体" w:hAnsi="宋体"/>
                <w:color w:val="auto"/>
                <w:kern w:val="0"/>
                <w:sz w:val="18"/>
                <w:szCs w:val="18"/>
              </w:rPr>
              <w:t>万元</w:t>
            </w:r>
          </w:p>
        </w:tc>
        <w:tc>
          <w:tcPr>
            <w:tcW w:w="1116" w:type="dxa"/>
            <w:vAlign w:val="center"/>
          </w:tcPr>
          <w:p w14:paraId="6D18E2D6">
            <w:pPr>
              <w:widowControl/>
              <w:jc w:val="center"/>
              <w:rPr>
                <w:rFonts w:hint="eastAsia" w:ascii="宋体" w:hAnsi="宋体"/>
                <w:color w:val="auto"/>
                <w:kern w:val="0"/>
                <w:sz w:val="18"/>
                <w:szCs w:val="18"/>
              </w:rPr>
            </w:pPr>
            <w:r>
              <w:rPr>
                <w:rFonts w:ascii="宋体" w:hAnsi="宋体"/>
                <w:color w:val="auto"/>
                <w:kern w:val="0"/>
                <w:sz w:val="18"/>
                <w:szCs w:val="18"/>
              </w:rPr>
              <w:t>Y≥100000</w:t>
            </w:r>
          </w:p>
        </w:tc>
        <w:tc>
          <w:tcPr>
            <w:tcW w:w="1688" w:type="dxa"/>
            <w:vAlign w:val="center"/>
          </w:tcPr>
          <w:p w14:paraId="6EC3268C">
            <w:pPr>
              <w:widowControl/>
              <w:jc w:val="center"/>
              <w:rPr>
                <w:rFonts w:hint="eastAsia" w:ascii="宋体" w:hAnsi="宋体"/>
                <w:color w:val="auto"/>
                <w:kern w:val="0"/>
                <w:sz w:val="18"/>
                <w:szCs w:val="18"/>
              </w:rPr>
            </w:pPr>
            <w:r>
              <w:rPr>
                <w:rFonts w:ascii="宋体" w:hAnsi="宋体"/>
                <w:color w:val="auto"/>
                <w:kern w:val="0"/>
                <w:sz w:val="18"/>
                <w:szCs w:val="18"/>
              </w:rPr>
              <w:t>1000≤Y＜100000</w:t>
            </w:r>
          </w:p>
        </w:tc>
        <w:tc>
          <w:tcPr>
            <w:tcW w:w="1415" w:type="dxa"/>
            <w:vAlign w:val="center"/>
          </w:tcPr>
          <w:p w14:paraId="4FAABDF9">
            <w:pPr>
              <w:widowControl/>
              <w:jc w:val="center"/>
              <w:rPr>
                <w:rFonts w:hint="eastAsia" w:ascii="宋体" w:hAnsi="宋体"/>
                <w:color w:val="auto"/>
                <w:kern w:val="0"/>
                <w:sz w:val="18"/>
                <w:szCs w:val="18"/>
              </w:rPr>
            </w:pPr>
            <w:r>
              <w:rPr>
                <w:rFonts w:ascii="宋体" w:hAnsi="宋体"/>
                <w:color w:val="auto"/>
                <w:kern w:val="0"/>
                <w:sz w:val="18"/>
                <w:szCs w:val="18"/>
              </w:rPr>
              <w:t>100≤Y＜1000</w:t>
            </w:r>
          </w:p>
        </w:tc>
        <w:tc>
          <w:tcPr>
            <w:tcW w:w="984" w:type="dxa"/>
            <w:vAlign w:val="center"/>
          </w:tcPr>
          <w:p w14:paraId="6446CFB3">
            <w:pPr>
              <w:widowControl/>
              <w:jc w:val="center"/>
              <w:rPr>
                <w:rFonts w:hint="eastAsia" w:ascii="宋体" w:hAnsi="宋体"/>
                <w:color w:val="auto"/>
                <w:kern w:val="0"/>
                <w:sz w:val="18"/>
                <w:szCs w:val="18"/>
              </w:rPr>
            </w:pPr>
            <w:r>
              <w:rPr>
                <w:rFonts w:ascii="宋体" w:hAnsi="宋体"/>
                <w:color w:val="auto"/>
                <w:kern w:val="0"/>
                <w:sz w:val="18"/>
                <w:szCs w:val="18"/>
              </w:rPr>
              <w:t>Y＜100</w:t>
            </w:r>
          </w:p>
        </w:tc>
      </w:tr>
      <w:tr w14:paraId="78CEE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exact"/>
          <w:jc w:val="center"/>
        </w:trPr>
        <w:tc>
          <w:tcPr>
            <w:tcW w:w="2097" w:type="dxa"/>
            <w:vMerge w:val="restart"/>
            <w:vAlign w:val="center"/>
          </w:tcPr>
          <w:p w14:paraId="4FEFB4CB">
            <w:pPr>
              <w:widowControl/>
              <w:spacing w:line="240" w:lineRule="exact"/>
              <w:jc w:val="left"/>
              <w:rPr>
                <w:rFonts w:hint="eastAsia" w:ascii="宋体" w:hAnsi="宋体"/>
                <w:color w:val="auto"/>
                <w:spacing w:val="-12"/>
                <w:kern w:val="0"/>
                <w:sz w:val="18"/>
                <w:szCs w:val="18"/>
              </w:rPr>
            </w:pPr>
            <w:r>
              <w:rPr>
                <w:rFonts w:ascii="宋体" w:hAnsi="宋体"/>
                <w:color w:val="auto"/>
                <w:spacing w:val="-12"/>
                <w:kern w:val="0"/>
                <w:sz w:val="18"/>
                <w:szCs w:val="18"/>
              </w:rPr>
              <w:t>软件和信息技术服</w:t>
            </w:r>
            <w:r>
              <w:rPr>
                <w:rFonts w:ascii="宋体" w:hAnsi="宋体"/>
                <w:color w:val="auto"/>
                <w:kern w:val="0"/>
                <w:sz w:val="18"/>
                <w:szCs w:val="18"/>
              </w:rPr>
              <w:t>务业</w:t>
            </w:r>
          </w:p>
        </w:tc>
        <w:tc>
          <w:tcPr>
            <w:tcW w:w="1358" w:type="dxa"/>
            <w:vAlign w:val="center"/>
          </w:tcPr>
          <w:p w14:paraId="39F7B25A">
            <w:pPr>
              <w:widowControl/>
              <w:jc w:val="center"/>
              <w:rPr>
                <w:rFonts w:hint="eastAsia" w:ascii="宋体" w:hAnsi="宋体"/>
                <w:color w:val="auto"/>
                <w:kern w:val="0"/>
                <w:sz w:val="18"/>
                <w:szCs w:val="18"/>
              </w:rPr>
            </w:pPr>
            <w:r>
              <w:rPr>
                <w:rFonts w:ascii="宋体" w:hAnsi="宋体"/>
                <w:color w:val="auto"/>
                <w:kern w:val="0"/>
                <w:sz w:val="18"/>
                <w:szCs w:val="18"/>
              </w:rPr>
              <w:t>从业人员（X）</w:t>
            </w:r>
          </w:p>
        </w:tc>
        <w:tc>
          <w:tcPr>
            <w:tcW w:w="704" w:type="dxa"/>
            <w:vAlign w:val="center"/>
          </w:tcPr>
          <w:p w14:paraId="6E820208">
            <w:pPr>
              <w:widowControl/>
              <w:jc w:val="center"/>
              <w:rPr>
                <w:rFonts w:hint="eastAsia" w:ascii="宋体" w:hAnsi="宋体"/>
                <w:color w:val="auto"/>
                <w:kern w:val="0"/>
                <w:sz w:val="18"/>
                <w:szCs w:val="18"/>
              </w:rPr>
            </w:pPr>
            <w:r>
              <w:rPr>
                <w:rFonts w:ascii="宋体" w:hAnsi="宋体"/>
                <w:color w:val="auto"/>
                <w:kern w:val="0"/>
                <w:sz w:val="18"/>
                <w:szCs w:val="18"/>
              </w:rPr>
              <w:t>人</w:t>
            </w:r>
          </w:p>
        </w:tc>
        <w:tc>
          <w:tcPr>
            <w:tcW w:w="1116" w:type="dxa"/>
            <w:vAlign w:val="center"/>
          </w:tcPr>
          <w:p w14:paraId="0C94D6DC">
            <w:pPr>
              <w:widowControl/>
              <w:jc w:val="center"/>
              <w:rPr>
                <w:rFonts w:hint="eastAsia" w:ascii="宋体" w:hAnsi="宋体"/>
                <w:color w:val="auto"/>
                <w:kern w:val="0"/>
                <w:sz w:val="18"/>
                <w:szCs w:val="18"/>
              </w:rPr>
            </w:pPr>
            <w:r>
              <w:rPr>
                <w:rFonts w:ascii="宋体" w:hAnsi="宋体"/>
                <w:color w:val="auto"/>
                <w:kern w:val="0"/>
                <w:sz w:val="18"/>
                <w:szCs w:val="18"/>
              </w:rPr>
              <w:t>X≥300</w:t>
            </w:r>
          </w:p>
        </w:tc>
        <w:tc>
          <w:tcPr>
            <w:tcW w:w="1688" w:type="dxa"/>
            <w:vAlign w:val="center"/>
          </w:tcPr>
          <w:p w14:paraId="45036367">
            <w:pPr>
              <w:widowControl/>
              <w:ind w:left="1" w:leftChars="-51" w:hanging="108" w:hangingChars="60"/>
              <w:jc w:val="center"/>
              <w:rPr>
                <w:rFonts w:hint="eastAsia" w:ascii="宋体" w:hAnsi="宋体"/>
                <w:color w:val="auto"/>
                <w:kern w:val="0"/>
                <w:sz w:val="18"/>
                <w:szCs w:val="18"/>
              </w:rPr>
            </w:pPr>
            <w:r>
              <w:rPr>
                <w:rFonts w:ascii="宋体" w:hAnsi="宋体"/>
                <w:color w:val="auto"/>
                <w:kern w:val="0"/>
                <w:sz w:val="18"/>
                <w:szCs w:val="18"/>
              </w:rPr>
              <w:t xml:space="preserve">100≤X＜300 </w:t>
            </w:r>
          </w:p>
        </w:tc>
        <w:tc>
          <w:tcPr>
            <w:tcW w:w="1415" w:type="dxa"/>
            <w:vAlign w:val="center"/>
          </w:tcPr>
          <w:p w14:paraId="2E094A13">
            <w:pPr>
              <w:widowControl/>
              <w:jc w:val="center"/>
              <w:rPr>
                <w:rFonts w:hint="eastAsia" w:ascii="宋体" w:hAnsi="宋体"/>
                <w:color w:val="auto"/>
                <w:kern w:val="0"/>
                <w:sz w:val="18"/>
                <w:szCs w:val="18"/>
              </w:rPr>
            </w:pPr>
            <w:r>
              <w:rPr>
                <w:rFonts w:ascii="宋体" w:hAnsi="宋体"/>
                <w:color w:val="auto"/>
                <w:kern w:val="0"/>
                <w:sz w:val="18"/>
                <w:szCs w:val="18"/>
              </w:rPr>
              <w:t>10≤X＜100</w:t>
            </w:r>
          </w:p>
        </w:tc>
        <w:tc>
          <w:tcPr>
            <w:tcW w:w="984" w:type="dxa"/>
            <w:vAlign w:val="center"/>
          </w:tcPr>
          <w:p w14:paraId="356B84B5">
            <w:pPr>
              <w:widowControl/>
              <w:jc w:val="center"/>
              <w:rPr>
                <w:rFonts w:hint="eastAsia" w:ascii="宋体" w:hAnsi="宋体"/>
                <w:color w:val="auto"/>
                <w:kern w:val="0"/>
                <w:sz w:val="18"/>
                <w:szCs w:val="18"/>
              </w:rPr>
            </w:pPr>
            <w:r>
              <w:rPr>
                <w:rFonts w:ascii="宋体" w:hAnsi="宋体"/>
                <w:color w:val="auto"/>
                <w:kern w:val="0"/>
                <w:sz w:val="18"/>
                <w:szCs w:val="18"/>
              </w:rPr>
              <w:t>X＜10</w:t>
            </w:r>
          </w:p>
        </w:tc>
      </w:tr>
      <w:tr w14:paraId="65F89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exact"/>
          <w:jc w:val="center"/>
        </w:trPr>
        <w:tc>
          <w:tcPr>
            <w:tcW w:w="2097" w:type="dxa"/>
            <w:vMerge w:val="continue"/>
            <w:vAlign w:val="center"/>
          </w:tcPr>
          <w:p w14:paraId="35021774">
            <w:pPr>
              <w:widowControl/>
              <w:jc w:val="left"/>
              <w:rPr>
                <w:rFonts w:hint="eastAsia" w:ascii="宋体" w:hAnsi="宋体"/>
                <w:color w:val="auto"/>
                <w:spacing w:val="-12"/>
                <w:kern w:val="0"/>
                <w:sz w:val="18"/>
                <w:szCs w:val="18"/>
              </w:rPr>
            </w:pPr>
          </w:p>
        </w:tc>
        <w:tc>
          <w:tcPr>
            <w:tcW w:w="1358" w:type="dxa"/>
            <w:vAlign w:val="center"/>
          </w:tcPr>
          <w:p w14:paraId="2C4A87FF">
            <w:pPr>
              <w:widowControl/>
              <w:jc w:val="center"/>
              <w:rPr>
                <w:rFonts w:hint="eastAsia" w:ascii="宋体" w:hAnsi="宋体"/>
                <w:color w:val="auto"/>
                <w:kern w:val="0"/>
                <w:sz w:val="18"/>
                <w:szCs w:val="18"/>
              </w:rPr>
            </w:pPr>
            <w:r>
              <w:rPr>
                <w:rFonts w:ascii="宋体" w:hAnsi="宋体"/>
                <w:color w:val="auto"/>
                <w:kern w:val="0"/>
                <w:sz w:val="18"/>
                <w:szCs w:val="18"/>
              </w:rPr>
              <w:t>营业收入（Y）</w:t>
            </w:r>
          </w:p>
        </w:tc>
        <w:tc>
          <w:tcPr>
            <w:tcW w:w="704" w:type="dxa"/>
            <w:vAlign w:val="center"/>
          </w:tcPr>
          <w:p w14:paraId="425006B9">
            <w:pPr>
              <w:widowControl/>
              <w:jc w:val="center"/>
              <w:rPr>
                <w:rFonts w:hint="eastAsia" w:ascii="宋体" w:hAnsi="宋体"/>
                <w:color w:val="auto"/>
                <w:kern w:val="0"/>
                <w:sz w:val="18"/>
                <w:szCs w:val="18"/>
              </w:rPr>
            </w:pPr>
            <w:r>
              <w:rPr>
                <w:rFonts w:ascii="宋体" w:hAnsi="宋体"/>
                <w:color w:val="auto"/>
                <w:kern w:val="0"/>
                <w:sz w:val="18"/>
                <w:szCs w:val="18"/>
              </w:rPr>
              <w:t>万元</w:t>
            </w:r>
          </w:p>
        </w:tc>
        <w:tc>
          <w:tcPr>
            <w:tcW w:w="1116" w:type="dxa"/>
            <w:vAlign w:val="center"/>
          </w:tcPr>
          <w:p w14:paraId="131EACD2">
            <w:pPr>
              <w:widowControl/>
              <w:jc w:val="center"/>
              <w:rPr>
                <w:rFonts w:hint="eastAsia" w:ascii="宋体" w:hAnsi="宋体"/>
                <w:color w:val="auto"/>
                <w:kern w:val="0"/>
                <w:sz w:val="18"/>
                <w:szCs w:val="18"/>
              </w:rPr>
            </w:pPr>
            <w:r>
              <w:rPr>
                <w:rFonts w:ascii="宋体" w:hAnsi="宋体"/>
                <w:color w:val="auto"/>
                <w:kern w:val="0"/>
                <w:sz w:val="18"/>
                <w:szCs w:val="18"/>
              </w:rPr>
              <w:t>Y≥10000</w:t>
            </w:r>
          </w:p>
        </w:tc>
        <w:tc>
          <w:tcPr>
            <w:tcW w:w="1688" w:type="dxa"/>
            <w:vAlign w:val="center"/>
          </w:tcPr>
          <w:p w14:paraId="1AD89DF4">
            <w:pPr>
              <w:widowControl/>
              <w:jc w:val="center"/>
              <w:rPr>
                <w:rFonts w:hint="eastAsia" w:ascii="宋体" w:hAnsi="宋体"/>
                <w:color w:val="auto"/>
                <w:kern w:val="0"/>
                <w:sz w:val="18"/>
                <w:szCs w:val="18"/>
              </w:rPr>
            </w:pPr>
            <w:r>
              <w:rPr>
                <w:rFonts w:ascii="宋体" w:hAnsi="宋体"/>
                <w:color w:val="auto"/>
                <w:kern w:val="0"/>
                <w:sz w:val="18"/>
                <w:szCs w:val="18"/>
              </w:rPr>
              <w:t>1000≤Y＜10000</w:t>
            </w:r>
          </w:p>
        </w:tc>
        <w:tc>
          <w:tcPr>
            <w:tcW w:w="1415" w:type="dxa"/>
            <w:vAlign w:val="center"/>
          </w:tcPr>
          <w:p w14:paraId="03304CD2">
            <w:pPr>
              <w:widowControl/>
              <w:jc w:val="center"/>
              <w:rPr>
                <w:rFonts w:hint="eastAsia" w:ascii="宋体" w:hAnsi="宋体"/>
                <w:color w:val="auto"/>
                <w:kern w:val="0"/>
                <w:sz w:val="18"/>
                <w:szCs w:val="18"/>
              </w:rPr>
            </w:pPr>
            <w:r>
              <w:rPr>
                <w:rFonts w:ascii="宋体" w:hAnsi="宋体"/>
                <w:color w:val="auto"/>
                <w:kern w:val="0"/>
                <w:sz w:val="18"/>
                <w:szCs w:val="18"/>
              </w:rPr>
              <w:t>50≤Y＜1000</w:t>
            </w:r>
          </w:p>
        </w:tc>
        <w:tc>
          <w:tcPr>
            <w:tcW w:w="984" w:type="dxa"/>
            <w:vAlign w:val="center"/>
          </w:tcPr>
          <w:p w14:paraId="6EFFCA16">
            <w:pPr>
              <w:widowControl/>
              <w:jc w:val="center"/>
              <w:rPr>
                <w:rFonts w:hint="eastAsia" w:ascii="宋体" w:hAnsi="宋体"/>
                <w:color w:val="auto"/>
                <w:kern w:val="0"/>
                <w:sz w:val="18"/>
                <w:szCs w:val="18"/>
              </w:rPr>
            </w:pPr>
            <w:r>
              <w:rPr>
                <w:rFonts w:ascii="宋体" w:hAnsi="宋体"/>
                <w:color w:val="auto"/>
                <w:kern w:val="0"/>
                <w:sz w:val="18"/>
                <w:szCs w:val="18"/>
              </w:rPr>
              <w:t>Y＜50</w:t>
            </w:r>
          </w:p>
        </w:tc>
      </w:tr>
      <w:tr w14:paraId="27756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exact"/>
          <w:jc w:val="center"/>
        </w:trPr>
        <w:tc>
          <w:tcPr>
            <w:tcW w:w="2097" w:type="dxa"/>
            <w:vMerge w:val="restart"/>
            <w:vAlign w:val="center"/>
          </w:tcPr>
          <w:p w14:paraId="0CE70362">
            <w:pPr>
              <w:widowControl/>
              <w:spacing w:line="240" w:lineRule="exact"/>
              <w:jc w:val="left"/>
              <w:rPr>
                <w:rFonts w:hint="eastAsia" w:ascii="宋体" w:hAnsi="宋体"/>
                <w:color w:val="auto"/>
                <w:kern w:val="0"/>
                <w:sz w:val="18"/>
                <w:szCs w:val="18"/>
              </w:rPr>
            </w:pPr>
            <w:r>
              <w:rPr>
                <w:rFonts w:ascii="宋体" w:hAnsi="宋体"/>
                <w:color w:val="auto"/>
                <w:kern w:val="0"/>
                <w:sz w:val="18"/>
                <w:szCs w:val="18"/>
              </w:rPr>
              <w:t>房地产开发经营</w:t>
            </w:r>
          </w:p>
        </w:tc>
        <w:tc>
          <w:tcPr>
            <w:tcW w:w="1358" w:type="dxa"/>
            <w:vAlign w:val="center"/>
          </w:tcPr>
          <w:p w14:paraId="15797104">
            <w:pPr>
              <w:widowControl/>
              <w:jc w:val="center"/>
              <w:rPr>
                <w:rFonts w:hint="eastAsia" w:ascii="宋体" w:hAnsi="宋体"/>
                <w:color w:val="auto"/>
                <w:kern w:val="0"/>
                <w:sz w:val="18"/>
                <w:szCs w:val="18"/>
              </w:rPr>
            </w:pPr>
            <w:r>
              <w:rPr>
                <w:rFonts w:ascii="宋体" w:hAnsi="宋体"/>
                <w:color w:val="auto"/>
                <w:kern w:val="0"/>
                <w:sz w:val="18"/>
                <w:szCs w:val="18"/>
              </w:rPr>
              <w:t>营业收入（Y）</w:t>
            </w:r>
          </w:p>
        </w:tc>
        <w:tc>
          <w:tcPr>
            <w:tcW w:w="704" w:type="dxa"/>
            <w:vAlign w:val="center"/>
          </w:tcPr>
          <w:p w14:paraId="6EF15295">
            <w:pPr>
              <w:widowControl/>
              <w:jc w:val="center"/>
              <w:rPr>
                <w:rFonts w:hint="eastAsia" w:ascii="宋体" w:hAnsi="宋体"/>
                <w:color w:val="auto"/>
                <w:kern w:val="0"/>
                <w:sz w:val="18"/>
                <w:szCs w:val="18"/>
              </w:rPr>
            </w:pPr>
            <w:r>
              <w:rPr>
                <w:rFonts w:ascii="宋体" w:hAnsi="宋体"/>
                <w:color w:val="auto"/>
                <w:kern w:val="0"/>
                <w:sz w:val="18"/>
                <w:szCs w:val="18"/>
              </w:rPr>
              <w:t>万元</w:t>
            </w:r>
          </w:p>
        </w:tc>
        <w:tc>
          <w:tcPr>
            <w:tcW w:w="1116" w:type="dxa"/>
            <w:vAlign w:val="center"/>
          </w:tcPr>
          <w:p w14:paraId="3AFA1DCF">
            <w:pPr>
              <w:widowControl/>
              <w:jc w:val="center"/>
              <w:rPr>
                <w:rFonts w:hint="eastAsia" w:ascii="宋体" w:hAnsi="宋体"/>
                <w:color w:val="auto"/>
                <w:kern w:val="0"/>
                <w:sz w:val="18"/>
                <w:szCs w:val="18"/>
              </w:rPr>
            </w:pPr>
            <w:r>
              <w:rPr>
                <w:rFonts w:ascii="宋体" w:hAnsi="宋体"/>
                <w:color w:val="auto"/>
                <w:kern w:val="0"/>
                <w:sz w:val="18"/>
                <w:szCs w:val="18"/>
              </w:rPr>
              <w:t>Y≥200000</w:t>
            </w:r>
          </w:p>
        </w:tc>
        <w:tc>
          <w:tcPr>
            <w:tcW w:w="1688" w:type="dxa"/>
            <w:vAlign w:val="center"/>
          </w:tcPr>
          <w:p w14:paraId="28565575">
            <w:pPr>
              <w:widowControl/>
              <w:jc w:val="center"/>
              <w:rPr>
                <w:rFonts w:hint="eastAsia" w:ascii="宋体" w:hAnsi="宋体"/>
                <w:color w:val="auto"/>
                <w:kern w:val="0"/>
                <w:sz w:val="18"/>
                <w:szCs w:val="18"/>
              </w:rPr>
            </w:pPr>
            <w:r>
              <w:rPr>
                <w:rFonts w:ascii="宋体" w:hAnsi="宋体"/>
                <w:color w:val="auto"/>
                <w:kern w:val="0"/>
                <w:sz w:val="18"/>
                <w:szCs w:val="18"/>
              </w:rPr>
              <w:t>1000≤Y＜200000</w:t>
            </w:r>
          </w:p>
        </w:tc>
        <w:tc>
          <w:tcPr>
            <w:tcW w:w="1415" w:type="dxa"/>
            <w:vAlign w:val="center"/>
          </w:tcPr>
          <w:p w14:paraId="13193961">
            <w:pPr>
              <w:widowControl/>
              <w:jc w:val="center"/>
              <w:rPr>
                <w:rFonts w:hint="eastAsia" w:ascii="宋体" w:hAnsi="宋体"/>
                <w:color w:val="auto"/>
                <w:kern w:val="0"/>
                <w:sz w:val="18"/>
                <w:szCs w:val="18"/>
              </w:rPr>
            </w:pPr>
            <w:r>
              <w:rPr>
                <w:rFonts w:ascii="宋体" w:hAnsi="宋体"/>
                <w:color w:val="auto"/>
                <w:kern w:val="0"/>
                <w:sz w:val="18"/>
                <w:szCs w:val="18"/>
              </w:rPr>
              <w:t>100≤Y＜1000</w:t>
            </w:r>
          </w:p>
        </w:tc>
        <w:tc>
          <w:tcPr>
            <w:tcW w:w="984" w:type="dxa"/>
            <w:vAlign w:val="center"/>
          </w:tcPr>
          <w:p w14:paraId="49BB09D7">
            <w:pPr>
              <w:widowControl/>
              <w:jc w:val="center"/>
              <w:rPr>
                <w:rFonts w:hint="eastAsia" w:ascii="宋体" w:hAnsi="宋体"/>
                <w:color w:val="auto"/>
                <w:kern w:val="0"/>
                <w:sz w:val="18"/>
                <w:szCs w:val="18"/>
              </w:rPr>
            </w:pPr>
            <w:r>
              <w:rPr>
                <w:rFonts w:ascii="宋体" w:hAnsi="宋体"/>
                <w:color w:val="auto"/>
                <w:kern w:val="0"/>
                <w:sz w:val="18"/>
                <w:szCs w:val="18"/>
              </w:rPr>
              <w:t>Y＜100</w:t>
            </w:r>
          </w:p>
        </w:tc>
      </w:tr>
      <w:tr w14:paraId="3384F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exact"/>
          <w:jc w:val="center"/>
        </w:trPr>
        <w:tc>
          <w:tcPr>
            <w:tcW w:w="2097" w:type="dxa"/>
            <w:vMerge w:val="continue"/>
            <w:vAlign w:val="center"/>
          </w:tcPr>
          <w:p w14:paraId="5D2AA159">
            <w:pPr>
              <w:widowControl/>
              <w:jc w:val="left"/>
              <w:rPr>
                <w:rFonts w:hint="eastAsia" w:ascii="宋体" w:hAnsi="宋体"/>
                <w:color w:val="auto"/>
                <w:kern w:val="0"/>
                <w:sz w:val="18"/>
                <w:szCs w:val="18"/>
              </w:rPr>
            </w:pPr>
          </w:p>
        </w:tc>
        <w:tc>
          <w:tcPr>
            <w:tcW w:w="1358" w:type="dxa"/>
            <w:vAlign w:val="center"/>
          </w:tcPr>
          <w:p w14:paraId="477CCD77">
            <w:pPr>
              <w:widowControl/>
              <w:spacing w:line="240" w:lineRule="exact"/>
              <w:jc w:val="center"/>
              <w:rPr>
                <w:rFonts w:hint="eastAsia" w:ascii="宋体" w:hAnsi="宋体"/>
                <w:color w:val="auto"/>
                <w:kern w:val="0"/>
                <w:sz w:val="18"/>
                <w:szCs w:val="18"/>
              </w:rPr>
            </w:pPr>
            <w:r>
              <w:rPr>
                <w:rFonts w:ascii="宋体" w:hAnsi="宋体"/>
                <w:color w:val="auto"/>
                <w:kern w:val="0"/>
                <w:sz w:val="18"/>
                <w:szCs w:val="18"/>
              </w:rPr>
              <w:t>资产总额（Z）</w:t>
            </w:r>
          </w:p>
        </w:tc>
        <w:tc>
          <w:tcPr>
            <w:tcW w:w="704" w:type="dxa"/>
            <w:vAlign w:val="center"/>
          </w:tcPr>
          <w:p w14:paraId="19E32AEB">
            <w:pPr>
              <w:widowControl/>
              <w:jc w:val="center"/>
              <w:rPr>
                <w:rFonts w:hint="eastAsia" w:ascii="宋体" w:hAnsi="宋体"/>
                <w:color w:val="auto"/>
                <w:kern w:val="0"/>
                <w:sz w:val="18"/>
                <w:szCs w:val="18"/>
              </w:rPr>
            </w:pPr>
            <w:r>
              <w:rPr>
                <w:rFonts w:ascii="宋体" w:hAnsi="宋体"/>
                <w:color w:val="auto"/>
                <w:kern w:val="0"/>
                <w:sz w:val="18"/>
                <w:szCs w:val="18"/>
              </w:rPr>
              <w:t>万元</w:t>
            </w:r>
          </w:p>
        </w:tc>
        <w:tc>
          <w:tcPr>
            <w:tcW w:w="1116" w:type="dxa"/>
            <w:vAlign w:val="center"/>
          </w:tcPr>
          <w:p w14:paraId="3AF2474C">
            <w:pPr>
              <w:widowControl/>
              <w:jc w:val="center"/>
              <w:rPr>
                <w:rFonts w:hint="eastAsia" w:ascii="宋体" w:hAnsi="宋体"/>
                <w:color w:val="auto"/>
                <w:kern w:val="0"/>
                <w:sz w:val="18"/>
                <w:szCs w:val="18"/>
              </w:rPr>
            </w:pPr>
            <w:r>
              <w:rPr>
                <w:rFonts w:ascii="宋体" w:hAnsi="宋体"/>
                <w:color w:val="auto"/>
                <w:kern w:val="0"/>
                <w:sz w:val="18"/>
                <w:szCs w:val="18"/>
              </w:rPr>
              <w:t>Z≥10000</w:t>
            </w:r>
          </w:p>
        </w:tc>
        <w:tc>
          <w:tcPr>
            <w:tcW w:w="1688" w:type="dxa"/>
            <w:vAlign w:val="center"/>
          </w:tcPr>
          <w:p w14:paraId="7BA604D9">
            <w:pPr>
              <w:widowControl/>
              <w:jc w:val="center"/>
              <w:rPr>
                <w:rFonts w:hint="eastAsia" w:ascii="宋体" w:hAnsi="宋体"/>
                <w:color w:val="auto"/>
                <w:kern w:val="0"/>
                <w:sz w:val="18"/>
                <w:szCs w:val="18"/>
              </w:rPr>
            </w:pPr>
            <w:r>
              <w:rPr>
                <w:rFonts w:ascii="宋体" w:hAnsi="宋体"/>
                <w:color w:val="auto"/>
                <w:kern w:val="0"/>
                <w:sz w:val="18"/>
                <w:szCs w:val="18"/>
              </w:rPr>
              <w:t>5000≤Z＜10000</w:t>
            </w:r>
          </w:p>
        </w:tc>
        <w:tc>
          <w:tcPr>
            <w:tcW w:w="1415" w:type="dxa"/>
            <w:vAlign w:val="center"/>
          </w:tcPr>
          <w:p w14:paraId="2B14FBA9">
            <w:pPr>
              <w:widowControl/>
              <w:jc w:val="center"/>
              <w:rPr>
                <w:rFonts w:hint="eastAsia" w:ascii="宋体" w:hAnsi="宋体"/>
                <w:color w:val="auto"/>
                <w:kern w:val="0"/>
                <w:sz w:val="18"/>
                <w:szCs w:val="18"/>
              </w:rPr>
            </w:pPr>
            <w:r>
              <w:rPr>
                <w:rFonts w:ascii="宋体" w:hAnsi="宋体"/>
                <w:color w:val="auto"/>
                <w:kern w:val="0"/>
                <w:sz w:val="18"/>
                <w:szCs w:val="18"/>
              </w:rPr>
              <w:t>2000≤Z＜5000</w:t>
            </w:r>
          </w:p>
        </w:tc>
        <w:tc>
          <w:tcPr>
            <w:tcW w:w="984" w:type="dxa"/>
            <w:vAlign w:val="center"/>
          </w:tcPr>
          <w:p w14:paraId="5F073B90">
            <w:pPr>
              <w:widowControl/>
              <w:jc w:val="center"/>
              <w:rPr>
                <w:rFonts w:hint="eastAsia" w:ascii="宋体" w:hAnsi="宋体"/>
                <w:color w:val="auto"/>
                <w:kern w:val="0"/>
                <w:sz w:val="18"/>
                <w:szCs w:val="18"/>
              </w:rPr>
            </w:pPr>
            <w:r>
              <w:rPr>
                <w:rFonts w:ascii="宋体" w:hAnsi="宋体"/>
                <w:color w:val="auto"/>
                <w:kern w:val="0"/>
                <w:sz w:val="18"/>
                <w:szCs w:val="18"/>
              </w:rPr>
              <w:t>Z＜2000</w:t>
            </w:r>
          </w:p>
        </w:tc>
      </w:tr>
      <w:tr w14:paraId="60B5B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exact"/>
          <w:jc w:val="center"/>
        </w:trPr>
        <w:tc>
          <w:tcPr>
            <w:tcW w:w="2097" w:type="dxa"/>
            <w:vMerge w:val="restart"/>
            <w:vAlign w:val="center"/>
          </w:tcPr>
          <w:p w14:paraId="0E8BEBA8">
            <w:pPr>
              <w:widowControl/>
              <w:spacing w:line="240" w:lineRule="exact"/>
              <w:jc w:val="left"/>
              <w:rPr>
                <w:rFonts w:hint="eastAsia" w:ascii="宋体" w:hAnsi="宋体"/>
                <w:color w:val="auto"/>
                <w:kern w:val="0"/>
                <w:sz w:val="18"/>
                <w:szCs w:val="18"/>
              </w:rPr>
            </w:pPr>
            <w:r>
              <w:rPr>
                <w:rFonts w:ascii="宋体" w:hAnsi="宋体"/>
                <w:color w:val="auto"/>
                <w:kern w:val="0"/>
                <w:sz w:val="18"/>
                <w:szCs w:val="18"/>
              </w:rPr>
              <w:t>物业管理</w:t>
            </w:r>
          </w:p>
        </w:tc>
        <w:tc>
          <w:tcPr>
            <w:tcW w:w="1358" w:type="dxa"/>
            <w:vAlign w:val="center"/>
          </w:tcPr>
          <w:p w14:paraId="28DC505E">
            <w:pPr>
              <w:widowControl/>
              <w:jc w:val="center"/>
              <w:rPr>
                <w:rFonts w:hint="eastAsia" w:ascii="宋体" w:hAnsi="宋体"/>
                <w:color w:val="auto"/>
                <w:kern w:val="0"/>
                <w:sz w:val="18"/>
                <w:szCs w:val="18"/>
              </w:rPr>
            </w:pPr>
            <w:r>
              <w:rPr>
                <w:rFonts w:ascii="宋体" w:hAnsi="宋体"/>
                <w:color w:val="auto"/>
                <w:kern w:val="0"/>
                <w:sz w:val="18"/>
                <w:szCs w:val="18"/>
              </w:rPr>
              <w:t>从业人员（X）</w:t>
            </w:r>
          </w:p>
        </w:tc>
        <w:tc>
          <w:tcPr>
            <w:tcW w:w="704" w:type="dxa"/>
            <w:vAlign w:val="center"/>
          </w:tcPr>
          <w:p w14:paraId="2703F2CD">
            <w:pPr>
              <w:widowControl/>
              <w:jc w:val="center"/>
              <w:rPr>
                <w:rFonts w:hint="eastAsia" w:ascii="宋体" w:hAnsi="宋体"/>
                <w:color w:val="auto"/>
                <w:kern w:val="0"/>
                <w:sz w:val="18"/>
                <w:szCs w:val="18"/>
              </w:rPr>
            </w:pPr>
            <w:r>
              <w:rPr>
                <w:rFonts w:ascii="宋体" w:hAnsi="宋体"/>
                <w:color w:val="auto"/>
                <w:kern w:val="0"/>
                <w:sz w:val="18"/>
                <w:szCs w:val="18"/>
              </w:rPr>
              <w:t>人</w:t>
            </w:r>
          </w:p>
        </w:tc>
        <w:tc>
          <w:tcPr>
            <w:tcW w:w="1116" w:type="dxa"/>
            <w:vAlign w:val="center"/>
          </w:tcPr>
          <w:p w14:paraId="5D867558">
            <w:pPr>
              <w:widowControl/>
              <w:jc w:val="center"/>
              <w:rPr>
                <w:rFonts w:hint="eastAsia" w:ascii="宋体" w:hAnsi="宋体"/>
                <w:color w:val="auto"/>
                <w:kern w:val="0"/>
                <w:sz w:val="18"/>
                <w:szCs w:val="18"/>
              </w:rPr>
            </w:pPr>
            <w:r>
              <w:rPr>
                <w:rFonts w:ascii="宋体" w:hAnsi="宋体"/>
                <w:color w:val="auto"/>
                <w:kern w:val="0"/>
                <w:sz w:val="18"/>
                <w:szCs w:val="18"/>
              </w:rPr>
              <w:t>X≥1000</w:t>
            </w:r>
          </w:p>
        </w:tc>
        <w:tc>
          <w:tcPr>
            <w:tcW w:w="1688" w:type="dxa"/>
            <w:vAlign w:val="center"/>
          </w:tcPr>
          <w:p w14:paraId="0A5086C4">
            <w:pPr>
              <w:widowControl/>
              <w:jc w:val="center"/>
              <w:rPr>
                <w:rFonts w:hint="eastAsia" w:ascii="宋体" w:hAnsi="宋体"/>
                <w:color w:val="auto"/>
                <w:kern w:val="0"/>
                <w:sz w:val="18"/>
                <w:szCs w:val="18"/>
              </w:rPr>
            </w:pPr>
            <w:r>
              <w:rPr>
                <w:rFonts w:ascii="宋体" w:hAnsi="宋体"/>
                <w:color w:val="auto"/>
                <w:kern w:val="0"/>
                <w:sz w:val="18"/>
                <w:szCs w:val="18"/>
              </w:rPr>
              <w:t>300≤X＜1000</w:t>
            </w:r>
          </w:p>
        </w:tc>
        <w:tc>
          <w:tcPr>
            <w:tcW w:w="1415" w:type="dxa"/>
            <w:vAlign w:val="center"/>
          </w:tcPr>
          <w:p w14:paraId="4E4EBFDB">
            <w:pPr>
              <w:widowControl/>
              <w:jc w:val="center"/>
              <w:rPr>
                <w:rFonts w:hint="eastAsia" w:ascii="宋体" w:hAnsi="宋体"/>
                <w:color w:val="auto"/>
                <w:kern w:val="0"/>
                <w:sz w:val="18"/>
                <w:szCs w:val="18"/>
              </w:rPr>
            </w:pPr>
            <w:r>
              <w:rPr>
                <w:rFonts w:ascii="宋体" w:hAnsi="宋体"/>
                <w:color w:val="auto"/>
                <w:kern w:val="0"/>
                <w:sz w:val="18"/>
                <w:szCs w:val="18"/>
              </w:rPr>
              <w:t>100≤X＜300</w:t>
            </w:r>
          </w:p>
        </w:tc>
        <w:tc>
          <w:tcPr>
            <w:tcW w:w="984" w:type="dxa"/>
            <w:vAlign w:val="center"/>
          </w:tcPr>
          <w:p w14:paraId="3E23064E">
            <w:pPr>
              <w:widowControl/>
              <w:jc w:val="center"/>
              <w:rPr>
                <w:rFonts w:hint="eastAsia" w:ascii="宋体" w:hAnsi="宋体"/>
                <w:color w:val="auto"/>
                <w:kern w:val="0"/>
                <w:sz w:val="18"/>
                <w:szCs w:val="18"/>
              </w:rPr>
            </w:pPr>
            <w:r>
              <w:rPr>
                <w:rFonts w:ascii="宋体" w:hAnsi="宋体"/>
                <w:color w:val="auto"/>
                <w:kern w:val="0"/>
                <w:sz w:val="18"/>
                <w:szCs w:val="18"/>
              </w:rPr>
              <w:t>X＜100</w:t>
            </w:r>
          </w:p>
        </w:tc>
      </w:tr>
      <w:tr w14:paraId="55F0A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exact"/>
          <w:jc w:val="center"/>
        </w:trPr>
        <w:tc>
          <w:tcPr>
            <w:tcW w:w="2097" w:type="dxa"/>
            <w:vMerge w:val="continue"/>
            <w:vAlign w:val="center"/>
          </w:tcPr>
          <w:p w14:paraId="37617CC5">
            <w:pPr>
              <w:widowControl/>
              <w:jc w:val="left"/>
              <w:rPr>
                <w:rFonts w:hint="eastAsia" w:ascii="宋体" w:hAnsi="宋体"/>
                <w:color w:val="auto"/>
                <w:kern w:val="0"/>
                <w:sz w:val="18"/>
                <w:szCs w:val="18"/>
              </w:rPr>
            </w:pPr>
          </w:p>
        </w:tc>
        <w:tc>
          <w:tcPr>
            <w:tcW w:w="1358" w:type="dxa"/>
            <w:vAlign w:val="center"/>
          </w:tcPr>
          <w:p w14:paraId="31FC5DB2">
            <w:pPr>
              <w:widowControl/>
              <w:spacing w:line="240" w:lineRule="exact"/>
              <w:jc w:val="center"/>
              <w:rPr>
                <w:rFonts w:hint="eastAsia" w:ascii="宋体" w:hAnsi="宋体"/>
                <w:color w:val="auto"/>
                <w:kern w:val="0"/>
                <w:sz w:val="18"/>
                <w:szCs w:val="18"/>
              </w:rPr>
            </w:pPr>
            <w:r>
              <w:rPr>
                <w:rFonts w:ascii="宋体" w:hAnsi="宋体"/>
                <w:color w:val="auto"/>
                <w:kern w:val="0"/>
                <w:sz w:val="18"/>
                <w:szCs w:val="18"/>
              </w:rPr>
              <w:t>营业收入（Y）</w:t>
            </w:r>
          </w:p>
        </w:tc>
        <w:tc>
          <w:tcPr>
            <w:tcW w:w="704" w:type="dxa"/>
            <w:vAlign w:val="center"/>
          </w:tcPr>
          <w:p w14:paraId="39A33E1F">
            <w:pPr>
              <w:widowControl/>
              <w:jc w:val="center"/>
              <w:rPr>
                <w:rFonts w:hint="eastAsia" w:ascii="宋体" w:hAnsi="宋体"/>
                <w:color w:val="auto"/>
                <w:kern w:val="0"/>
                <w:sz w:val="18"/>
                <w:szCs w:val="18"/>
              </w:rPr>
            </w:pPr>
            <w:r>
              <w:rPr>
                <w:rFonts w:ascii="宋体" w:hAnsi="宋体"/>
                <w:color w:val="auto"/>
                <w:kern w:val="0"/>
                <w:sz w:val="18"/>
                <w:szCs w:val="18"/>
              </w:rPr>
              <w:t>万元</w:t>
            </w:r>
          </w:p>
        </w:tc>
        <w:tc>
          <w:tcPr>
            <w:tcW w:w="1116" w:type="dxa"/>
            <w:vAlign w:val="center"/>
          </w:tcPr>
          <w:p w14:paraId="4692F78A">
            <w:pPr>
              <w:widowControl/>
              <w:jc w:val="center"/>
              <w:rPr>
                <w:rFonts w:hint="eastAsia" w:ascii="宋体" w:hAnsi="宋体"/>
                <w:color w:val="auto"/>
                <w:kern w:val="0"/>
                <w:sz w:val="18"/>
                <w:szCs w:val="18"/>
              </w:rPr>
            </w:pPr>
            <w:r>
              <w:rPr>
                <w:rFonts w:ascii="宋体" w:hAnsi="宋体"/>
                <w:color w:val="auto"/>
                <w:kern w:val="0"/>
                <w:sz w:val="18"/>
                <w:szCs w:val="18"/>
              </w:rPr>
              <w:t>Y≥5000</w:t>
            </w:r>
          </w:p>
        </w:tc>
        <w:tc>
          <w:tcPr>
            <w:tcW w:w="1688" w:type="dxa"/>
            <w:vAlign w:val="center"/>
          </w:tcPr>
          <w:p w14:paraId="0F2F3F87">
            <w:pPr>
              <w:widowControl/>
              <w:ind w:left="1" w:leftChars="-51" w:hanging="108" w:hangingChars="60"/>
              <w:jc w:val="center"/>
              <w:rPr>
                <w:rFonts w:hint="eastAsia" w:ascii="宋体" w:hAnsi="宋体"/>
                <w:color w:val="auto"/>
                <w:kern w:val="0"/>
                <w:sz w:val="18"/>
                <w:szCs w:val="18"/>
              </w:rPr>
            </w:pPr>
            <w:r>
              <w:rPr>
                <w:rFonts w:ascii="宋体" w:hAnsi="宋体"/>
                <w:color w:val="auto"/>
                <w:kern w:val="0"/>
                <w:sz w:val="18"/>
                <w:szCs w:val="18"/>
              </w:rPr>
              <w:t>1000≤Y＜5000</w:t>
            </w:r>
          </w:p>
        </w:tc>
        <w:tc>
          <w:tcPr>
            <w:tcW w:w="1415" w:type="dxa"/>
            <w:vAlign w:val="center"/>
          </w:tcPr>
          <w:p w14:paraId="22A4E214">
            <w:pPr>
              <w:widowControl/>
              <w:jc w:val="center"/>
              <w:rPr>
                <w:rFonts w:hint="eastAsia" w:ascii="宋体" w:hAnsi="宋体"/>
                <w:color w:val="auto"/>
                <w:kern w:val="0"/>
                <w:sz w:val="18"/>
                <w:szCs w:val="18"/>
              </w:rPr>
            </w:pPr>
            <w:r>
              <w:rPr>
                <w:rFonts w:ascii="宋体" w:hAnsi="宋体"/>
                <w:color w:val="auto"/>
                <w:kern w:val="0"/>
                <w:sz w:val="18"/>
                <w:szCs w:val="18"/>
              </w:rPr>
              <w:t>500≤Y＜1000</w:t>
            </w:r>
          </w:p>
        </w:tc>
        <w:tc>
          <w:tcPr>
            <w:tcW w:w="984" w:type="dxa"/>
            <w:vAlign w:val="center"/>
          </w:tcPr>
          <w:p w14:paraId="2A81F069">
            <w:pPr>
              <w:widowControl/>
              <w:jc w:val="center"/>
              <w:rPr>
                <w:rFonts w:hint="eastAsia" w:ascii="宋体" w:hAnsi="宋体"/>
                <w:color w:val="auto"/>
                <w:kern w:val="0"/>
                <w:sz w:val="18"/>
                <w:szCs w:val="18"/>
              </w:rPr>
            </w:pPr>
            <w:r>
              <w:rPr>
                <w:rFonts w:ascii="宋体" w:hAnsi="宋体"/>
                <w:color w:val="auto"/>
                <w:kern w:val="0"/>
                <w:sz w:val="18"/>
                <w:szCs w:val="18"/>
              </w:rPr>
              <w:t>Y＜500</w:t>
            </w:r>
          </w:p>
        </w:tc>
      </w:tr>
      <w:tr w14:paraId="566A4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exact"/>
          <w:jc w:val="center"/>
        </w:trPr>
        <w:tc>
          <w:tcPr>
            <w:tcW w:w="2097" w:type="dxa"/>
            <w:vMerge w:val="restart"/>
            <w:vAlign w:val="center"/>
          </w:tcPr>
          <w:p w14:paraId="0C957803">
            <w:pPr>
              <w:widowControl/>
              <w:spacing w:line="240" w:lineRule="exact"/>
              <w:jc w:val="left"/>
              <w:rPr>
                <w:rFonts w:hint="eastAsia" w:ascii="宋体" w:hAnsi="宋体"/>
                <w:color w:val="auto"/>
                <w:kern w:val="0"/>
                <w:sz w:val="18"/>
                <w:szCs w:val="18"/>
              </w:rPr>
            </w:pPr>
            <w:r>
              <w:rPr>
                <w:rFonts w:ascii="宋体" w:hAnsi="宋体"/>
                <w:color w:val="auto"/>
                <w:kern w:val="0"/>
                <w:sz w:val="18"/>
                <w:szCs w:val="18"/>
              </w:rPr>
              <w:t>租赁和商务服务业</w:t>
            </w:r>
          </w:p>
        </w:tc>
        <w:tc>
          <w:tcPr>
            <w:tcW w:w="1358" w:type="dxa"/>
            <w:vAlign w:val="center"/>
          </w:tcPr>
          <w:p w14:paraId="5D29CBD4">
            <w:pPr>
              <w:widowControl/>
              <w:jc w:val="center"/>
              <w:rPr>
                <w:rFonts w:hint="eastAsia" w:ascii="宋体" w:hAnsi="宋体"/>
                <w:color w:val="auto"/>
                <w:kern w:val="0"/>
                <w:sz w:val="18"/>
                <w:szCs w:val="18"/>
              </w:rPr>
            </w:pPr>
            <w:r>
              <w:rPr>
                <w:rFonts w:ascii="宋体" w:hAnsi="宋体"/>
                <w:color w:val="auto"/>
                <w:kern w:val="0"/>
                <w:sz w:val="18"/>
                <w:szCs w:val="18"/>
              </w:rPr>
              <w:t>从业人员（X）</w:t>
            </w:r>
          </w:p>
        </w:tc>
        <w:tc>
          <w:tcPr>
            <w:tcW w:w="704" w:type="dxa"/>
            <w:vAlign w:val="center"/>
          </w:tcPr>
          <w:p w14:paraId="277D5B75">
            <w:pPr>
              <w:widowControl/>
              <w:jc w:val="center"/>
              <w:rPr>
                <w:rFonts w:hint="eastAsia" w:ascii="宋体" w:hAnsi="宋体"/>
                <w:color w:val="auto"/>
                <w:kern w:val="0"/>
                <w:sz w:val="18"/>
                <w:szCs w:val="18"/>
              </w:rPr>
            </w:pPr>
            <w:r>
              <w:rPr>
                <w:rFonts w:ascii="宋体" w:hAnsi="宋体"/>
                <w:color w:val="auto"/>
                <w:kern w:val="0"/>
                <w:sz w:val="18"/>
                <w:szCs w:val="18"/>
              </w:rPr>
              <w:t>人</w:t>
            </w:r>
          </w:p>
        </w:tc>
        <w:tc>
          <w:tcPr>
            <w:tcW w:w="1116" w:type="dxa"/>
            <w:vAlign w:val="center"/>
          </w:tcPr>
          <w:p w14:paraId="0F2A705F">
            <w:pPr>
              <w:widowControl/>
              <w:jc w:val="center"/>
              <w:rPr>
                <w:rFonts w:hint="eastAsia" w:ascii="宋体" w:hAnsi="宋体"/>
                <w:color w:val="auto"/>
                <w:kern w:val="0"/>
                <w:sz w:val="18"/>
                <w:szCs w:val="18"/>
              </w:rPr>
            </w:pPr>
            <w:r>
              <w:rPr>
                <w:rFonts w:ascii="宋体" w:hAnsi="宋体"/>
                <w:color w:val="auto"/>
                <w:kern w:val="0"/>
                <w:sz w:val="18"/>
                <w:szCs w:val="18"/>
              </w:rPr>
              <w:t>X≥300</w:t>
            </w:r>
          </w:p>
        </w:tc>
        <w:tc>
          <w:tcPr>
            <w:tcW w:w="1688" w:type="dxa"/>
            <w:vAlign w:val="center"/>
          </w:tcPr>
          <w:p w14:paraId="6A25B052">
            <w:pPr>
              <w:widowControl/>
              <w:ind w:left="1" w:leftChars="-51" w:hanging="108" w:hangingChars="60"/>
              <w:jc w:val="center"/>
              <w:rPr>
                <w:rFonts w:hint="eastAsia" w:ascii="宋体" w:hAnsi="宋体"/>
                <w:color w:val="auto"/>
                <w:kern w:val="0"/>
                <w:sz w:val="18"/>
                <w:szCs w:val="18"/>
              </w:rPr>
            </w:pPr>
            <w:r>
              <w:rPr>
                <w:rFonts w:ascii="宋体" w:hAnsi="宋体"/>
                <w:color w:val="auto"/>
                <w:kern w:val="0"/>
                <w:sz w:val="18"/>
                <w:szCs w:val="18"/>
              </w:rPr>
              <w:t>100≤X＜300</w:t>
            </w:r>
          </w:p>
        </w:tc>
        <w:tc>
          <w:tcPr>
            <w:tcW w:w="1415" w:type="dxa"/>
            <w:vAlign w:val="center"/>
          </w:tcPr>
          <w:p w14:paraId="42EA2264">
            <w:pPr>
              <w:widowControl/>
              <w:jc w:val="center"/>
              <w:rPr>
                <w:rFonts w:hint="eastAsia" w:ascii="宋体" w:hAnsi="宋体"/>
                <w:color w:val="auto"/>
                <w:kern w:val="0"/>
                <w:sz w:val="18"/>
                <w:szCs w:val="18"/>
              </w:rPr>
            </w:pPr>
            <w:r>
              <w:rPr>
                <w:rFonts w:ascii="宋体" w:hAnsi="宋体"/>
                <w:color w:val="auto"/>
                <w:kern w:val="0"/>
                <w:sz w:val="18"/>
                <w:szCs w:val="18"/>
              </w:rPr>
              <w:t>10≤X＜100</w:t>
            </w:r>
          </w:p>
        </w:tc>
        <w:tc>
          <w:tcPr>
            <w:tcW w:w="984" w:type="dxa"/>
            <w:vAlign w:val="center"/>
          </w:tcPr>
          <w:p w14:paraId="2B361FAF">
            <w:pPr>
              <w:widowControl/>
              <w:jc w:val="center"/>
              <w:rPr>
                <w:rFonts w:hint="eastAsia" w:ascii="宋体" w:hAnsi="宋体"/>
                <w:color w:val="auto"/>
                <w:kern w:val="0"/>
                <w:sz w:val="18"/>
                <w:szCs w:val="18"/>
              </w:rPr>
            </w:pPr>
            <w:r>
              <w:rPr>
                <w:rFonts w:ascii="宋体" w:hAnsi="宋体"/>
                <w:color w:val="auto"/>
                <w:kern w:val="0"/>
                <w:sz w:val="18"/>
                <w:szCs w:val="18"/>
              </w:rPr>
              <w:t>X＜10</w:t>
            </w:r>
          </w:p>
        </w:tc>
      </w:tr>
      <w:tr w14:paraId="6862A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exact"/>
          <w:jc w:val="center"/>
        </w:trPr>
        <w:tc>
          <w:tcPr>
            <w:tcW w:w="2097" w:type="dxa"/>
            <w:vMerge w:val="continue"/>
            <w:vAlign w:val="center"/>
          </w:tcPr>
          <w:p w14:paraId="47821DB1">
            <w:pPr>
              <w:widowControl/>
              <w:jc w:val="left"/>
              <w:rPr>
                <w:rFonts w:hint="eastAsia" w:ascii="宋体" w:hAnsi="宋体"/>
                <w:color w:val="auto"/>
                <w:kern w:val="0"/>
                <w:sz w:val="18"/>
                <w:szCs w:val="18"/>
              </w:rPr>
            </w:pPr>
          </w:p>
        </w:tc>
        <w:tc>
          <w:tcPr>
            <w:tcW w:w="1358" w:type="dxa"/>
            <w:vAlign w:val="center"/>
          </w:tcPr>
          <w:p w14:paraId="65B9D7D4">
            <w:pPr>
              <w:widowControl/>
              <w:spacing w:line="240" w:lineRule="exact"/>
              <w:jc w:val="center"/>
              <w:rPr>
                <w:rFonts w:hint="eastAsia" w:ascii="宋体" w:hAnsi="宋体"/>
                <w:color w:val="auto"/>
                <w:kern w:val="0"/>
                <w:sz w:val="18"/>
                <w:szCs w:val="18"/>
              </w:rPr>
            </w:pPr>
            <w:r>
              <w:rPr>
                <w:rFonts w:ascii="宋体" w:hAnsi="宋体"/>
                <w:color w:val="auto"/>
                <w:kern w:val="0"/>
                <w:sz w:val="18"/>
                <w:szCs w:val="18"/>
              </w:rPr>
              <w:t>资产总额（Z）</w:t>
            </w:r>
          </w:p>
        </w:tc>
        <w:tc>
          <w:tcPr>
            <w:tcW w:w="704" w:type="dxa"/>
            <w:vAlign w:val="center"/>
          </w:tcPr>
          <w:p w14:paraId="2599D9A0">
            <w:pPr>
              <w:widowControl/>
              <w:jc w:val="center"/>
              <w:rPr>
                <w:rFonts w:hint="eastAsia" w:ascii="宋体" w:hAnsi="宋体"/>
                <w:color w:val="auto"/>
                <w:kern w:val="0"/>
                <w:sz w:val="18"/>
                <w:szCs w:val="18"/>
              </w:rPr>
            </w:pPr>
            <w:r>
              <w:rPr>
                <w:rFonts w:ascii="宋体" w:hAnsi="宋体"/>
                <w:color w:val="auto"/>
                <w:kern w:val="0"/>
                <w:sz w:val="18"/>
                <w:szCs w:val="18"/>
              </w:rPr>
              <w:t>万元</w:t>
            </w:r>
          </w:p>
        </w:tc>
        <w:tc>
          <w:tcPr>
            <w:tcW w:w="1116" w:type="dxa"/>
            <w:vAlign w:val="center"/>
          </w:tcPr>
          <w:p w14:paraId="1A3EA166">
            <w:pPr>
              <w:widowControl/>
              <w:jc w:val="center"/>
              <w:rPr>
                <w:rFonts w:hint="eastAsia" w:ascii="宋体" w:hAnsi="宋体"/>
                <w:color w:val="auto"/>
                <w:kern w:val="0"/>
                <w:sz w:val="18"/>
                <w:szCs w:val="18"/>
              </w:rPr>
            </w:pPr>
            <w:r>
              <w:rPr>
                <w:rFonts w:ascii="宋体" w:hAnsi="宋体"/>
                <w:color w:val="auto"/>
                <w:kern w:val="0"/>
                <w:sz w:val="18"/>
                <w:szCs w:val="18"/>
              </w:rPr>
              <w:t>Z≥120000</w:t>
            </w:r>
          </w:p>
        </w:tc>
        <w:tc>
          <w:tcPr>
            <w:tcW w:w="1688" w:type="dxa"/>
            <w:vAlign w:val="center"/>
          </w:tcPr>
          <w:p w14:paraId="6FC28A76">
            <w:pPr>
              <w:widowControl/>
              <w:jc w:val="center"/>
              <w:rPr>
                <w:rFonts w:hint="eastAsia" w:ascii="宋体" w:hAnsi="宋体"/>
                <w:color w:val="auto"/>
                <w:kern w:val="0"/>
                <w:sz w:val="18"/>
                <w:szCs w:val="18"/>
              </w:rPr>
            </w:pPr>
            <w:r>
              <w:rPr>
                <w:rFonts w:ascii="宋体" w:hAnsi="宋体"/>
                <w:color w:val="auto"/>
                <w:kern w:val="0"/>
                <w:sz w:val="18"/>
                <w:szCs w:val="18"/>
              </w:rPr>
              <w:t>8000≤Z＜120000</w:t>
            </w:r>
          </w:p>
        </w:tc>
        <w:tc>
          <w:tcPr>
            <w:tcW w:w="1415" w:type="dxa"/>
            <w:vAlign w:val="center"/>
          </w:tcPr>
          <w:p w14:paraId="1546CADA">
            <w:pPr>
              <w:widowControl/>
              <w:jc w:val="center"/>
              <w:rPr>
                <w:rFonts w:hint="eastAsia" w:ascii="宋体" w:hAnsi="宋体"/>
                <w:color w:val="auto"/>
                <w:kern w:val="0"/>
                <w:sz w:val="18"/>
                <w:szCs w:val="18"/>
              </w:rPr>
            </w:pPr>
            <w:r>
              <w:rPr>
                <w:rFonts w:ascii="宋体" w:hAnsi="宋体"/>
                <w:color w:val="auto"/>
                <w:kern w:val="0"/>
                <w:sz w:val="18"/>
                <w:szCs w:val="18"/>
              </w:rPr>
              <w:t>100≤Z＜8000</w:t>
            </w:r>
          </w:p>
        </w:tc>
        <w:tc>
          <w:tcPr>
            <w:tcW w:w="984" w:type="dxa"/>
            <w:vAlign w:val="center"/>
          </w:tcPr>
          <w:p w14:paraId="57E0DBF2">
            <w:pPr>
              <w:widowControl/>
              <w:jc w:val="center"/>
              <w:rPr>
                <w:rFonts w:hint="eastAsia" w:ascii="宋体" w:hAnsi="宋体"/>
                <w:color w:val="auto"/>
                <w:kern w:val="0"/>
                <w:sz w:val="18"/>
                <w:szCs w:val="18"/>
              </w:rPr>
            </w:pPr>
            <w:r>
              <w:rPr>
                <w:rFonts w:ascii="宋体" w:hAnsi="宋体"/>
                <w:color w:val="auto"/>
                <w:kern w:val="0"/>
                <w:sz w:val="18"/>
                <w:szCs w:val="18"/>
              </w:rPr>
              <w:t>Z＜100</w:t>
            </w:r>
          </w:p>
        </w:tc>
      </w:tr>
      <w:tr w14:paraId="1A2D4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exact"/>
          <w:jc w:val="center"/>
        </w:trPr>
        <w:tc>
          <w:tcPr>
            <w:tcW w:w="2097" w:type="dxa"/>
            <w:vAlign w:val="center"/>
          </w:tcPr>
          <w:p w14:paraId="2BFD6020">
            <w:pPr>
              <w:widowControl/>
              <w:spacing w:line="240" w:lineRule="exact"/>
              <w:jc w:val="left"/>
              <w:rPr>
                <w:rFonts w:hint="eastAsia" w:ascii="宋体" w:hAnsi="宋体"/>
                <w:color w:val="auto"/>
                <w:kern w:val="0"/>
                <w:sz w:val="18"/>
                <w:szCs w:val="18"/>
              </w:rPr>
            </w:pPr>
            <w:r>
              <w:rPr>
                <w:rFonts w:ascii="宋体" w:hAnsi="宋体"/>
                <w:color w:val="auto"/>
                <w:kern w:val="0"/>
                <w:sz w:val="18"/>
                <w:szCs w:val="18"/>
              </w:rPr>
              <w:t>其他未列明行业 *</w:t>
            </w:r>
          </w:p>
        </w:tc>
        <w:tc>
          <w:tcPr>
            <w:tcW w:w="1358" w:type="dxa"/>
            <w:vAlign w:val="center"/>
          </w:tcPr>
          <w:p w14:paraId="325D68C5">
            <w:pPr>
              <w:widowControl/>
              <w:jc w:val="center"/>
              <w:rPr>
                <w:rFonts w:hint="eastAsia" w:ascii="宋体" w:hAnsi="宋体"/>
                <w:color w:val="auto"/>
                <w:kern w:val="0"/>
                <w:sz w:val="18"/>
                <w:szCs w:val="18"/>
              </w:rPr>
            </w:pPr>
            <w:r>
              <w:rPr>
                <w:rFonts w:ascii="宋体" w:hAnsi="宋体"/>
                <w:color w:val="auto"/>
                <w:kern w:val="0"/>
                <w:sz w:val="18"/>
                <w:szCs w:val="18"/>
              </w:rPr>
              <w:t>从业人员（X）</w:t>
            </w:r>
          </w:p>
        </w:tc>
        <w:tc>
          <w:tcPr>
            <w:tcW w:w="704" w:type="dxa"/>
            <w:vAlign w:val="center"/>
          </w:tcPr>
          <w:p w14:paraId="4489096F">
            <w:pPr>
              <w:widowControl/>
              <w:jc w:val="center"/>
              <w:rPr>
                <w:rFonts w:hint="eastAsia" w:ascii="宋体" w:hAnsi="宋体"/>
                <w:color w:val="auto"/>
                <w:kern w:val="0"/>
                <w:sz w:val="18"/>
                <w:szCs w:val="18"/>
              </w:rPr>
            </w:pPr>
            <w:r>
              <w:rPr>
                <w:rFonts w:ascii="宋体" w:hAnsi="宋体"/>
                <w:color w:val="auto"/>
                <w:kern w:val="0"/>
                <w:sz w:val="18"/>
                <w:szCs w:val="18"/>
              </w:rPr>
              <w:t>人</w:t>
            </w:r>
          </w:p>
        </w:tc>
        <w:tc>
          <w:tcPr>
            <w:tcW w:w="1116" w:type="dxa"/>
            <w:vAlign w:val="center"/>
          </w:tcPr>
          <w:p w14:paraId="583BC62F">
            <w:pPr>
              <w:widowControl/>
              <w:jc w:val="center"/>
              <w:rPr>
                <w:rFonts w:hint="eastAsia" w:ascii="宋体" w:hAnsi="宋体"/>
                <w:color w:val="auto"/>
                <w:kern w:val="0"/>
                <w:sz w:val="18"/>
                <w:szCs w:val="18"/>
              </w:rPr>
            </w:pPr>
            <w:r>
              <w:rPr>
                <w:rFonts w:ascii="宋体" w:hAnsi="宋体"/>
                <w:color w:val="auto"/>
                <w:kern w:val="0"/>
                <w:sz w:val="18"/>
                <w:szCs w:val="18"/>
              </w:rPr>
              <w:t>X≥300</w:t>
            </w:r>
          </w:p>
        </w:tc>
        <w:tc>
          <w:tcPr>
            <w:tcW w:w="1688" w:type="dxa"/>
            <w:vAlign w:val="center"/>
          </w:tcPr>
          <w:p w14:paraId="082ED145">
            <w:pPr>
              <w:widowControl/>
              <w:ind w:left="1" w:leftChars="-51" w:hanging="108" w:hangingChars="60"/>
              <w:jc w:val="center"/>
              <w:rPr>
                <w:rFonts w:hint="eastAsia" w:ascii="宋体" w:hAnsi="宋体"/>
                <w:color w:val="auto"/>
                <w:kern w:val="0"/>
                <w:sz w:val="18"/>
                <w:szCs w:val="18"/>
              </w:rPr>
            </w:pPr>
            <w:r>
              <w:rPr>
                <w:rFonts w:ascii="宋体" w:hAnsi="宋体"/>
                <w:color w:val="auto"/>
                <w:kern w:val="0"/>
                <w:sz w:val="18"/>
                <w:szCs w:val="18"/>
              </w:rPr>
              <w:t>100≤X＜300</w:t>
            </w:r>
          </w:p>
        </w:tc>
        <w:tc>
          <w:tcPr>
            <w:tcW w:w="1415" w:type="dxa"/>
            <w:vAlign w:val="center"/>
          </w:tcPr>
          <w:p w14:paraId="071EEF87">
            <w:pPr>
              <w:widowControl/>
              <w:jc w:val="center"/>
              <w:rPr>
                <w:rFonts w:hint="eastAsia" w:ascii="宋体" w:hAnsi="宋体"/>
                <w:color w:val="auto"/>
                <w:kern w:val="0"/>
                <w:sz w:val="18"/>
                <w:szCs w:val="18"/>
              </w:rPr>
            </w:pPr>
            <w:r>
              <w:rPr>
                <w:rFonts w:ascii="宋体" w:hAnsi="宋体"/>
                <w:color w:val="auto"/>
                <w:kern w:val="0"/>
                <w:sz w:val="18"/>
                <w:szCs w:val="18"/>
              </w:rPr>
              <w:t>10≤X＜100</w:t>
            </w:r>
          </w:p>
        </w:tc>
        <w:tc>
          <w:tcPr>
            <w:tcW w:w="984" w:type="dxa"/>
            <w:vAlign w:val="center"/>
          </w:tcPr>
          <w:p w14:paraId="48D7CF01">
            <w:pPr>
              <w:widowControl/>
              <w:jc w:val="center"/>
              <w:rPr>
                <w:rFonts w:hint="eastAsia" w:ascii="宋体" w:hAnsi="宋体"/>
                <w:color w:val="auto"/>
                <w:kern w:val="0"/>
                <w:sz w:val="18"/>
                <w:szCs w:val="18"/>
              </w:rPr>
            </w:pPr>
            <w:r>
              <w:rPr>
                <w:rFonts w:ascii="宋体" w:hAnsi="宋体"/>
                <w:color w:val="auto"/>
                <w:kern w:val="0"/>
                <w:sz w:val="18"/>
                <w:szCs w:val="18"/>
              </w:rPr>
              <w:t>X＜10</w:t>
            </w:r>
          </w:p>
        </w:tc>
      </w:tr>
    </w:tbl>
    <w:p w14:paraId="55D8239E">
      <w:pPr>
        <w:pStyle w:val="27"/>
        <w:adjustRightInd w:val="0"/>
        <w:spacing w:line="380" w:lineRule="exact"/>
        <w:ind w:firstLine="452" w:firstLineChars="200"/>
        <w:contextualSpacing/>
        <w:rPr>
          <w:rFonts w:hint="eastAsia" w:hAnsi="宋体" w:cs="宋体"/>
          <w:color w:val="auto"/>
          <w:spacing w:val="8"/>
          <w:szCs w:val="21"/>
        </w:rPr>
      </w:pPr>
      <w:r>
        <w:rPr>
          <w:rFonts w:hint="eastAsia" w:hAnsi="宋体" w:cs="宋体"/>
          <w:color w:val="auto"/>
          <w:spacing w:val="8"/>
          <w:szCs w:val="21"/>
        </w:rPr>
        <w:t>1.大型、中型和小型企业须同时满足所列指标的下限，否则下划一档；微型企业只须满足所列指标中的一项即可。</w:t>
      </w:r>
    </w:p>
    <w:p w14:paraId="5FDB4FB2">
      <w:pPr>
        <w:pStyle w:val="27"/>
        <w:adjustRightInd w:val="0"/>
        <w:spacing w:line="380" w:lineRule="exact"/>
        <w:ind w:firstLine="452" w:firstLineChars="200"/>
        <w:contextualSpacing/>
        <w:rPr>
          <w:rFonts w:hint="eastAsia" w:hAnsi="宋体" w:cs="宋体"/>
          <w:color w:val="auto"/>
          <w:spacing w:val="8"/>
          <w:szCs w:val="21"/>
        </w:rPr>
      </w:pPr>
      <w:r>
        <w:rPr>
          <w:rFonts w:hint="eastAsia" w:hAnsi="宋体" w:cs="宋体"/>
          <w:color w:val="auto"/>
          <w:spacing w:val="8"/>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7B8D3DB2">
      <w:pPr>
        <w:pStyle w:val="27"/>
        <w:spacing w:line="380" w:lineRule="exact"/>
        <w:ind w:firstLine="452" w:firstLineChars="200"/>
        <w:rPr>
          <w:rFonts w:hint="eastAsia" w:hAnsi="宋体"/>
          <w:color w:val="auto"/>
          <w:szCs w:val="21"/>
        </w:rPr>
      </w:pPr>
      <w:r>
        <w:rPr>
          <w:rFonts w:hint="eastAsia" w:hAnsi="宋体"/>
          <w:color w:val="auto"/>
          <w:spacing w:val="8"/>
          <w:szCs w:val="21"/>
        </w:rPr>
        <w:t>3.</w:t>
      </w:r>
      <w:r>
        <w:rPr>
          <w:rFonts w:hint="eastAsia" w:hAnsi="宋体" w:cs="宋体"/>
          <w:color w:val="auto"/>
          <w:spacing w:val="8"/>
          <w:szCs w:val="21"/>
        </w:rPr>
        <w:t>企业划分指标以现行统计制度为准。（</w:t>
      </w:r>
      <w:r>
        <w:rPr>
          <w:rFonts w:hint="eastAsia" w:hAnsi="宋体"/>
          <w:color w:val="auto"/>
          <w:spacing w:val="8"/>
          <w:szCs w:val="21"/>
        </w:rPr>
        <w:t>1</w:t>
      </w:r>
      <w:r>
        <w:rPr>
          <w:rFonts w:hint="eastAsia" w:hAnsi="宋体" w:cs="宋体"/>
          <w:color w:val="auto"/>
          <w:spacing w:val="8"/>
          <w:szCs w:val="21"/>
        </w:rPr>
        <w:t>）从业人员，是指期末从业人员数，没有期末从业人员数的，采用全年平均人员数代替。（</w:t>
      </w:r>
      <w:r>
        <w:rPr>
          <w:rFonts w:hint="eastAsia" w:hAnsi="宋体"/>
          <w:color w:val="auto"/>
          <w:spacing w:val="8"/>
          <w:szCs w:val="21"/>
        </w:rPr>
        <w:t>2</w:t>
      </w:r>
      <w:r>
        <w:rPr>
          <w:rFonts w:hint="eastAsia" w:hAnsi="宋体" w:cs="宋体"/>
          <w:color w:val="auto"/>
          <w:spacing w:val="8"/>
          <w:szCs w:val="21"/>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hint="eastAsia" w:hAnsi="宋体"/>
          <w:color w:val="auto"/>
          <w:spacing w:val="8"/>
          <w:szCs w:val="21"/>
        </w:rPr>
        <w:t>3</w:t>
      </w:r>
      <w:r>
        <w:rPr>
          <w:rFonts w:hint="eastAsia" w:hAnsi="宋体" w:cs="宋体"/>
          <w:color w:val="auto"/>
          <w:spacing w:val="8"/>
          <w:szCs w:val="21"/>
        </w:rPr>
        <w:t>）资产总额，采用资产总计代替。</w:t>
      </w:r>
    </w:p>
    <w:p w14:paraId="7484D44A">
      <w:pPr>
        <w:rPr>
          <w:rFonts w:hint="eastAsia" w:ascii="宋体" w:hAnsi="宋体"/>
          <w:b/>
          <w:color w:val="auto"/>
        </w:rPr>
      </w:pPr>
      <w:r>
        <w:rPr>
          <w:rFonts w:hint="eastAsia" w:ascii="宋体" w:hAnsi="宋体"/>
          <w:b/>
          <w:color w:val="auto"/>
        </w:rPr>
        <w:br w:type="page"/>
      </w:r>
    </w:p>
    <w:p w14:paraId="26D11A30">
      <w:pPr>
        <w:rPr>
          <w:rFonts w:hint="eastAsia" w:ascii="宋体" w:hAnsi="宋体" w:cs="宋体"/>
          <w:b/>
          <w:bCs/>
          <w:color w:val="auto"/>
          <w:sz w:val="28"/>
          <w:szCs w:val="28"/>
        </w:rPr>
      </w:pPr>
      <w:r>
        <w:rPr>
          <w:rFonts w:hint="eastAsia" w:ascii="宋体" w:hAnsi="宋体" w:cs="宋体"/>
          <w:b/>
          <w:bCs/>
          <w:color w:val="auto"/>
          <w:sz w:val="28"/>
          <w:szCs w:val="28"/>
        </w:rPr>
        <w:t>②如提供服务的投标人属于监狱企业的，应当提供由省级以上监狱管理局、戒毒管理局等（含新疆生产建设兵团）出具的属于监狱企业的证明文件, 否则不予享受优惠政策（如投标人属于监狱企业的，则必须提供）；</w:t>
      </w:r>
    </w:p>
    <w:p w14:paraId="3EE66E4B">
      <w:pPr>
        <w:pStyle w:val="19"/>
        <w:autoSpaceDE w:val="0"/>
        <w:autoSpaceDN w:val="0"/>
        <w:rPr>
          <w:rFonts w:hint="eastAsia" w:ascii="宋体" w:hAnsi="宋体" w:cs="宋体"/>
          <w:color w:val="auto"/>
          <w:szCs w:val="21"/>
        </w:rPr>
      </w:pPr>
    </w:p>
    <w:p w14:paraId="2921F855">
      <w:pPr>
        <w:pStyle w:val="19"/>
        <w:autoSpaceDE w:val="0"/>
        <w:autoSpaceDN w:val="0"/>
        <w:rPr>
          <w:rFonts w:hint="eastAsia" w:ascii="宋体" w:hAnsi="宋体" w:cs="宋体"/>
          <w:color w:val="auto"/>
          <w:szCs w:val="21"/>
        </w:rPr>
      </w:pPr>
    </w:p>
    <w:p w14:paraId="17409A7D">
      <w:pPr>
        <w:rPr>
          <w:rFonts w:hint="eastAsia" w:ascii="宋体" w:hAnsi="宋体" w:cs="宋体"/>
          <w:b/>
          <w:bCs/>
          <w:color w:val="auto"/>
          <w:szCs w:val="21"/>
        </w:rPr>
      </w:pPr>
    </w:p>
    <w:p w14:paraId="24737D70">
      <w:pPr>
        <w:pStyle w:val="19"/>
        <w:rPr>
          <w:rFonts w:hint="eastAsia" w:ascii="宋体" w:hAnsi="宋体" w:cs="宋体"/>
          <w:b/>
          <w:bCs/>
          <w:color w:val="auto"/>
          <w:szCs w:val="21"/>
        </w:rPr>
      </w:pPr>
    </w:p>
    <w:p w14:paraId="7D9FE4DC">
      <w:pPr>
        <w:rPr>
          <w:rFonts w:hint="eastAsia" w:ascii="宋体" w:hAnsi="宋体" w:cs="宋体"/>
          <w:color w:val="auto"/>
          <w:szCs w:val="21"/>
        </w:rPr>
      </w:pPr>
    </w:p>
    <w:p w14:paraId="7A1BCE72">
      <w:pPr>
        <w:pStyle w:val="19"/>
        <w:rPr>
          <w:rFonts w:hint="eastAsia" w:ascii="宋体" w:hAnsi="宋体" w:cs="宋体"/>
          <w:color w:val="auto"/>
          <w:szCs w:val="21"/>
        </w:rPr>
      </w:pPr>
    </w:p>
    <w:p w14:paraId="17CBD571">
      <w:pPr>
        <w:rPr>
          <w:rFonts w:hint="eastAsia" w:ascii="宋体" w:hAnsi="宋体" w:cs="宋体"/>
          <w:color w:val="auto"/>
          <w:szCs w:val="21"/>
        </w:rPr>
      </w:pPr>
    </w:p>
    <w:p w14:paraId="01C8046E">
      <w:pPr>
        <w:rPr>
          <w:rFonts w:hint="eastAsia" w:ascii="宋体" w:hAnsi="宋体" w:cs="宋体"/>
          <w:color w:val="auto"/>
          <w:szCs w:val="21"/>
        </w:rPr>
      </w:pPr>
    </w:p>
    <w:p w14:paraId="715EA229">
      <w:pPr>
        <w:rPr>
          <w:rFonts w:hint="eastAsia" w:ascii="宋体" w:hAnsi="宋体" w:cs="宋体"/>
          <w:color w:val="auto"/>
          <w:szCs w:val="21"/>
        </w:rPr>
      </w:pPr>
    </w:p>
    <w:p w14:paraId="567FF38F">
      <w:pPr>
        <w:pStyle w:val="19"/>
        <w:rPr>
          <w:rFonts w:hint="eastAsia" w:ascii="宋体" w:hAnsi="宋体" w:cs="宋体"/>
          <w:color w:val="auto"/>
          <w:szCs w:val="21"/>
        </w:rPr>
      </w:pPr>
    </w:p>
    <w:p w14:paraId="05AF9EAD">
      <w:pPr>
        <w:rPr>
          <w:rFonts w:hint="eastAsia" w:ascii="宋体" w:hAnsi="宋体" w:cs="宋体"/>
          <w:color w:val="auto"/>
        </w:rPr>
      </w:pPr>
    </w:p>
    <w:p w14:paraId="3D6711A3">
      <w:pPr>
        <w:rPr>
          <w:rFonts w:hint="eastAsia" w:ascii="宋体" w:hAnsi="宋体" w:cs="宋体"/>
          <w:b/>
          <w:bCs/>
          <w:color w:val="auto"/>
          <w:sz w:val="28"/>
          <w:szCs w:val="28"/>
        </w:rPr>
      </w:pPr>
      <w:r>
        <w:rPr>
          <w:rFonts w:hint="eastAsia" w:ascii="宋体" w:hAnsi="宋体" w:cs="宋体"/>
          <w:b/>
          <w:bCs/>
          <w:color w:val="auto"/>
          <w:sz w:val="28"/>
          <w:szCs w:val="28"/>
        </w:rPr>
        <w:t>③符合条件的残疾人福利性单位在参加政府采购活动时，应当提供《残疾人福利性单位声明函》（见附件），并对声明的真实性负责（如投标人属于残疾人福利性单位的，则必须提供）。</w:t>
      </w:r>
    </w:p>
    <w:p w14:paraId="361C7C4C">
      <w:pPr>
        <w:spacing w:line="588" w:lineRule="exact"/>
        <w:ind w:firstLine="444" w:firstLineChars="200"/>
        <w:rPr>
          <w:rFonts w:hint="eastAsia" w:ascii="宋体" w:hAnsi="宋体" w:cs="宋体"/>
          <w:color w:val="auto"/>
          <w:spacing w:val="6"/>
          <w:szCs w:val="21"/>
        </w:rPr>
      </w:pPr>
      <w:r>
        <w:rPr>
          <w:rFonts w:hint="eastAsia" w:ascii="宋体" w:hAnsi="宋体" w:cs="宋体"/>
          <w:color w:val="auto"/>
          <w:spacing w:val="6"/>
          <w:szCs w:val="21"/>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DD94087">
      <w:pPr>
        <w:spacing w:line="588" w:lineRule="exact"/>
        <w:ind w:firstLine="444" w:firstLineChars="200"/>
        <w:rPr>
          <w:rFonts w:hint="eastAsia" w:ascii="宋体" w:hAnsi="宋体" w:cs="宋体"/>
          <w:color w:val="auto"/>
          <w:spacing w:val="6"/>
          <w:szCs w:val="21"/>
        </w:rPr>
      </w:pPr>
      <w:r>
        <w:rPr>
          <w:rFonts w:hint="eastAsia" w:ascii="宋体" w:hAnsi="宋体" w:cs="宋体"/>
          <w:color w:val="auto"/>
          <w:spacing w:val="6"/>
          <w:szCs w:val="21"/>
        </w:rPr>
        <w:t>本单位对上述声明的真实性负责。如有虚假，将依法承担相应责任。</w:t>
      </w:r>
    </w:p>
    <w:p w14:paraId="128D81D8">
      <w:pPr>
        <w:spacing w:line="588" w:lineRule="exact"/>
        <w:rPr>
          <w:rFonts w:hint="eastAsia" w:ascii="宋体" w:hAnsi="宋体" w:cs="宋体"/>
          <w:color w:val="auto"/>
          <w:spacing w:val="6"/>
          <w:szCs w:val="21"/>
        </w:rPr>
      </w:pPr>
    </w:p>
    <w:p w14:paraId="59BAE640">
      <w:pPr>
        <w:spacing w:line="588" w:lineRule="exact"/>
        <w:ind w:firstLine="5550" w:firstLineChars="2500"/>
        <w:rPr>
          <w:rFonts w:hint="eastAsia" w:ascii="宋体" w:hAnsi="宋体" w:cs="宋体"/>
          <w:color w:val="auto"/>
          <w:spacing w:val="6"/>
          <w:szCs w:val="21"/>
        </w:rPr>
      </w:pPr>
      <w:r>
        <w:rPr>
          <w:rFonts w:hint="eastAsia" w:ascii="宋体" w:hAnsi="宋体" w:cs="宋体"/>
          <w:color w:val="auto"/>
          <w:spacing w:val="6"/>
          <w:szCs w:val="21"/>
        </w:rPr>
        <w:t>单位名称[盖公章(CA签章)]：</w:t>
      </w:r>
    </w:p>
    <w:p w14:paraId="72201A96">
      <w:pPr>
        <w:pStyle w:val="19"/>
        <w:rPr>
          <w:rFonts w:hint="eastAsia" w:ascii="宋体" w:hAnsi="宋体" w:cs="宋体"/>
          <w:color w:val="auto"/>
          <w:szCs w:val="21"/>
        </w:rPr>
      </w:pPr>
      <w:r>
        <w:rPr>
          <w:rFonts w:hint="eastAsia" w:ascii="宋体" w:hAnsi="宋体" w:cs="宋体"/>
          <w:color w:val="auto"/>
          <w:spacing w:val="6"/>
          <w:szCs w:val="21"/>
        </w:rPr>
        <w:t xml:space="preserve">                                                              日  期：</w:t>
      </w:r>
    </w:p>
    <w:p w14:paraId="54A8D790">
      <w:pPr>
        <w:rPr>
          <w:rFonts w:hint="eastAsia" w:ascii="宋体" w:hAnsi="宋体" w:cs="宋体"/>
          <w:color w:val="auto"/>
        </w:rPr>
      </w:pPr>
    </w:p>
    <w:p w14:paraId="6C629EE1">
      <w:pPr>
        <w:snapToGrid w:val="0"/>
        <w:spacing w:line="400" w:lineRule="exact"/>
        <w:ind w:firstLine="482" w:firstLineChars="150"/>
        <w:outlineLvl w:val="4"/>
        <w:rPr>
          <w:rFonts w:hint="eastAsia" w:ascii="宋体" w:hAnsi="宋体"/>
          <w:b/>
          <w:bCs/>
          <w:color w:val="auto"/>
          <w:sz w:val="32"/>
          <w:szCs w:val="20"/>
        </w:rPr>
      </w:pPr>
    </w:p>
    <w:p w14:paraId="1E760956">
      <w:pPr>
        <w:snapToGrid w:val="0"/>
        <w:spacing w:line="400" w:lineRule="exact"/>
        <w:ind w:firstLine="482" w:firstLineChars="150"/>
        <w:rPr>
          <w:rFonts w:hint="eastAsia" w:ascii="宋体" w:hAnsi="宋体"/>
          <w:b/>
          <w:bCs/>
          <w:color w:val="auto"/>
          <w:sz w:val="32"/>
          <w:szCs w:val="20"/>
        </w:rPr>
      </w:pPr>
    </w:p>
    <w:p w14:paraId="3150FBCA">
      <w:pPr>
        <w:snapToGrid w:val="0"/>
        <w:spacing w:line="400" w:lineRule="exact"/>
        <w:ind w:firstLine="482" w:firstLineChars="150"/>
        <w:rPr>
          <w:rFonts w:hint="eastAsia" w:ascii="宋体" w:hAnsi="宋体"/>
          <w:b/>
          <w:bCs/>
          <w:color w:val="auto"/>
          <w:sz w:val="32"/>
          <w:szCs w:val="20"/>
        </w:rPr>
      </w:pPr>
    </w:p>
    <w:p w14:paraId="0AD83C2B">
      <w:pPr>
        <w:snapToGrid w:val="0"/>
        <w:spacing w:line="400" w:lineRule="exact"/>
        <w:ind w:firstLine="482" w:firstLineChars="150"/>
        <w:rPr>
          <w:rFonts w:hint="eastAsia" w:ascii="宋体" w:hAnsi="宋体"/>
          <w:b/>
          <w:bCs/>
          <w:color w:val="auto"/>
          <w:sz w:val="32"/>
          <w:szCs w:val="20"/>
        </w:rPr>
      </w:pPr>
    </w:p>
    <w:p w14:paraId="2488F18C">
      <w:pPr>
        <w:snapToGrid w:val="0"/>
        <w:spacing w:line="400" w:lineRule="exact"/>
        <w:ind w:firstLine="482" w:firstLineChars="150"/>
        <w:rPr>
          <w:rFonts w:hint="eastAsia" w:ascii="宋体" w:hAnsi="宋体"/>
          <w:b/>
          <w:bCs/>
          <w:color w:val="auto"/>
          <w:sz w:val="32"/>
          <w:szCs w:val="20"/>
        </w:rPr>
      </w:pPr>
    </w:p>
    <w:p w14:paraId="34A75CFB">
      <w:pPr>
        <w:snapToGrid w:val="0"/>
        <w:spacing w:line="400" w:lineRule="exact"/>
        <w:ind w:firstLine="482" w:firstLineChars="150"/>
        <w:rPr>
          <w:rFonts w:hint="eastAsia" w:ascii="宋体" w:hAnsi="宋体"/>
          <w:b/>
          <w:bCs/>
          <w:color w:val="auto"/>
          <w:sz w:val="32"/>
          <w:szCs w:val="20"/>
        </w:rPr>
      </w:pPr>
    </w:p>
    <w:p w14:paraId="13A6C9DA">
      <w:pPr>
        <w:snapToGrid w:val="0"/>
        <w:spacing w:line="400" w:lineRule="exact"/>
        <w:ind w:firstLine="482" w:firstLineChars="150"/>
        <w:rPr>
          <w:rFonts w:hint="eastAsia" w:ascii="宋体" w:hAnsi="宋体"/>
          <w:b/>
          <w:bCs/>
          <w:color w:val="auto"/>
          <w:sz w:val="32"/>
          <w:szCs w:val="20"/>
        </w:rPr>
      </w:pPr>
    </w:p>
    <w:p w14:paraId="009A5A4F">
      <w:pPr>
        <w:snapToGrid w:val="0"/>
        <w:spacing w:line="400" w:lineRule="exact"/>
        <w:ind w:firstLine="482" w:firstLineChars="150"/>
        <w:rPr>
          <w:rFonts w:hint="eastAsia" w:ascii="宋体" w:hAnsi="宋体"/>
          <w:b/>
          <w:bCs/>
          <w:color w:val="auto"/>
          <w:sz w:val="32"/>
          <w:szCs w:val="20"/>
        </w:rPr>
      </w:pPr>
    </w:p>
    <w:p w14:paraId="3C873F53">
      <w:pPr>
        <w:tabs>
          <w:tab w:val="left" w:pos="1305"/>
        </w:tabs>
        <w:spacing w:line="360" w:lineRule="auto"/>
        <w:ind w:firstLine="321" w:firstLineChars="100"/>
        <w:rPr>
          <w:rFonts w:hint="eastAsia" w:ascii="宋体" w:hAnsi="宋体"/>
          <w:b/>
          <w:bCs/>
          <w:color w:val="auto"/>
          <w:sz w:val="32"/>
          <w:szCs w:val="32"/>
        </w:rPr>
      </w:pPr>
      <w:r>
        <w:rPr>
          <w:rFonts w:hint="eastAsia" w:ascii="宋体" w:hAnsi="宋体"/>
          <w:b/>
          <w:bCs/>
          <w:color w:val="auto"/>
          <w:sz w:val="32"/>
          <w:szCs w:val="20"/>
          <w:lang w:val="en-US" w:eastAsia="zh-CN"/>
        </w:rPr>
        <w:t>11</w:t>
      </w:r>
      <w:r>
        <w:rPr>
          <w:rFonts w:hint="eastAsia" w:ascii="宋体" w:hAnsi="宋体"/>
          <w:b/>
          <w:bCs/>
          <w:color w:val="auto"/>
          <w:sz w:val="32"/>
          <w:szCs w:val="20"/>
        </w:rPr>
        <w:t>.投标人可结合本项目的评标办法视自身情况自行提交相关证明</w:t>
      </w:r>
      <w:r>
        <w:rPr>
          <w:rFonts w:hint="eastAsia" w:ascii="宋体" w:hAnsi="宋体"/>
          <w:b/>
          <w:bCs/>
          <w:color w:val="auto"/>
          <w:sz w:val="32"/>
          <w:szCs w:val="32"/>
        </w:rPr>
        <w:t>（如有，请提供）</w:t>
      </w:r>
    </w:p>
    <w:p w14:paraId="2B951697">
      <w:pPr>
        <w:snapToGrid w:val="0"/>
        <w:spacing w:line="400" w:lineRule="exact"/>
        <w:outlineLvl w:val="4"/>
        <w:rPr>
          <w:rFonts w:hint="eastAsia" w:ascii="宋体" w:hAnsi="宋体"/>
          <w:b/>
          <w:bCs/>
          <w:color w:val="auto"/>
          <w:sz w:val="32"/>
          <w:szCs w:val="20"/>
        </w:rPr>
      </w:pPr>
    </w:p>
    <w:p w14:paraId="11907015">
      <w:pPr>
        <w:spacing w:line="380" w:lineRule="exact"/>
        <w:rPr>
          <w:rFonts w:hint="eastAsia" w:ascii="宋体" w:hAnsi="宋体"/>
          <w:b/>
          <w:color w:val="auto"/>
          <w:sz w:val="32"/>
          <w:szCs w:val="32"/>
        </w:rPr>
      </w:pPr>
    </w:p>
    <w:p w14:paraId="6D288535">
      <w:pPr>
        <w:spacing w:line="380" w:lineRule="exact"/>
        <w:rPr>
          <w:rFonts w:hint="eastAsia" w:ascii="宋体" w:hAnsi="宋体"/>
          <w:b/>
          <w:color w:val="auto"/>
          <w:sz w:val="32"/>
          <w:szCs w:val="32"/>
        </w:rPr>
      </w:pPr>
    </w:p>
    <w:p w14:paraId="468B2935">
      <w:pPr>
        <w:widowControl/>
        <w:jc w:val="left"/>
        <w:rPr>
          <w:rFonts w:hint="eastAsia" w:ascii="宋体" w:hAnsi="宋体"/>
          <w:color w:val="auto"/>
        </w:rPr>
      </w:pPr>
    </w:p>
    <w:p w14:paraId="63B89FE8">
      <w:pPr>
        <w:pStyle w:val="27"/>
        <w:rPr>
          <w:rFonts w:hint="eastAsia" w:hAnsi="宋体"/>
          <w:b/>
          <w:color w:val="auto"/>
          <w:sz w:val="32"/>
          <w:szCs w:val="32"/>
        </w:rPr>
      </w:pPr>
    </w:p>
    <w:p w14:paraId="3CDB7653">
      <w:pPr>
        <w:pStyle w:val="27"/>
        <w:rPr>
          <w:rFonts w:hint="eastAsia" w:hAnsi="宋体"/>
          <w:b/>
          <w:color w:val="auto"/>
          <w:sz w:val="32"/>
          <w:szCs w:val="32"/>
        </w:rPr>
      </w:pPr>
    </w:p>
    <w:p w14:paraId="4A572F56">
      <w:pPr>
        <w:pStyle w:val="27"/>
        <w:rPr>
          <w:rFonts w:hint="eastAsia" w:hAnsi="宋体"/>
          <w:b/>
          <w:color w:val="auto"/>
          <w:sz w:val="32"/>
          <w:szCs w:val="32"/>
        </w:rPr>
      </w:pPr>
    </w:p>
    <w:p w14:paraId="0DBFC046">
      <w:pPr>
        <w:rPr>
          <w:rFonts w:hint="eastAsia" w:hAnsi="宋体"/>
          <w:b/>
          <w:color w:val="auto"/>
          <w:sz w:val="32"/>
          <w:szCs w:val="32"/>
        </w:rPr>
      </w:pPr>
      <w:r>
        <w:rPr>
          <w:rFonts w:hint="eastAsia" w:hAnsi="宋体"/>
          <w:b/>
          <w:color w:val="auto"/>
          <w:sz w:val="32"/>
          <w:szCs w:val="32"/>
        </w:rPr>
        <w:br w:type="page"/>
      </w:r>
    </w:p>
    <w:p w14:paraId="10400297">
      <w:pPr>
        <w:pStyle w:val="27"/>
        <w:rPr>
          <w:rFonts w:hint="eastAsia" w:hAnsi="宋体"/>
          <w:b/>
          <w:color w:val="auto"/>
          <w:sz w:val="32"/>
          <w:szCs w:val="32"/>
        </w:rPr>
      </w:pPr>
      <w:r>
        <w:rPr>
          <w:rFonts w:hint="eastAsia" w:hAnsi="宋体"/>
          <w:b/>
          <w:color w:val="auto"/>
          <w:sz w:val="32"/>
          <w:szCs w:val="32"/>
        </w:rPr>
        <w:t>附件：</w:t>
      </w:r>
    </w:p>
    <w:p w14:paraId="02B02770">
      <w:pPr>
        <w:jc w:val="center"/>
        <w:rPr>
          <w:rFonts w:hint="eastAsia" w:ascii="宋体" w:hAnsi="宋体" w:cs="仿宋"/>
          <w:b/>
          <w:bCs/>
          <w:color w:val="auto"/>
          <w:sz w:val="24"/>
        </w:rPr>
      </w:pPr>
    </w:p>
    <w:p w14:paraId="3AE5993A">
      <w:pPr>
        <w:jc w:val="center"/>
        <w:rPr>
          <w:rFonts w:hint="eastAsia" w:ascii="宋体" w:hAnsi="宋体" w:cs="仿宋"/>
          <w:b/>
          <w:bCs/>
          <w:color w:val="auto"/>
          <w:sz w:val="32"/>
          <w:szCs w:val="32"/>
        </w:rPr>
      </w:pPr>
      <w:r>
        <w:rPr>
          <w:rFonts w:hint="eastAsia" w:ascii="宋体" w:hAnsi="宋体" w:cs="仿宋"/>
          <w:b/>
          <w:bCs/>
          <w:color w:val="auto"/>
          <w:sz w:val="32"/>
          <w:szCs w:val="32"/>
        </w:rPr>
        <w:t>质疑函范本</w:t>
      </w:r>
    </w:p>
    <w:p w14:paraId="15341FFD">
      <w:pPr>
        <w:adjustRightInd w:val="0"/>
        <w:snapToGrid w:val="0"/>
        <w:spacing w:before="240" w:beforeLines="100" w:line="360" w:lineRule="auto"/>
        <w:rPr>
          <w:rFonts w:hint="eastAsia" w:ascii="宋体" w:hAnsi="宋体" w:cs="仿宋"/>
          <w:bCs/>
          <w:color w:val="auto"/>
          <w:sz w:val="24"/>
        </w:rPr>
      </w:pPr>
      <w:r>
        <w:rPr>
          <w:rFonts w:hint="eastAsia" w:ascii="宋体" w:hAnsi="宋体" w:cs="仿宋"/>
          <w:bCs/>
          <w:color w:val="auto"/>
          <w:sz w:val="24"/>
        </w:rPr>
        <w:t>一、质疑投标人基本信息</w:t>
      </w:r>
    </w:p>
    <w:p w14:paraId="0BBBF632">
      <w:pPr>
        <w:adjustRightInd w:val="0"/>
        <w:snapToGrid w:val="0"/>
        <w:spacing w:line="360" w:lineRule="auto"/>
        <w:rPr>
          <w:rFonts w:hint="eastAsia" w:ascii="宋体" w:hAnsi="宋体" w:cs="仿宋"/>
          <w:color w:val="auto"/>
          <w:sz w:val="24"/>
          <w:u w:val="dotted"/>
        </w:rPr>
      </w:pPr>
      <w:r>
        <w:rPr>
          <w:rFonts w:hint="eastAsia" w:ascii="宋体" w:hAnsi="宋体" w:cs="仿宋"/>
          <w:color w:val="auto"/>
          <w:sz w:val="24"/>
        </w:rPr>
        <w:t>质疑投标人：</w:t>
      </w:r>
      <w:r>
        <w:rPr>
          <w:rFonts w:hint="eastAsia" w:ascii="宋体" w:hAnsi="宋体" w:cs="仿宋"/>
          <w:color w:val="auto"/>
          <w:sz w:val="24"/>
          <w:u w:val="dotted"/>
        </w:rPr>
        <w:t xml:space="preserve">                                        </w:t>
      </w:r>
    </w:p>
    <w:p w14:paraId="44E08201">
      <w:pPr>
        <w:adjustRightInd w:val="0"/>
        <w:snapToGrid w:val="0"/>
        <w:spacing w:line="360" w:lineRule="auto"/>
        <w:rPr>
          <w:rFonts w:hint="eastAsia" w:ascii="宋体" w:hAnsi="宋体" w:cs="仿宋"/>
          <w:color w:val="auto"/>
          <w:sz w:val="24"/>
        </w:rPr>
      </w:pPr>
      <w:r>
        <w:rPr>
          <w:rFonts w:hint="eastAsia" w:ascii="宋体" w:hAnsi="宋体" w:cs="仿宋"/>
          <w:color w:val="auto"/>
          <w:sz w:val="24"/>
        </w:rPr>
        <w:t>地址：</w:t>
      </w:r>
      <w:r>
        <w:rPr>
          <w:rFonts w:hint="eastAsia" w:ascii="宋体" w:hAnsi="宋体" w:cs="仿宋"/>
          <w:color w:val="auto"/>
          <w:sz w:val="24"/>
          <w:u w:val="dotted"/>
        </w:rPr>
        <w:t xml:space="preserve">                          </w:t>
      </w:r>
      <w:r>
        <w:rPr>
          <w:rFonts w:hint="eastAsia" w:ascii="宋体" w:hAnsi="宋体" w:cs="仿宋"/>
          <w:color w:val="auto"/>
          <w:sz w:val="24"/>
        </w:rPr>
        <w:t>邮编：</w:t>
      </w:r>
      <w:r>
        <w:rPr>
          <w:rFonts w:hint="eastAsia" w:ascii="宋体" w:hAnsi="宋体" w:cs="仿宋"/>
          <w:color w:val="auto"/>
          <w:sz w:val="24"/>
          <w:u w:val="dotted"/>
        </w:rPr>
        <w:t xml:space="preserve">                                                   </w:t>
      </w:r>
    </w:p>
    <w:p w14:paraId="73E82FC9">
      <w:pPr>
        <w:adjustRightInd w:val="0"/>
        <w:snapToGrid w:val="0"/>
        <w:spacing w:line="360" w:lineRule="auto"/>
        <w:rPr>
          <w:rFonts w:hint="eastAsia" w:ascii="宋体" w:hAnsi="宋体" w:cs="仿宋"/>
          <w:color w:val="auto"/>
          <w:sz w:val="24"/>
        </w:rPr>
      </w:pPr>
      <w:r>
        <w:rPr>
          <w:rFonts w:hint="eastAsia" w:ascii="宋体" w:hAnsi="宋体" w:cs="仿宋"/>
          <w:color w:val="auto"/>
          <w:sz w:val="24"/>
        </w:rPr>
        <w:t>联系人：</w:t>
      </w:r>
      <w:r>
        <w:rPr>
          <w:rFonts w:hint="eastAsia" w:ascii="宋体" w:hAnsi="宋体" w:cs="仿宋"/>
          <w:color w:val="auto"/>
          <w:sz w:val="24"/>
          <w:u w:val="dotted"/>
        </w:rPr>
        <w:t xml:space="preserve">                      </w:t>
      </w:r>
      <w:r>
        <w:rPr>
          <w:rFonts w:hint="eastAsia" w:ascii="宋体" w:hAnsi="宋体" w:cs="仿宋"/>
          <w:color w:val="auto"/>
          <w:sz w:val="24"/>
        </w:rPr>
        <w:t>联系电话：</w:t>
      </w:r>
      <w:r>
        <w:rPr>
          <w:rFonts w:hint="eastAsia" w:ascii="宋体" w:hAnsi="宋体" w:cs="仿宋"/>
          <w:color w:val="auto"/>
          <w:sz w:val="24"/>
          <w:u w:val="dotted"/>
        </w:rPr>
        <w:t xml:space="preserve">                              </w:t>
      </w:r>
    </w:p>
    <w:p w14:paraId="2D7E208A">
      <w:pPr>
        <w:adjustRightInd w:val="0"/>
        <w:snapToGrid w:val="0"/>
        <w:spacing w:line="360" w:lineRule="auto"/>
        <w:rPr>
          <w:rFonts w:hint="eastAsia" w:ascii="宋体" w:hAnsi="宋体" w:cs="仿宋"/>
          <w:color w:val="auto"/>
          <w:sz w:val="24"/>
          <w:u w:val="dotted"/>
        </w:rPr>
      </w:pPr>
      <w:r>
        <w:rPr>
          <w:rFonts w:hint="eastAsia" w:ascii="宋体" w:hAnsi="宋体" w:cs="仿宋"/>
          <w:color w:val="auto"/>
          <w:sz w:val="24"/>
        </w:rPr>
        <w:t>授权代表：</w:t>
      </w:r>
      <w:r>
        <w:rPr>
          <w:rFonts w:hint="eastAsia" w:ascii="宋体" w:hAnsi="宋体" w:cs="仿宋"/>
          <w:color w:val="auto"/>
          <w:sz w:val="24"/>
          <w:u w:val="dotted"/>
        </w:rPr>
        <w:t xml:space="preserve">                                          </w:t>
      </w:r>
    </w:p>
    <w:p w14:paraId="5AB324F9">
      <w:pPr>
        <w:adjustRightInd w:val="0"/>
        <w:snapToGrid w:val="0"/>
        <w:spacing w:line="360" w:lineRule="auto"/>
        <w:rPr>
          <w:rFonts w:hint="eastAsia" w:ascii="宋体" w:hAnsi="宋体" w:cs="仿宋"/>
          <w:color w:val="auto"/>
          <w:sz w:val="24"/>
        </w:rPr>
      </w:pPr>
      <w:r>
        <w:rPr>
          <w:rFonts w:hint="eastAsia" w:ascii="宋体" w:hAnsi="宋体" w:cs="仿宋"/>
          <w:color w:val="auto"/>
          <w:sz w:val="24"/>
        </w:rPr>
        <w:t>联系电话：</w:t>
      </w:r>
      <w:r>
        <w:rPr>
          <w:rFonts w:hint="eastAsia" w:ascii="宋体" w:hAnsi="宋体" w:cs="仿宋"/>
          <w:color w:val="auto"/>
          <w:sz w:val="24"/>
          <w:u w:val="dotted"/>
        </w:rPr>
        <w:t xml:space="preserve">                                           </w:t>
      </w:r>
      <w:r>
        <w:rPr>
          <w:rFonts w:ascii="宋体" w:hAnsi="宋体" w:cs="仿宋"/>
          <w:color w:val="auto"/>
          <w:sz w:val="24"/>
        </w:rPr>
        <w:t xml:space="preserve"> </w:t>
      </w:r>
    </w:p>
    <w:p w14:paraId="259E524E">
      <w:pPr>
        <w:adjustRightInd w:val="0"/>
        <w:snapToGrid w:val="0"/>
        <w:spacing w:line="360" w:lineRule="auto"/>
        <w:rPr>
          <w:rFonts w:hint="eastAsia" w:ascii="宋体" w:hAnsi="宋体" w:cs="仿宋"/>
          <w:color w:val="auto"/>
          <w:sz w:val="24"/>
        </w:rPr>
      </w:pPr>
      <w:r>
        <w:rPr>
          <w:rFonts w:hint="eastAsia" w:ascii="宋体" w:hAnsi="宋体" w:cs="仿宋"/>
          <w:color w:val="auto"/>
          <w:sz w:val="24"/>
        </w:rPr>
        <w:t>地址：</w:t>
      </w:r>
      <w:r>
        <w:rPr>
          <w:rFonts w:ascii="宋体" w:hAnsi="宋体" w:cs="仿宋"/>
          <w:color w:val="auto"/>
          <w:sz w:val="24"/>
        </w:rPr>
        <w:t xml:space="preserve"> </w:t>
      </w:r>
      <w:r>
        <w:rPr>
          <w:rFonts w:hint="eastAsia" w:ascii="宋体" w:hAnsi="宋体" w:cs="仿宋"/>
          <w:color w:val="auto"/>
          <w:sz w:val="24"/>
          <w:u w:val="dotted"/>
        </w:rPr>
        <w:t xml:space="preserve">                        </w:t>
      </w:r>
      <w:r>
        <w:rPr>
          <w:rFonts w:hint="eastAsia" w:ascii="宋体" w:hAnsi="宋体" w:cs="仿宋"/>
          <w:color w:val="auto"/>
          <w:sz w:val="24"/>
        </w:rPr>
        <w:t>邮编：</w:t>
      </w:r>
      <w:r>
        <w:rPr>
          <w:rFonts w:hint="eastAsia" w:ascii="宋体" w:hAnsi="宋体" w:cs="仿宋"/>
          <w:color w:val="auto"/>
          <w:sz w:val="24"/>
          <w:u w:val="dotted"/>
        </w:rPr>
        <w:t xml:space="preserve">                                                </w:t>
      </w:r>
    </w:p>
    <w:p w14:paraId="45C838C0">
      <w:pPr>
        <w:adjustRightInd w:val="0"/>
        <w:snapToGrid w:val="0"/>
        <w:spacing w:line="360" w:lineRule="auto"/>
        <w:rPr>
          <w:rFonts w:hint="eastAsia" w:ascii="宋体" w:hAnsi="宋体" w:cs="仿宋"/>
          <w:bCs/>
          <w:color w:val="auto"/>
          <w:sz w:val="24"/>
        </w:rPr>
      </w:pPr>
      <w:r>
        <w:rPr>
          <w:rFonts w:hint="eastAsia" w:ascii="宋体" w:hAnsi="宋体" w:cs="仿宋"/>
          <w:bCs/>
          <w:color w:val="auto"/>
          <w:sz w:val="24"/>
        </w:rPr>
        <w:t>二、质疑项目基本情况</w:t>
      </w:r>
    </w:p>
    <w:p w14:paraId="2D36035B">
      <w:pPr>
        <w:adjustRightInd w:val="0"/>
        <w:snapToGrid w:val="0"/>
        <w:spacing w:line="360" w:lineRule="auto"/>
        <w:rPr>
          <w:rFonts w:hint="eastAsia" w:ascii="宋体" w:hAnsi="宋体" w:cs="仿宋"/>
          <w:color w:val="auto"/>
          <w:sz w:val="24"/>
        </w:rPr>
      </w:pPr>
      <w:r>
        <w:rPr>
          <w:rFonts w:hint="eastAsia" w:ascii="宋体" w:hAnsi="宋体" w:cs="仿宋"/>
          <w:color w:val="auto"/>
          <w:sz w:val="24"/>
        </w:rPr>
        <w:t>质疑项目的名称：</w:t>
      </w:r>
      <w:r>
        <w:rPr>
          <w:rFonts w:hint="eastAsia" w:ascii="宋体" w:hAnsi="宋体" w:cs="仿宋"/>
          <w:color w:val="auto"/>
          <w:sz w:val="24"/>
          <w:u w:val="dotted"/>
        </w:rPr>
        <w:t xml:space="preserve">                                      </w:t>
      </w:r>
    </w:p>
    <w:p w14:paraId="0C2B793A">
      <w:pPr>
        <w:adjustRightInd w:val="0"/>
        <w:snapToGrid w:val="0"/>
        <w:spacing w:line="360" w:lineRule="auto"/>
        <w:rPr>
          <w:rFonts w:hint="eastAsia" w:ascii="宋体" w:hAnsi="宋体" w:cs="仿宋"/>
          <w:color w:val="auto"/>
          <w:sz w:val="24"/>
        </w:rPr>
      </w:pPr>
      <w:r>
        <w:rPr>
          <w:rFonts w:hint="eastAsia" w:ascii="宋体" w:hAnsi="宋体" w:cs="仿宋"/>
          <w:color w:val="auto"/>
          <w:sz w:val="24"/>
        </w:rPr>
        <w:t>质疑项目的编号：</w:t>
      </w:r>
      <w:r>
        <w:rPr>
          <w:rFonts w:hint="eastAsia" w:ascii="宋体" w:hAnsi="宋体" w:cs="仿宋"/>
          <w:color w:val="auto"/>
          <w:sz w:val="24"/>
          <w:u w:val="dotted"/>
        </w:rPr>
        <w:t xml:space="preserve">               </w:t>
      </w:r>
      <w:r>
        <w:rPr>
          <w:rFonts w:hint="eastAsia" w:ascii="宋体" w:hAnsi="宋体" w:cs="仿宋"/>
          <w:color w:val="auto"/>
          <w:sz w:val="24"/>
        </w:rPr>
        <w:t>包号：</w:t>
      </w:r>
      <w:r>
        <w:rPr>
          <w:rFonts w:hint="eastAsia" w:ascii="宋体" w:hAnsi="宋体" w:cs="仿宋"/>
          <w:color w:val="auto"/>
          <w:sz w:val="24"/>
          <w:u w:val="dotted"/>
        </w:rPr>
        <w:t xml:space="preserve">                 </w:t>
      </w:r>
    </w:p>
    <w:p w14:paraId="7AD65E43">
      <w:pPr>
        <w:adjustRightInd w:val="0"/>
        <w:snapToGrid w:val="0"/>
        <w:spacing w:line="360" w:lineRule="auto"/>
        <w:rPr>
          <w:rFonts w:hint="eastAsia" w:ascii="宋体" w:hAnsi="宋体" w:cs="仿宋"/>
          <w:color w:val="auto"/>
          <w:sz w:val="24"/>
          <w:u w:val="dotted"/>
        </w:rPr>
      </w:pPr>
      <w:r>
        <w:rPr>
          <w:rFonts w:hint="eastAsia" w:ascii="宋体" w:hAnsi="宋体" w:cs="仿宋"/>
          <w:color w:val="auto"/>
          <w:sz w:val="24"/>
        </w:rPr>
        <w:t>采购人名称：</w:t>
      </w:r>
      <w:r>
        <w:rPr>
          <w:rFonts w:hint="eastAsia" w:ascii="宋体" w:hAnsi="宋体" w:cs="仿宋"/>
          <w:color w:val="auto"/>
          <w:sz w:val="24"/>
          <w:u w:val="dotted"/>
        </w:rPr>
        <w:t xml:space="preserve">                                         </w:t>
      </w:r>
    </w:p>
    <w:p w14:paraId="0CEB3963">
      <w:pPr>
        <w:adjustRightInd w:val="0"/>
        <w:snapToGrid w:val="0"/>
        <w:spacing w:line="360" w:lineRule="auto"/>
        <w:rPr>
          <w:rFonts w:hint="eastAsia" w:ascii="宋体" w:hAnsi="宋体" w:cs="仿宋"/>
          <w:color w:val="auto"/>
          <w:sz w:val="24"/>
        </w:rPr>
      </w:pPr>
      <w:r>
        <w:rPr>
          <w:rFonts w:hint="eastAsia" w:ascii="宋体" w:hAnsi="宋体" w:cs="仿宋"/>
          <w:color w:val="auto"/>
          <w:sz w:val="24"/>
        </w:rPr>
        <w:t>采购文件获取日期：</w:t>
      </w:r>
      <w:r>
        <w:rPr>
          <w:rFonts w:hint="eastAsia" w:ascii="宋体" w:hAnsi="宋体" w:cs="仿宋"/>
          <w:color w:val="auto"/>
          <w:sz w:val="24"/>
          <w:u w:val="dotted"/>
        </w:rPr>
        <w:t xml:space="preserve">                                           </w:t>
      </w:r>
    </w:p>
    <w:p w14:paraId="370546FC">
      <w:pPr>
        <w:adjustRightInd w:val="0"/>
        <w:snapToGrid w:val="0"/>
        <w:spacing w:line="360" w:lineRule="auto"/>
        <w:rPr>
          <w:rFonts w:hint="eastAsia" w:ascii="宋体" w:hAnsi="宋体" w:cs="仿宋"/>
          <w:bCs/>
          <w:color w:val="auto"/>
          <w:sz w:val="24"/>
        </w:rPr>
      </w:pPr>
      <w:r>
        <w:rPr>
          <w:rFonts w:hint="eastAsia" w:ascii="宋体" w:hAnsi="宋体" w:cs="仿宋"/>
          <w:bCs/>
          <w:color w:val="auto"/>
          <w:sz w:val="24"/>
        </w:rPr>
        <w:t>三、质疑事项具体内容</w:t>
      </w:r>
    </w:p>
    <w:p w14:paraId="6080F7FA">
      <w:pPr>
        <w:adjustRightInd w:val="0"/>
        <w:snapToGrid w:val="0"/>
        <w:spacing w:line="360" w:lineRule="auto"/>
        <w:rPr>
          <w:rFonts w:hint="eastAsia" w:ascii="宋体" w:hAnsi="宋体" w:cs="仿宋"/>
          <w:color w:val="auto"/>
          <w:sz w:val="24"/>
          <w:u w:val="dotted"/>
        </w:rPr>
      </w:pPr>
      <w:r>
        <w:rPr>
          <w:rFonts w:hint="eastAsia" w:ascii="宋体" w:hAnsi="宋体" w:cs="仿宋"/>
          <w:color w:val="auto"/>
          <w:sz w:val="24"/>
        </w:rPr>
        <w:t>质疑事项1：</w:t>
      </w:r>
      <w:r>
        <w:rPr>
          <w:rFonts w:hint="eastAsia" w:ascii="宋体" w:hAnsi="宋体" w:cs="仿宋"/>
          <w:color w:val="auto"/>
          <w:sz w:val="24"/>
          <w:u w:val="dotted"/>
        </w:rPr>
        <w:t xml:space="preserve">                                         </w:t>
      </w:r>
    </w:p>
    <w:p w14:paraId="4EB62822">
      <w:pPr>
        <w:adjustRightInd w:val="0"/>
        <w:snapToGrid w:val="0"/>
        <w:spacing w:line="360" w:lineRule="auto"/>
        <w:rPr>
          <w:rFonts w:hint="eastAsia" w:ascii="宋体" w:hAnsi="宋体" w:cs="仿宋"/>
          <w:color w:val="auto"/>
          <w:sz w:val="24"/>
          <w:u w:val="dotted"/>
        </w:rPr>
      </w:pPr>
      <w:r>
        <w:rPr>
          <w:rFonts w:hint="eastAsia" w:ascii="宋体" w:hAnsi="宋体" w:cs="仿宋"/>
          <w:color w:val="auto"/>
          <w:sz w:val="24"/>
        </w:rPr>
        <w:t>事实依据：</w:t>
      </w:r>
      <w:r>
        <w:rPr>
          <w:rFonts w:hint="eastAsia" w:ascii="宋体" w:hAnsi="宋体" w:cs="仿宋"/>
          <w:color w:val="auto"/>
          <w:sz w:val="24"/>
          <w:u w:val="dotted"/>
        </w:rPr>
        <w:t xml:space="preserve">                                          </w:t>
      </w:r>
    </w:p>
    <w:p w14:paraId="3D2E72EC">
      <w:pPr>
        <w:adjustRightInd w:val="0"/>
        <w:snapToGrid w:val="0"/>
        <w:spacing w:line="360" w:lineRule="auto"/>
        <w:rPr>
          <w:rFonts w:hint="eastAsia" w:ascii="宋体" w:hAnsi="宋体" w:cs="仿宋"/>
          <w:color w:val="auto"/>
          <w:sz w:val="24"/>
        </w:rPr>
      </w:pPr>
      <w:r>
        <w:rPr>
          <w:rFonts w:hint="eastAsia" w:ascii="宋体" w:hAnsi="宋体" w:cs="仿宋"/>
          <w:color w:val="auto"/>
          <w:sz w:val="24"/>
          <w:u w:val="dotted"/>
        </w:rPr>
        <w:t xml:space="preserve">                                                       </w:t>
      </w:r>
    </w:p>
    <w:p w14:paraId="39FBA805">
      <w:pPr>
        <w:adjustRightInd w:val="0"/>
        <w:snapToGrid w:val="0"/>
        <w:spacing w:line="360" w:lineRule="auto"/>
        <w:rPr>
          <w:rFonts w:hint="eastAsia" w:ascii="宋体" w:hAnsi="宋体" w:cs="仿宋"/>
          <w:color w:val="auto"/>
          <w:sz w:val="24"/>
          <w:u w:val="dotted"/>
        </w:rPr>
      </w:pPr>
      <w:r>
        <w:rPr>
          <w:rFonts w:hint="eastAsia" w:ascii="宋体" w:hAnsi="宋体" w:cs="仿宋"/>
          <w:color w:val="auto"/>
          <w:sz w:val="24"/>
        </w:rPr>
        <w:t>法律依据：</w:t>
      </w:r>
      <w:r>
        <w:rPr>
          <w:rFonts w:hint="eastAsia" w:ascii="宋体" w:hAnsi="宋体" w:cs="仿宋"/>
          <w:color w:val="auto"/>
          <w:sz w:val="24"/>
          <w:u w:val="dotted"/>
        </w:rPr>
        <w:t xml:space="preserve">                                          </w:t>
      </w:r>
    </w:p>
    <w:p w14:paraId="06698AF5">
      <w:pPr>
        <w:adjustRightInd w:val="0"/>
        <w:snapToGrid w:val="0"/>
        <w:spacing w:line="360" w:lineRule="auto"/>
        <w:rPr>
          <w:rFonts w:hint="eastAsia" w:ascii="宋体" w:hAnsi="宋体" w:cs="仿宋"/>
          <w:color w:val="auto"/>
          <w:sz w:val="24"/>
          <w:u w:val="dotted"/>
        </w:rPr>
      </w:pPr>
      <w:r>
        <w:rPr>
          <w:rFonts w:hint="eastAsia" w:ascii="宋体" w:hAnsi="宋体" w:cs="仿宋"/>
          <w:color w:val="auto"/>
          <w:sz w:val="24"/>
          <w:u w:val="dotted"/>
        </w:rPr>
        <w:t xml:space="preserve">                                                     </w:t>
      </w:r>
    </w:p>
    <w:p w14:paraId="1A0482E4">
      <w:pPr>
        <w:adjustRightInd w:val="0"/>
        <w:snapToGrid w:val="0"/>
        <w:spacing w:line="360" w:lineRule="auto"/>
        <w:rPr>
          <w:rFonts w:hint="eastAsia" w:ascii="宋体" w:hAnsi="宋体" w:cs="仿宋"/>
          <w:color w:val="auto"/>
          <w:sz w:val="24"/>
          <w:u w:val="dotted"/>
        </w:rPr>
      </w:pPr>
      <w:r>
        <w:rPr>
          <w:rFonts w:hint="eastAsia" w:ascii="宋体" w:hAnsi="宋体" w:cs="仿宋"/>
          <w:color w:val="auto"/>
          <w:sz w:val="24"/>
        </w:rPr>
        <w:t>质疑事项2</w:t>
      </w:r>
    </w:p>
    <w:p w14:paraId="3A1E2CE9">
      <w:pPr>
        <w:adjustRightInd w:val="0"/>
        <w:snapToGrid w:val="0"/>
        <w:spacing w:line="360" w:lineRule="auto"/>
        <w:rPr>
          <w:rFonts w:hint="eastAsia" w:ascii="宋体" w:hAnsi="宋体" w:cs="仿宋"/>
          <w:color w:val="auto"/>
          <w:sz w:val="24"/>
        </w:rPr>
      </w:pPr>
      <w:r>
        <w:rPr>
          <w:rFonts w:hint="eastAsia" w:ascii="宋体" w:hAnsi="宋体" w:cs="仿宋"/>
          <w:color w:val="auto"/>
          <w:sz w:val="24"/>
        </w:rPr>
        <w:t>……</w:t>
      </w:r>
    </w:p>
    <w:p w14:paraId="32ADB672">
      <w:pPr>
        <w:adjustRightInd w:val="0"/>
        <w:snapToGrid w:val="0"/>
        <w:spacing w:line="360" w:lineRule="auto"/>
        <w:rPr>
          <w:rFonts w:hint="eastAsia" w:ascii="宋体" w:hAnsi="宋体" w:cs="仿宋"/>
          <w:bCs/>
          <w:color w:val="auto"/>
          <w:sz w:val="24"/>
        </w:rPr>
      </w:pPr>
      <w:r>
        <w:rPr>
          <w:rFonts w:hint="eastAsia" w:ascii="宋体" w:hAnsi="宋体" w:cs="仿宋"/>
          <w:bCs/>
          <w:color w:val="auto"/>
          <w:sz w:val="24"/>
        </w:rPr>
        <w:t>四、与质疑事项相关的质疑请求</w:t>
      </w:r>
    </w:p>
    <w:p w14:paraId="4D3CF80C">
      <w:pPr>
        <w:adjustRightInd w:val="0"/>
        <w:snapToGrid w:val="0"/>
        <w:spacing w:line="360" w:lineRule="auto"/>
        <w:rPr>
          <w:rFonts w:hint="eastAsia" w:ascii="宋体" w:hAnsi="宋体" w:cs="仿宋"/>
          <w:color w:val="auto"/>
          <w:sz w:val="24"/>
          <w:u w:val="dotted"/>
        </w:rPr>
      </w:pPr>
      <w:r>
        <w:rPr>
          <w:rFonts w:hint="eastAsia" w:ascii="宋体" w:hAnsi="宋体" w:cs="仿宋"/>
          <w:color w:val="auto"/>
          <w:sz w:val="24"/>
        </w:rPr>
        <w:t>请求：</w:t>
      </w:r>
      <w:r>
        <w:rPr>
          <w:rFonts w:hint="eastAsia" w:ascii="宋体" w:hAnsi="宋体" w:cs="仿宋"/>
          <w:color w:val="auto"/>
          <w:sz w:val="24"/>
          <w:u w:val="dotted"/>
        </w:rPr>
        <w:t xml:space="preserve">                                               </w:t>
      </w:r>
    </w:p>
    <w:p w14:paraId="3704CCE3">
      <w:pPr>
        <w:rPr>
          <w:rFonts w:hint="eastAsia" w:ascii="宋体" w:hAnsi="宋体"/>
          <w:color w:val="auto"/>
          <w:sz w:val="24"/>
        </w:rPr>
      </w:pPr>
      <w:r>
        <w:rPr>
          <w:rFonts w:hint="eastAsia" w:ascii="宋体" w:hAnsi="宋体"/>
          <w:color w:val="auto"/>
          <w:sz w:val="24"/>
        </w:rPr>
        <w:t xml:space="preserve">签字（签章）：                   公章：                      </w:t>
      </w:r>
    </w:p>
    <w:p w14:paraId="4E34E2DA">
      <w:pPr>
        <w:rPr>
          <w:rFonts w:hint="eastAsia" w:ascii="宋体" w:hAnsi="宋体"/>
          <w:color w:val="auto"/>
          <w:sz w:val="24"/>
        </w:rPr>
      </w:pPr>
      <w:r>
        <w:rPr>
          <w:rFonts w:hint="eastAsia" w:ascii="宋体" w:hAnsi="宋体"/>
          <w:color w:val="auto"/>
          <w:sz w:val="24"/>
        </w:rPr>
        <w:t xml:space="preserve">日期：    </w:t>
      </w:r>
    </w:p>
    <w:p w14:paraId="5DEF9C7C">
      <w:pPr>
        <w:adjustRightInd w:val="0"/>
        <w:snapToGrid w:val="0"/>
        <w:spacing w:line="360" w:lineRule="auto"/>
        <w:rPr>
          <w:rFonts w:hint="eastAsia" w:ascii="宋体" w:hAnsi="宋体" w:cs="仿宋"/>
          <w:color w:val="auto"/>
          <w:sz w:val="24"/>
        </w:rPr>
      </w:pPr>
    </w:p>
    <w:p w14:paraId="4C533257">
      <w:pPr>
        <w:adjustRightInd w:val="0"/>
        <w:snapToGrid w:val="0"/>
        <w:spacing w:line="360" w:lineRule="auto"/>
        <w:rPr>
          <w:rFonts w:hint="eastAsia" w:ascii="宋体" w:hAnsi="宋体" w:cs="仿宋"/>
          <w:color w:val="auto"/>
          <w:sz w:val="32"/>
          <w:szCs w:val="32"/>
        </w:rPr>
      </w:pPr>
    </w:p>
    <w:p w14:paraId="2EBEFFA9">
      <w:pPr>
        <w:jc w:val="center"/>
        <w:rPr>
          <w:rFonts w:hint="eastAsia" w:ascii="宋体" w:hAnsi="宋体" w:cs="仿宋"/>
          <w:b/>
          <w:bCs/>
          <w:color w:val="auto"/>
          <w:sz w:val="32"/>
          <w:szCs w:val="32"/>
        </w:rPr>
      </w:pPr>
    </w:p>
    <w:p w14:paraId="7062B7E1">
      <w:pPr>
        <w:rPr>
          <w:rFonts w:hint="eastAsia" w:ascii="宋体" w:hAnsi="宋体"/>
          <w:color w:val="auto"/>
          <w:sz w:val="24"/>
          <w:szCs w:val="32"/>
        </w:rPr>
      </w:pPr>
      <w:r>
        <w:rPr>
          <w:rFonts w:hint="eastAsia" w:ascii="宋体" w:hAnsi="宋体"/>
          <w:color w:val="auto"/>
          <w:sz w:val="24"/>
          <w:szCs w:val="32"/>
        </w:rPr>
        <w:t>质疑函制作说明：</w:t>
      </w:r>
    </w:p>
    <w:p w14:paraId="16352981">
      <w:pPr>
        <w:widowControl/>
        <w:spacing w:line="500" w:lineRule="exact"/>
        <w:ind w:firstLine="480" w:firstLineChars="200"/>
        <w:jc w:val="left"/>
        <w:rPr>
          <w:rFonts w:hint="eastAsia" w:ascii="宋体" w:hAnsi="宋体"/>
          <w:color w:val="auto"/>
          <w:sz w:val="24"/>
          <w:szCs w:val="32"/>
        </w:rPr>
      </w:pPr>
      <w:r>
        <w:rPr>
          <w:rFonts w:hint="eastAsia" w:ascii="宋体" w:hAnsi="宋体"/>
          <w:color w:val="auto"/>
          <w:sz w:val="24"/>
          <w:szCs w:val="32"/>
        </w:rPr>
        <w:t>1.投标人提出质疑时，应提交质疑函和必要的证明材料。</w:t>
      </w:r>
    </w:p>
    <w:p w14:paraId="1085E999">
      <w:pPr>
        <w:widowControl/>
        <w:spacing w:line="500" w:lineRule="exact"/>
        <w:ind w:firstLine="480" w:firstLineChars="200"/>
        <w:jc w:val="left"/>
        <w:rPr>
          <w:rFonts w:hint="eastAsia" w:ascii="宋体" w:hAnsi="宋体"/>
          <w:color w:val="auto"/>
          <w:sz w:val="24"/>
          <w:szCs w:val="32"/>
        </w:rPr>
      </w:pPr>
      <w:r>
        <w:rPr>
          <w:rFonts w:hint="eastAsia" w:ascii="宋体" w:hAnsi="宋体"/>
          <w:color w:val="auto"/>
          <w:sz w:val="24"/>
          <w:szCs w:val="32"/>
        </w:rPr>
        <w:t>2.质疑投标人若委托代理人进行质疑的，质疑函应按要求列明“授权代表”的有关内容，并在附件中提交由质疑</w:t>
      </w:r>
      <w:r>
        <w:rPr>
          <w:rFonts w:hint="eastAsia" w:ascii="宋体" w:hAnsi="宋体" w:cs="宋体"/>
          <w:color w:val="auto"/>
          <w:kern w:val="0"/>
          <w:sz w:val="24"/>
          <w:szCs w:val="32"/>
        </w:rPr>
        <w:t>投标人签署的授权委托书。授权委托书应载明代理人的姓名或者名称、代理事项、具体权限、期限和相关事项。</w:t>
      </w:r>
    </w:p>
    <w:p w14:paraId="7C5F3ABE">
      <w:pPr>
        <w:widowControl/>
        <w:spacing w:line="500" w:lineRule="exact"/>
        <w:ind w:firstLine="480" w:firstLineChars="200"/>
        <w:jc w:val="left"/>
        <w:rPr>
          <w:rFonts w:hint="eastAsia" w:ascii="宋体" w:hAnsi="宋体"/>
          <w:color w:val="auto"/>
          <w:sz w:val="24"/>
          <w:szCs w:val="32"/>
        </w:rPr>
      </w:pPr>
      <w:r>
        <w:rPr>
          <w:rFonts w:hint="eastAsia" w:ascii="宋体" w:hAnsi="宋体"/>
          <w:color w:val="auto"/>
          <w:sz w:val="24"/>
          <w:szCs w:val="32"/>
        </w:rPr>
        <w:t>3.质疑投标人若对项目的某一分包进行质疑，质疑函中应列明具体分包号。</w:t>
      </w:r>
    </w:p>
    <w:p w14:paraId="6C5D72A6">
      <w:pPr>
        <w:widowControl/>
        <w:spacing w:line="500" w:lineRule="exact"/>
        <w:ind w:firstLine="480" w:firstLineChars="200"/>
        <w:jc w:val="left"/>
        <w:rPr>
          <w:rFonts w:hint="eastAsia" w:ascii="宋体" w:hAnsi="宋体"/>
          <w:color w:val="auto"/>
          <w:sz w:val="24"/>
          <w:szCs w:val="32"/>
        </w:rPr>
      </w:pPr>
      <w:r>
        <w:rPr>
          <w:rFonts w:hint="eastAsia" w:ascii="宋体" w:hAnsi="宋体"/>
          <w:color w:val="auto"/>
          <w:sz w:val="24"/>
          <w:szCs w:val="32"/>
        </w:rPr>
        <w:t>4.质疑函的质疑事项应具体、明确，并有必要的事实依据和法律依据。</w:t>
      </w:r>
    </w:p>
    <w:p w14:paraId="58042C3C">
      <w:pPr>
        <w:widowControl/>
        <w:spacing w:line="500" w:lineRule="exact"/>
        <w:ind w:firstLine="480" w:firstLineChars="200"/>
        <w:jc w:val="left"/>
        <w:rPr>
          <w:rFonts w:hint="eastAsia" w:ascii="宋体" w:hAnsi="宋体"/>
          <w:color w:val="auto"/>
          <w:sz w:val="24"/>
          <w:szCs w:val="32"/>
        </w:rPr>
      </w:pPr>
      <w:r>
        <w:rPr>
          <w:rFonts w:hint="eastAsia" w:ascii="宋体" w:hAnsi="宋体"/>
          <w:color w:val="auto"/>
          <w:sz w:val="24"/>
          <w:szCs w:val="32"/>
        </w:rPr>
        <w:t>5.质疑函的质疑请求应与质疑事项相关。</w:t>
      </w:r>
    </w:p>
    <w:p w14:paraId="3321E339">
      <w:pPr>
        <w:pStyle w:val="27"/>
        <w:spacing w:line="500" w:lineRule="exact"/>
        <w:ind w:firstLine="480" w:firstLineChars="200"/>
        <w:rPr>
          <w:rFonts w:hint="eastAsia" w:hAnsi="宋体"/>
          <w:color w:val="auto"/>
          <w:sz w:val="24"/>
          <w:szCs w:val="32"/>
        </w:rPr>
      </w:pPr>
      <w:r>
        <w:rPr>
          <w:rFonts w:hint="eastAsia" w:hAnsi="宋体"/>
          <w:color w:val="auto"/>
          <w:sz w:val="24"/>
          <w:szCs w:val="32"/>
        </w:rPr>
        <w:t>6.质疑投标人为自然人的，质疑函应由本人签字；质疑投标人为法人或者其他组织的，质疑函应由法定代表人、主要负责人，或者其授权代表签字或者盖章，并加盖公章。</w:t>
      </w:r>
    </w:p>
    <w:p w14:paraId="3616CAFD">
      <w:pPr>
        <w:spacing w:line="380" w:lineRule="exact"/>
        <w:rPr>
          <w:rFonts w:hint="eastAsia" w:ascii="宋体" w:hAnsi="宋体"/>
          <w:color w:val="auto"/>
          <w:sz w:val="32"/>
          <w:szCs w:val="32"/>
        </w:rPr>
      </w:pPr>
    </w:p>
    <w:p w14:paraId="2376181D">
      <w:pPr>
        <w:pStyle w:val="2"/>
        <w:spacing w:before="480"/>
        <w:rPr>
          <w:rFonts w:hint="eastAsia" w:ascii="宋体" w:hAnsi="宋体"/>
          <w:color w:val="auto"/>
          <w:lang w:val="en-US"/>
        </w:rPr>
      </w:pPr>
    </w:p>
    <w:sectPr>
      <w:footerReference r:id="rId3" w:type="default"/>
      <w:pgSz w:w="11906" w:h="16838"/>
      <w:pgMar w:top="1418" w:right="1028" w:bottom="1418" w:left="1418" w:header="454" w:footer="454"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ootlight MT Light">
    <w:altName w:val="Segoe Print"/>
    <w:panose1 w:val="000000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等线 Light">
    <w:altName w:val="宋体"/>
    <w:panose1 w:val="02010600030101010101"/>
    <w:charset w:val="86"/>
    <w:family w:val="auto"/>
    <w:pitch w:val="default"/>
    <w:sig w:usb0="00000000" w:usb1="00000000" w:usb2="00000016" w:usb3="00000000" w:csb0="0004000F" w:csb1="00000000"/>
  </w:font>
  <w:font w:name="Consolas">
    <w:panose1 w:val="020B0609020204030204"/>
    <w:charset w:val="00"/>
    <w:family w:val="modern"/>
    <w:pitch w:val="default"/>
    <w:sig w:usb0="E10002FF" w:usb1="4000FCFF" w:usb2="00000009" w:usb3="00000000" w:csb0="6000019F" w:csb1="DFD70000"/>
  </w:font>
  <w:font w:name="Microsoft YaHei UI">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font-weight : 700">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幼圆">
    <w:altName w:val="宋体"/>
    <w:panose1 w:val="00000000000000000000"/>
    <w:charset w:val="86"/>
    <w:family w:val="modern"/>
    <w:pitch w:val="default"/>
    <w:sig w:usb0="00000000" w:usb1="0000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Helvetica Neue">
    <w:altName w:val="Corbel"/>
    <w:panose1 w:val="00000000000000000000"/>
    <w:charset w:val="00"/>
    <w:family w:val="auto"/>
    <w:pitch w:val="default"/>
    <w:sig w:usb0="00000000" w:usb1="00000000" w:usb2="00000010" w:usb3="00000000" w:csb0="00000000" w:csb1="00000000"/>
  </w:font>
  <w:font w:name="Corbel">
    <w:panose1 w:val="020B0503020204020204"/>
    <w:charset w:val="00"/>
    <w:family w:val="auto"/>
    <w:pitch w:val="default"/>
    <w:sig w:usb0="A00002EF" w:usb1="4000A44B" w:usb2="00000000" w:usb3="00000000" w:csb0="2000019F" w:csb1="00000000"/>
  </w:font>
  <w:font w:name="Arial Unicode MS">
    <w:altName w:val="宋体"/>
    <w:panose1 w:val="020B0604020202020204"/>
    <w:charset w:val="86"/>
    <w:family w:val="roman"/>
    <w:pitch w:val="default"/>
    <w:sig w:usb0="00000000" w:usb1="00000000" w:usb2="0000003F" w:usb3="00000000" w:csb0="603F01FF" w:csb1="FFFF0000"/>
  </w:font>
  <w:font w:name="STZhongsong">
    <w:altName w:val="宋体"/>
    <w:panose1 w:val="00000000000000000000"/>
    <w:charset w:val="86"/>
    <w:family w:val="auto"/>
    <w:pitch w:val="default"/>
    <w:sig w:usb0="00000000" w:usb1="00000000" w:usb2="00000010" w:usb3="00000000" w:csb0="0004009F" w:csb1="00000000"/>
  </w:font>
  <w:font w:name="苹方-简 常规体">
    <w:altName w:val="Segoe Print"/>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73E64">
    <w:pPr>
      <w:pStyle w:val="32"/>
      <w:jc w:val="center"/>
    </w:pPr>
    <w:r>
      <w:fldChar w:fldCharType="begin"/>
    </w:r>
    <w:r>
      <w:rPr>
        <w:rStyle w:val="54"/>
      </w:rPr>
      <w:instrText xml:space="preserve"> PAGE </w:instrText>
    </w:r>
    <w:r>
      <w:fldChar w:fldCharType="separate"/>
    </w:r>
    <w:r>
      <w:rPr>
        <w:rStyle w:val="54"/>
      </w:rPr>
      <w:t>28</w:t>
    </w:r>
    <w:r>
      <w:fldChar w:fldCharType="end"/>
    </w:r>
  </w:p>
  <w:p w14:paraId="13217C3D"/>
  <w:p w14:paraId="67D7ABB6"/>
  <w:p w14:paraId="431B610B"/>
  <w:p w14:paraId="43231706"/>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bullet"/>
      <w:pStyle w:val="331"/>
      <w:lvlText w:val=""/>
      <w:lvlJc w:val="left"/>
      <w:pPr>
        <w:tabs>
          <w:tab w:val="left" w:pos="284"/>
        </w:tabs>
        <w:ind w:left="284" w:hanging="284"/>
      </w:pPr>
      <w:rPr>
        <w:rFonts w:hint="default" w:ascii="Wingdings" w:hAnsi="Wingdings" w:cs="Wingdings"/>
        <w:color w:val="auto"/>
        <w:sz w:val="13"/>
        <w:szCs w:val="13"/>
        <w:u w:val="none"/>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00000002"/>
    <w:multiLevelType w:val="multilevel"/>
    <w:tmpl w:val="00000002"/>
    <w:lvl w:ilvl="0" w:tentative="0">
      <w:start w:val="1"/>
      <w:numFmt w:val="japaneseCounting"/>
      <w:lvlText w:val="第%1条"/>
      <w:lvlJc w:val="left"/>
      <w:pPr>
        <w:tabs>
          <w:tab w:val="left" w:pos="1253"/>
        </w:tabs>
        <w:ind w:left="1253" w:hanging="840"/>
      </w:pPr>
      <w:rPr>
        <w:rFonts w:hint="default"/>
      </w:rPr>
    </w:lvl>
    <w:lvl w:ilvl="1" w:tentative="0">
      <w:start w:val="1"/>
      <w:numFmt w:val="lowerLetter"/>
      <w:lvlText w:val="%2)"/>
      <w:lvlJc w:val="left"/>
      <w:pPr>
        <w:tabs>
          <w:tab w:val="left" w:pos="1253"/>
        </w:tabs>
        <w:ind w:left="1253" w:hanging="420"/>
      </w:pPr>
    </w:lvl>
    <w:lvl w:ilvl="2" w:tentative="0">
      <w:start w:val="1"/>
      <w:numFmt w:val="lowerRoman"/>
      <w:lvlText w:val="%3."/>
      <w:lvlJc w:val="right"/>
      <w:pPr>
        <w:tabs>
          <w:tab w:val="left" w:pos="1673"/>
        </w:tabs>
        <w:ind w:left="1673" w:hanging="420"/>
      </w:pPr>
    </w:lvl>
    <w:lvl w:ilvl="3" w:tentative="0">
      <w:start w:val="1"/>
      <w:numFmt w:val="decimal"/>
      <w:lvlText w:val="%4."/>
      <w:lvlJc w:val="left"/>
      <w:pPr>
        <w:tabs>
          <w:tab w:val="left" w:pos="2093"/>
        </w:tabs>
        <w:ind w:left="2093" w:hanging="420"/>
      </w:pPr>
    </w:lvl>
    <w:lvl w:ilvl="4" w:tentative="0">
      <w:start w:val="1"/>
      <w:numFmt w:val="lowerLetter"/>
      <w:lvlText w:val="%5)"/>
      <w:lvlJc w:val="left"/>
      <w:pPr>
        <w:tabs>
          <w:tab w:val="left" w:pos="2513"/>
        </w:tabs>
        <w:ind w:left="2513" w:hanging="420"/>
      </w:pPr>
    </w:lvl>
    <w:lvl w:ilvl="5" w:tentative="0">
      <w:start w:val="1"/>
      <w:numFmt w:val="lowerRoman"/>
      <w:lvlText w:val="%6."/>
      <w:lvlJc w:val="right"/>
      <w:pPr>
        <w:tabs>
          <w:tab w:val="left" w:pos="2933"/>
        </w:tabs>
        <w:ind w:left="2933" w:hanging="420"/>
      </w:pPr>
    </w:lvl>
    <w:lvl w:ilvl="6" w:tentative="0">
      <w:start w:val="1"/>
      <w:numFmt w:val="decimal"/>
      <w:lvlText w:val="%7."/>
      <w:lvlJc w:val="left"/>
      <w:pPr>
        <w:tabs>
          <w:tab w:val="left" w:pos="3353"/>
        </w:tabs>
        <w:ind w:left="3353" w:hanging="420"/>
      </w:pPr>
    </w:lvl>
    <w:lvl w:ilvl="7" w:tentative="0">
      <w:start w:val="1"/>
      <w:numFmt w:val="lowerLetter"/>
      <w:lvlText w:val="%8)"/>
      <w:lvlJc w:val="left"/>
      <w:pPr>
        <w:tabs>
          <w:tab w:val="left" w:pos="3773"/>
        </w:tabs>
        <w:ind w:left="3773" w:hanging="420"/>
      </w:pPr>
    </w:lvl>
    <w:lvl w:ilvl="8" w:tentative="0">
      <w:start w:val="1"/>
      <w:numFmt w:val="lowerRoman"/>
      <w:lvlText w:val="%9."/>
      <w:lvlJc w:val="right"/>
      <w:pPr>
        <w:tabs>
          <w:tab w:val="left" w:pos="4193"/>
        </w:tabs>
        <w:ind w:left="4193"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oNotShadeFormData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diMWE5MzEwMTU3NmRiNmVmMmNhNWQ1Mzg4NDZhNzIifQ=="/>
  </w:docVars>
  <w:rsids>
    <w:rsidRoot w:val="00172A27"/>
    <w:rsid w:val="00003EC6"/>
    <w:rsid w:val="0000716F"/>
    <w:rsid w:val="00010657"/>
    <w:rsid w:val="00010B4C"/>
    <w:rsid w:val="000126A6"/>
    <w:rsid w:val="00012712"/>
    <w:rsid w:val="00012866"/>
    <w:rsid w:val="0001303E"/>
    <w:rsid w:val="00014C4B"/>
    <w:rsid w:val="00015EFA"/>
    <w:rsid w:val="000163C7"/>
    <w:rsid w:val="00016424"/>
    <w:rsid w:val="00017EB6"/>
    <w:rsid w:val="00022B06"/>
    <w:rsid w:val="000235C0"/>
    <w:rsid w:val="00024B10"/>
    <w:rsid w:val="0002568D"/>
    <w:rsid w:val="00030D94"/>
    <w:rsid w:val="000317FE"/>
    <w:rsid w:val="00031AD9"/>
    <w:rsid w:val="00032963"/>
    <w:rsid w:val="00032D25"/>
    <w:rsid w:val="00033616"/>
    <w:rsid w:val="00034C6C"/>
    <w:rsid w:val="0003792F"/>
    <w:rsid w:val="00040A48"/>
    <w:rsid w:val="00041D7C"/>
    <w:rsid w:val="00042CEA"/>
    <w:rsid w:val="00043788"/>
    <w:rsid w:val="00043FB7"/>
    <w:rsid w:val="00044AA4"/>
    <w:rsid w:val="000467AE"/>
    <w:rsid w:val="000479DF"/>
    <w:rsid w:val="00047B6A"/>
    <w:rsid w:val="00050C5D"/>
    <w:rsid w:val="0005159F"/>
    <w:rsid w:val="000554B9"/>
    <w:rsid w:val="000557BC"/>
    <w:rsid w:val="000561DE"/>
    <w:rsid w:val="0006185E"/>
    <w:rsid w:val="000618A2"/>
    <w:rsid w:val="00061B9D"/>
    <w:rsid w:val="00063E5E"/>
    <w:rsid w:val="00063EC6"/>
    <w:rsid w:val="00064292"/>
    <w:rsid w:val="0006574E"/>
    <w:rsid w:val="00065BB8"/>
    <w:rsid w:val="000664CB"/>
    <w:rsid w:val="00066C33"/>
    <w:rsid w:val="00071E7C"/>
    <w:rsid w:val="0007262A"/>
    <w:rsid w:val="0007311B"/>
    <w:rsid w:val="0007315F"/>
    <w:rsid w:val="000766A2"/>
    <w:rsid w:val="0007776D"/>
    <w:rsid w:val="00077FA0"/>
    <w:rsid w:val="0008028B"/>
    <w:rsid w:val="00081EF1"/>
    <w:rsid w:val="000838E4"/>
    <w:rsid w:val="00083921"/>
    <w:rsid w:val="00086D03"/>
    <w:rsid w:val="00087406"/>
    <w:rsid w:val="00087576"/>
    <w:rsid w:val="00090460"/>
    <w:rsid w:val="000933DC"/>
    <w:rsid w:val="00093A46"/>
    <w:rsid w:val="0009451D"/>
    <w:rsid w:val="00094783"/>
    <w:rsid w:val="00095850"/>
    <w:rsid w:val="00096E3F"/>
    <w:rsid w:val="00096E43"/>
    <w:rsid w:val="000972F8"/>
    <w:rsid w:val="000A01D0"/>
    <w:rsid w:val="000A1A51"/>
    <w:rsid w:val="000A1F80"/>
    <w:rsid w:val="000A2B0A"/>
    <w:rsid w:val="000A345D"/>
    <w:rsid w:val="000A44EC"/>
    <w:rsid w:val="000A5319"/>
    <w:rsid w:val="000A5681"/>
    <w:rsid w:val="000A75EA"/>
    <w:rsid w:val="000B02AE"/>
    <w:rsid w:val="000B11EB"/>
    <w:rsid w:val="000B14FF"/>
    <w:rsid w:val="000B35F5"/>
    <w:rsid w:val="000B3717"/>
    <w:rsid w:val="000B3878"/>
    <w:rsid w:val="000B3BA4"/>
    <w:rsid w:val="000B491B"/>
    <w:rsid w:val="000B5651"/>
    <w:rsid w:val="000B7980"/>
    <w:rsid w:val="000C1EDD"/>
    <w:rsid w:val="000C3E4E"/>
    <w:rsid w:val="000C4A7E"/>
    <w:rsid w:val="000C4DEC"/>
    <w:rsid w:val="000C5BC3"/>
    <w:rsid w:val="000C7288"/>
    <w:rsid w:val="000D00B8"/>
    <w:rsid w:val="000D028C"/>
    <w:rsid w:val="000D07B5"/>
    <w:rsid w:val="000D15E2"/>
    <w:rsid w:val="000D3764"/>
    <w:rsid w:val="000D37DD"/>
    <w:rsid w:val="000D686E"/>
    <w:rsid w:val="000D72E5"/>
    <w:rsid w:val="000D7B64"/>
    <w:rsid w:val="000D7F2D"/>
    <w:rsid w:val="000E02B5"/>
    <w:rsid w:val="000E0E8B"/>
    <w:rsid w:val="000E287D"/>
    <w:rsid w:val="000E333D"/>
    <w:rsid w:val="000E38D0"/>
    <w:rsid w:val="000F0FC3"/>
    <w:rsid w:val="000F34D7"/>
    <w:rsid w:val="000F3F06"/>
    <w:rsid w:val="000F4A13"/>
    <w:rsid w:val="0010115D"/>
    <w:rsid w:val="001016A7"/>
    <w:rsid w:val="001020B0"/>
    <w:rsid w:val="001027B4"/>
    <w:rsid w:val="001037F6"/>
    <w:rsid w:val="00105505"/>
    <w:rsid w:val="00107144"/>
    <w:rsid w:val="0010726E"/>
    <w:rsid w:val="00107645"/>
    <w:rsid w:val="00107B72"/>
    <w:rsid w:val="00110487"/>
    <w:rsid w:val="001112A5"/>
    <w:rsid w:val="00113CAB"/>
    <w:rsid w:val="00113E65"/>
    <w:rsid w:val="0011442D"/>
    <w:rsid w:val="00114759"/>
    <w:rsid w:val="00117A6F"/>
    <w:rsid w:val="00120AC6"/>
    <w:rsid w:val="001236D4"/>
    <w:rsid w:val="00124768"/>
    <w:rsid w:val="00126851"/>
    <w:rsid w:val="0012734A"/>
    <w:rsid w:val="0013234F"/>
    <w:rsid w:val="001335C7"/>
    <w:rsid w:val="00133903"/>
    <w:rsid w:val="00133E52"/>
    <w:rsid w:val="00133FC0"/>
    <w:rsid w:val="00141701"/>
    <w:rsid w:val="00141AAD"/>
    <w:rsid w:val="001438EA"/>
    <w:rsid w:val="00143D88"/>
    <w:rsid w:val="0014544C"/>
    <w:rsid w:val="00145A26"/>
    <w:rsid w:val="00147CFA"/>
    <w:rsid w:val="00150A38"/>
    <w:rsid w:val="00150EED"/>
    <w:rsid w:val="00151457"/>
    <w:rsid w:val="00151D08"/>
    <w:rsid w:val="001530F6"/>
    <w:rsid w:val="0015478D"/>
    <w:rsid w:val="00155464"/>
    <w:rsid w:val="00157030"/>
    <w:rsid w:val="001625C2"/>
    <w:rsid w:val="00164C4E"/>
    <w:rsid w:val="00165D30"/>
    <w:rsid w:val="00166702"/>
    <w:rsid w:val="00167B1D"/>
    <w:rsid w:val="0017026D"/>
    <w:rsid w:val="001709B0"/>
    <w:rsid w:val="00171BC3"/>
    <w:rsid w:val="00171CC5"/>
    <w:rsid w:val="00172A27"/>
    <w:rsid w:val="001736FB"/>
    <w:rsid w:val="001773EA"/>
    <w:rsid w:val="00177D4C"/>
    <w:rsid w:val="00177E5A"/>
    <w:rsid w:val="00180D6E"/>
    <w:rsid w:val="001844C4"/>
    <w:rsid w:val="00185581"/>
    <w:rsid w:val="00186CE2"/>
    <w:rsid w:val="00190268"/>
    <w:rsid w:val="00191402"/>
    <w:rsid w:val="001937A6"/>
    <w:rsid w:val="00194C79"/>
    <w:rsid w:val="00194EDC"/>
    <w:rsid w:val="00195098"/>
    <w:rsid w:val="00195C26"/>
    <w:rsid w:val="00196D45"/>
    <w:rsid w:val="001976DD"/>
    <w:rsid w:val="00197C6E"/>
    <w:rsid w:val="001A26A7"/>
    <w:rsid w:val="001A2E6D"/>
    <w:rsid w:val="001A3091"/>
    <w:rsid w:val="001A393D"/>
    <w:rsid w:val="001A4966"/>
    <w:rsid w:val="001A7DDF"/>
    <w:rsid w:val="001B065E"/>
    <w:rsid w:val="001B2401"/>
    <w:rsid w:val="001B2A38"/>
    <w:rsid w:val="001B2ED1"/>
    <w:rsid w:val="001B4E5D"/>
    <w:rsid w:val="001B599F"/>
    <w:rsid w:val="001B64AD"/>
    <w:rsid w:val="001B6C03"/>
    <w:rsid w:val="001B6E00"/>
    <w:rsid w:val="001B768B"/>
    <w:rsid w:val="001C0D90"/>
    <w:rsid w:val="001C1FBB"/>
    <w:rsid w:val="001C2942"/>
    <w:rsid w:val="001C296A"/>
    <w:rsid w:val="001C5369"/>
    <w:rsid w:val="001C58EC"/>
    <w:rsid w:val="001C75C5"/>
    <w:rsid w:val="001C7F6B"/>
    <w:rsid w:val="001D0437"/>
    <w:rsid w:val="001D1987"/>
    <w:rsid w:val="001D3321"/>
    <w:rsid w:val="001D3424"/>
    <w:rsid w:val="001D5396"/>
    <w:rsid w:val="001D5FC9"/>
    <w:rsid w:val="001D62C0"/>
    <w:rsid w:val="001D6FD8"/>
    <w:rsid w:val="001D7FE3"/>
    <w:rsid w:val="001E1785"/>
    <w:rsid w:val="001E5159"/>
    <w:rsid w:val="001E54C0"/>
    <w:rsid w:val="001E5E63"/>
    <w:rsid w:val="001E7C8D"/>
    <w:rsid w:val="001F0670"/>
    <w:rsid w:val="001F0B33"/>
    <w:rsid w:val="001F164D"/>
    <w:rsid w:val="001F55A1"/>
    <w:rsid w:val="001F6B68"/>
    <w:rsid w:val="001F7519"/>
    <w:rsid w:val="00201174"/>
    <w:rsid w:val="00201186"/>
    <w:rsid w:val="00201CF9"/>
    <w:rsid w:val="00203BB3"/>
    <w:rsid w:val="00205176"/>
    <w:rsid w:val="002066F6"/>
    <w:rsid w:val="00206847"/>
    <w:rsid w:val="00210ACB"/>
    <w:rsid w:val="00212757"/>
    <w:rsid w:val="002134C6"/>
    <w:rsid w:val="00215B1A"/>
    <w:rsid w:val="00215EBA"/>
    <w:rsid w:val="00220908"/>
    <w:rsid w:val="00221B80"/>
    <w:rsid w:val="00222FFC"/>
    <w:rsid w:val="00223F36"/>
    <w:rsid w:val="002249CB"/>
    <w:rsid w:val="00225010"/>
    <w:rsid w:val="002256AA"/>
    <w:rsid w:val="00225743"/>
    <w:rsid w:val="00225BAE"/>
    <w:rsid w:val="00225C65"/>
    <w:rsid w:val="00226007"/>
    <w:rsid w:val="002268EE"/>
    <w:rsid w:val="00226958"/>
    <w:rsid w:val="00227181"/>
    <w:rsid w:val="002279D6"/>
    <w:rsid w:val="00230C58"/>
    <w:rsid w:val="00234EDF"/>
    <w:rsid w:val="00234F5D"/>
    <w:rsid w:val="00235010"/>
    <w:rsid w:val="00235030"/>
    <w:rsid w:val="00235E0D"/>
    <w:rsid w:val="00236506"/>
    <w:rsid w:val="002367D0"/>
    <w:rsid w:val="00241DB2"/>
    <w:rsid w:val="0024374D"/>
    <w:rsid w:val="00243C3F"/>
    <w:rsid w:val="002452B6"/>
    <w:rsid w:val="00245746"/>
    <w:rsid w:val="00245EEC"/>
    <w:rsid w:val="00246E8E"/>
    <w:rsid w:val="00250367"/>
    <w:rsid w:val="002506B8"/>
    <w:rsid w:val="002525ED"/>
    <w:rsid w:val="00252B78"/>
    <w:rsid w:val="00252D63"/>
    <w:rsid w:val="0025561C"/>
    <w:rsid w:val="002558BA"/>
    <w:rsid w:val="002568DF"/>
    <w:rsid w:val="002579A6"/>
    <w:rsid w:val="00257F0E"/>
    <w:rsid w:val="002620C1"/>
    <w:rsid w:val="002631D1"/>
    <w:rsid w:val="0026373C"/>
    <w:rsid w:val="00264BEC"/>
    <w:rsid w:val="0026627D"/>
    <w:rsid w:val="0027170E"/>
    <w:rsid w:val="00271FAE"/>
    <w:rsid w:val="002738A3"/>
    <w:rsid w:val="00275667"/>
    <w:rsid w:val="00276185"/>
    <w:rsid w:val="002767BE"/>
    <w:rsid w:val="002770D7"/>
    <w:rsid w:val="00282A24"/>
    <w:rsid w:val="00282AFB"/>
    <w:rsid w:val="00283D91"/>
    <w:rsid w:val="00287444"/>
    <w:rsid w:val="00291D0F"/>
    <w:rsid w:val="002927A8"/>
    <w:rsid w:val="00293A4A"/>
    <w:rsid w:val="002958EB"/>
    <w:rsid w:val="00296686"/>
    <w:rsid w:val="00297302"/>
    <w:rsid w:val="002A0BB1"/>
    <w:rsid w:val="002A27E9"/>
    <w:rsid w:val="002A2B4A"/>
    <w:rsid w:val="002A432D"/>
    <w:rsid w:val="002A4D87"/>
    <w:rsid w:val="002A75C6"/>
    <w:rsid w:val="002B12D2"/>
    <w:rsid w:val="002B21A1"/>
    <w:rsid w:val="002B283C"/>
    <w:rsid w:val="002B4C41"/>
    <w:rsid w:val="002B7658"/>
    <w:rsid w:val="002C004E"/>
    <w:rsid w:val="002C3AE3"/>
    <w:rsid w:val="002C3B12"/>
    <w:rsid w:val="002C5B49"/>
    <w:rsid w:val="002C5FC7"/>
    <w:rsid w:val="002C60B2"/>
    <w:rsid w:val="002C6DC0"/>
    <w:rsid w:val="002C79F8"/>
    <w:rsid w:val="002D046C"/>
    <w:rsid w:val="002D046F"/>
    <w:rsid w:val="002D1120"/>
    <w:rsid w:val="002D3E4C"/>
    <w:rsid w:val="002D3E52"/>
    <w:rsid w:val="002D6EA3"/>
    <w:rsid w:val="002E0D82"/>
    <w:rsid w:val="002E1871"/>
    <w:rsid w:val="002E3760"/>
    <w:rsid w:val="002E42F1"/>
    <w:rsid w:val="002E47E2"/>
    <w:rsid w:val="002E57C1"/>
    <w:rsid w:val="002F197A"/>
    <w:rsid w:val="002F31BE"/>
    <w:rsid w:val="002F4F49"/>
    <w:rsid w:val="002F6F69"/>
    <w:rsid w:val="00301784"/>
    <w:rsid w:val="00301BE9"/>
    <w:rsid w:val="00301E96"/>
    <w:rsid w:val="0030289D"/>
    <w:rsid w:val="0030622F"/>
    <w:rsid w:val="0030696C"/>
    <w:rsid w:val="00310F9E"/>
    <w:rsid w:val="003124F3"/>
    <w:rsid w:val="00313AE5"/>
    <w:rsid w:val="003147BC"/>
    <w:rsid w:val="003152E5"/>
    <w:rsid w:val="00316364"/>
    <w:rsid w:val="00316A53"/>
    <w:rsid w:val="00317907"/>
    <w:rsid w:val="003213AC"/>
    <w:rsid w:val="0032203A"/>
    <w:rsid w:val="00322310"/>
    <w:rsid w:val="00322E2A"/>
    <w:rsid w:val="00323323"/>
    <w:rsid w:val="003236CC"/>
    <w:rsid w:val="00324EB7"/>
    <w:rsid w:val="003278C4"/>
    <w:rsid w:val="0032791E"/>
    <w:rsid w:val="0033001A"/>
    <w:rsid w:val="00331554"/>
    <w:rsid w:val="003331FF"/>
    <w:rsid w:val="003335DF"/>
    <w:rsid w:val="003335F1"/>
    <w:rsid w:val="003341F2"/>
    <w:rsid w:val="00334BF0"/>
    <w:rsid w:val="00336642"/>
    <w:rsid w:val="003366CE"/>
    <w:rsid w:val="0033679A"/>
    <w:rsid w:val="0033696C"/>
    <w:rsid w:val="00340ED8"/>
    <w:rsid w:val="00341273"/>
    <w:rsid w:val="003413D8"/>
    <w:rsid w:val="00342C04"/>
    <w:rsid w:val="00343D12"/>
    <w:rsid w:val="0034495E"/>
    <w:rsid w:val="00345E64"/>
    <w:rsid w:val="00347582"/>
    <w:rsid w:val="003517C0"/>
    <w:rsid w:val="00351B95"/>
    <w:rsid w:val="0035213E"/>
    <w:rsid w:val="003521C6"/>
    <w:rsid w:val="003527F0"/>
    <w:rsid w:val="0035328F"/>
    <w:rsid w:val="00353610"/>
    <w:rsid w:val="00353DAA"/>
    <w:rsid w:val="003554B3"/>
    <w:rsid w:val="003562B7"/>
    <w:rsid w:val="003605C8"/>
    <w:rsid w:val="00360B1C"/>
    <w:rsid w:val="003611CC"/>
    <w:rsid w:val="00362B3B"/>
    <w:rsid w:val="00362F03"/>
    <w:rsid w:val="0036309B"/>
    <w:rsid w:val="00364027"/>
    <w:rsid w:val="0036415E"/>
    <w:rsid w:val="003646CC"/>
    <w:rsid w:val="003675BD"/>
    <w:rsid w:val="003701E2"/>
    <w:rsid w:val="00370912"/>
    <w:rsid w:val="00372666"/>
    <w:rsid w:val="00373538"/>
    <w:rsid w:val="003748FF"/>
    <w:rsid w:val="003772D8"/>
    <w:rsid w:val="00377DE7"/>
    <w:rsid w:val="00380B9D"/>
    <w:rsid w:val="0038151F"/>
    <w:rsid w:val="003826B0"/>
    <w:rsid w:val="003845E4"/>
    <w:rsid w:val="00385B13"/>
    <w:rsid w:val="0038643A"/>
    <w:rsid w:val="00386C28"/>
    <w:rsid w:val="00386EFB"/>
    <w:rsid w:val="003872A2"/>
    <w:rsid w:val="00387553"/>
    <w:rsid w:val="00390047"/>
    <w:rsid w:val="0039047B"/>
    <w:rsid w:val="00390518"/>
    <w:rsid w:val="003938A4"/>
    <w:rsid w:val="00393CA6"/>
    <w:rsid w:val="003942AD"/>
    <w:rsid w:val="00394A1F"/>
    <w:rsid w:val="00394E4A"/>
    <w:rsid w:val="00395239"/>
    <w:rsid w:val="003A0A85"/>
    <w:rsid w:val="003A1C1A"/>
    <w:rsid w:val="003A3941"/>
    <w:rsid w:val="003A4D22"/>
    <w:rsid w:val="003A5832"/>
    <w:rsid w:val="003A6692"/>
    <w:rsid w:val="003A79CB"/>
    <w:rsid w:val="003A7B13"/>
    <w:rsid w:val="003A7B64"/>
    <w:rsid w:val="003B0668"/>
    <w:rsid w:val="003B0C85"/>
    <w:rsid w:val="003B19DE"/>
    <w:rsid w:val="003B1E27"/>
    <w:rsid w:val="003B2E6B"/>
    <w:rsid w:val="003B2FC8"/>
    <w:rsid w:val="003B4DE5"/>
    <w:rsid w:val="003B5150"/>
    <w:rsid w:val="003B5E87"/>
    <w:rsid w:val="003B73AD"/>
    <w:rsid w:val="003B797C"/>
    <w:rsid w:val="003B79FA"/>
    <w:rsid w:val="003B7C8E"/>
    <w:rsid w:val="003C1043"/>
    <w:rsid w:val="003C1975"/>
    <w:rsid w:val="003C1B29"/>
    <w:rsid w:val="003C1F80"/>
    <w:rsid w:val="003C3C7B"/>
    <w:rsid w:val="003C3DA6"/>
    <w:rsid w:val="003C7437"/>
    <w:rsid w:val="003C7D04"/>
    <w:rsid w:val="003D0F76"/>
    <w:rsid w:val="003D6DC6"/>
    <w:rsid w:val="003E03F5"/>
    <w:rsid w:val="003E0B85"/>
    <w:rsid w:val="003E2309"/>
    <w:rsid w:val="003E2925"/>
    <w:rsid w:val="003E2983"/>
    <w:rsid w:val="003E3819"/>
    <w:rsid w:val="003E3833"/>
    <w:rsid w:val="003E4F15"/>
    <w:rsid w:val="003E59BD"/>
    <w:rsid w:val="003E71F3"/>
    <w:rsid w:val="003E7A3D"/>
    <w:rsid w:val="003E7C7F"/>
    <w:rsid w:val="003F10BF"/>
    <w:rsid w:val="003F164C"/>
    <w:rsid w:val="003F20AF"/>
    <w:rsid w:val="003F2BC5"/>
    <w:rsid w:val="003F4453"/>
    <w:rsid w:val="003F4580"/>
    <w:rsid w:val="003F4DDA"/>
    <w:rsid w:val="003F61F7"/>
    <w:rsid w:val="0040181E"/>
    <w:rsid w:val="00403E01"/>
    <w:rsid w:val="00404D71"/>
    <w:rsid w:val="00405C1D"/>
    <w:rsid w:val="0040748F"/>
    <w:rsid w:val="00407F1A"/>
    <w:rsid w:val="00413A7B"/>
    <w:rsid w:val="00414289"/>
    <w:rsid w:val="00415DA3"/>
    <w:rsid w:val="00416718"/>
    <w:rsid w:val="00417D96"/>
    <w:rsid w:val="00420DD2"/>
    <w:rsid w:val="004217E9"/>
    <w:rsid w:val="00422D2A"/>
    <w:rsid w:val="004247FB"/>
    <w:rsid w:val="00425539"/>
    <w:rsid w:val="0042576A"/>
    <w:rsid w:val="00426EB3"/>
    <w:rsid w:val="004272AB"/>
    <w:rsid w:val="00427613"/>
    <w:rsid w:val="00432333"/>
    <w:rsid w:val="004329FE"/>
    <w:rsid w:val="004351EC"/>
    <w:rsid w:val="00437BF1"/>
    <w:rsid w:val="00440CF4"/>
    <w:rsid w:val="00441887"/>
    <w:rsid w:val="00441C13"/>
    <w:rsid w:val="00442EFE"/>
    <w:rsid w:val="00443E41"/>
    <w:rsid w:val="00443E77"/>
    <w:rsid w:val="00445357"/>
    <w:rsid w:val="004454F7"/>
    <w:rsid w:val="00447C84"/>
    <w:rsid w:val="00447DE8"/>
    <w:rsid w:val="00447ED0"/>
    <w:rsid w:val="004528BA"/>
    <w:rsid w:val="00452DEF"/>
    <w:rsid w:val="00453CA5"/>
    <w:rsid w:val="00454EF1"/>
    <w:rsid w:val="0045598A"/>
    <w:rsid w:val="004559F7"/>
    <w:rsid w:val="00455EAA"/>
    <w:rsid w:val="004566D5"/>
    <w:rsid w:val="00457565"/>
    <w:rsid w:val="00461AB9"/>
    <w:rsid w:val="0046275A"/>
    <w:rsid w:val="004643D7"/>
    <w:rsid w:val="004669F6"/>
    <w:rsid w:val="00467C4D"/>
    <w:rsid w:val="00470EA7"/>
    <w:rsid w:val="00471F17"/>
    <w:rsid w:val="00473363"/>
    <w:rsid w:val="00474137"/>
    <w:rsid w:val="004751E4"/>
    <w:rsid w:val="00480FB5"/>
    <w:rsid w:val="0048294C"/>
    <w:rsid w:val="004842EA"/>
    <w:rsid w:val="00484A51"/>
    <w:rsid w:val="004869D4"/>
    <w:rsid w:val="00486A01"/>
    <w:rsid w:val="00491449"/>
    <w:rsid w:val="004924CF"/>
    <w:rsid w:val="004933CA"/>
    <w:rsid w:val="00493576"/>
    <w:rsid w:val="00495D78"/>
    <w:rsid w:val="00495F17"/>
    <w:rsid w:val="00497361"/>
    <w:rsid w:val="00497426"/>
    <w:rsid w:val="004A389A"/>
    <w:rsid w:val="004A38F9"/>
    <w:rsid w:val="004A3949"/>
    <w:rsid w:val="004A471B"/>
    <w:rsid w:val="004A4B34"/>
    <w:rsid w:val="004A4ED1"/>
    <w:rsid w:val="004A6030"/>
    <w:rsid w:val="004A7EB7"/>
    <w:rsid w:val="004B032B"/>
    <w:rsid w:val="004B223D"/>
    <w:rsid w:val="004B3B69"/>
    <w:rsid w:val="004B3D51"/>
    <w:rsid w:val="004B3E60"/>
    <w:rsid w:val="004B4E87"/>
    <w:rsid w:val="004B56E3"/>
    <w:rsid w:val="004B7F0C"/>
    <w:rsid w:val="004C0DB8"/>
    <w:rsid w:val="004C1010"/>
    <w:rsid w:val="004C2B99"/>
    <w:rsid w:val="004C398F"/>
    <w:rsid w:val="004C3BAE"/>
    <w:rsid w:val="004C7828"/>
    <w:rsid w:val="004D18C7"/>
    <w:rsid w:val="004D18C8"/>
    <w:rsid w:val="004D1F73"/>
    <w:rsid w:val="004D2CCE"/>
    <w:rsid w:val="004D3635"/>
    <w:rsid w:val="004D4D09"/>
    <w:rsid w:val="004D7880"/>
    <w:rsid w:val="004E0B71"/>
    <w:rsid w:val="004E34CD"/>
    <w:rsid w:val="004E39FE"/>
    <w:rsid w:val="004E3C1C"/>
    <w:rsid w:val="004E5338"/>
    <w:rsid w:val="004E5F09"/>
    <w:rsid w:val="004E67D6"/>
    <w:rsid w:val="004F031F"/>
    <w:rsid w:val="004F173F"/>
    <w:rsid w:val="004F2CFC"/>
    <w:rsid w:val="004F2FAE"/>
    <w:rsid w:val="004F40E4"/>
    <w:rsid w:val="004F5E44"/>
    <w:rsid w:val="004F6CC6"/>
    <w:rsid w:val="004F7229"/>
    <w:rsid w:val="004F722E"/>
    <w:rsid w:val="004F7FF4"/>
    <w:rsid w:val="005027C2"/>
    <w:rsid w:val="005061F1"/>
    <w:rsid w:val="00506F9A"/>
    <w:rsid w:val="00507E1B"/>
    <w:rsid w:val="00510096"/>
    <w:rsid w:val="00511A4D"/>
    <w:rsid w:val="00511ADB"/>
    <w:rsid w:val="00513076"/>
    <w:rsid w:val="0051316A"/>
    <w:rsid w:val="005139BC"/>
    <w:rsid w:val="00515BDF"/>
    <w:rsid w:val="00517504"/>
    <w:rsid w:val="00517F76"/>
    <w:rsid w:val="00517F8C"/>
    <w:rsid w:val="00520E57"/>
    <w:rsid w:val="00522E98"/>
    <w:rsid w:val="0052317D"/>
    <w:rsid w:val="00523440"/>
    <w:rsid w:val="00525BDE"/>
    <w:rsid w:val="00526F08"/>
    <w:rsid w:val="0053039B"/>
    <w:rsid w:val="005310AA"/>
    <w:rsid w:val="00531B40"/>
    <w:rsid w:val="005324F9"/>
    <w:rsid w:val="00534862"/>
    <w:rsid w:val="0053689A"/>
    <w:rsid w:val="00536E7E"/>
    <w:rsid w:val="00536F40"/>
    <w:rsid w:val="00536F61"/>
    <w:rsid w:val="00540DE9"/>
    <w:rsid w:val="005423E8"/>
    <w:rsid w:val="00542DA7"/>
    <w:rsid w:val="00543D8B"/>
    <w:rsid w:val="00544F93"/>
    <w:rsid w:val="0054633A"/>
    <w:rsid w:val="0054641E"/>
    <w:rsid w:val="00546AE7"/>
    <w:rsid w:val="005509B2"/>
    <w:rsid w:val="005514B4"/>
    <w:rsid w:val="005520F8"/>
    <w:rsid w:val="005537E5"/>
    <w:rsid w:val="005540A2"/>
    <w:rsid w:val="005544FA"/>
    <w:rsid w:val="00556075"/>
    <w:rsid w:val="00557AD6"/>
    <w:rsid w:val="00561552"/>
    <w:rsid w:val="00563ECD"/>
    <w:rsid w:val="00564524"/>
    <w:rsid w:val="00565EBE"/>
    <w:rsid w:val="00565EF0"/>
    <w:rsid w:val="00566CA8"/>
    <w:rsid w:val="00567090"/>
    <w:rsid w:val="00570246"/>
    <w:rsid w:val="00571848"/>
    <w:rsid w:val="00572382"/>
    <w:rsid w:val="0057327B"/>
    <w:rsid w:val="00574027"/>
    <w:rsid w:val="00574178"/>
    <w:rsid w:val="005762F0"/>
    <w:rsid w:val="00576DBB"/>
    <w:rsid w:val="005772FE"/>
    <w:rsid w:val="00577BCD"/>
    <w:rsid w:val="0058242B"/>
    <w:rsid w:val="00586BED"/>
    <w:rsid w:val="00587F43"/>
    <w:rsid w:val="00590178"/>
    <w:rsid w:val="005901D4"/>
    <w:rsid w:val="00590B7F"/>
    <w:rsid w:val="00590D8E"/>
    <w:rsid w:val="0059270A"/>
    <w:rsid w:val="00592905"/>
    <w:rsid w:val="00592BCD"/>
    <w:rsid w:val="00592C14"/>
    <w:rsid w:val="00593F83"/>
    <w:rsid w:val="0059431A"/>
    <w:rsid w:val="00595001"/>
    <w:rsid w:val="00595049"/>
    <w:rsid w:val="0059764A"/>
    <w:rsid w:val="00597B66"/>
    <w:rsid w:val="005A0B73"/>
    <w:rsid w:val="005A1694"/>
    <w:rsid w:val="005A3763"/>
    <w:rsid w:val="005A43AC"/>
    <w:rsid w:val="005A5F67"/>
    <w:rsid w:val="005A6314"/>
    <w:rsid w:val="005A704A"/>
    <w:rsid w:val="005B0A7A"/>
    <w:rsid w:val="005B0AEB"/>
    <w:rsid w:val="005B1A14"/>
    <w:rsid w:val="005B2428"/>
    <w:rsid w:val="005B3799"/>
    <w:rsid w:val="005B3C27"/>
    <w:rsid w:val="005B466C"/>
    <w:rsid w:val="005B5073"/>
    <w:rsid w:val="005B6FC7"/>
    <w:rsid w:val="005B71E8"/>
    <w:rsid w:val="005B77D5"/>
    <w:rsid w:val="005C175D"/>
    <w:rsid w:val="005C2428"/>
    <w:rsid w:val="005C2959"/>
    <w:rsid w:val="005C60F8"/>
    <w:rsid w:val="005C618C"/>
    <w:rsid w:val="005C73B9"/>
    <w:rsid w:val="005D0750"/>
    <w:rsid w:val="005D20E3"/>
    <w:rsid w:val="005D4376"/>
    <w:rsid w:val="005D4F12"/>
    <w:rsid w:val="005D63F3"/>
    <w:rsid w:val="005D6855"/>
    <w:rsid w:val="005D755F"/>
    <w:rsid w:val="005D7A23"/>
    <w:rsid w:val="005E2369"/>
    <w:rsid w:val="005E2B4B"/>
    <w:rsid w:val="005E2FF5"/>
    <w:rsid w:val="005E3DED"/>
    <w:rsid w:val="005E4BE5"/>
    <w:rsid w:val="005F08E4"/>
    <w:rsid w:val="005F0D92"/>
    <w:rsid w:val="005F2E31"/>
    <w:rsid w:val="005F4BAD"/>
    <w:rsid w:val="005F673A"/>
    <w:rsid w:val="006039D8"/>
    <w:rsid w:val="00603C34"/>
    <w:rsid w:val="0060445A"/>
    <w:rsid w:val="006058E5"/>
    <w:rsid w:val="00605943"/>
    <w:rsid w:val="006063CA"/>
    <w:rsid w:val="00607209"/>
    <w:rsid w:val="0061051C"/>
    <w:rsid w:val="00610950"/>
    <w:rsid w:val="00615CCF"/>
    <w:rsid w:val="0061664D"/>
    <w:rsid w:val="00616AA7"/>
    <w:rsid w:val="00616DBF"/>
    <w:rsid w:val="00617377"/>
    <w:rsid w:val="00623F47"/>
    <w:rsid w:val="00626181"/>
    <w:rsid w:val="00626F61"/>
    <w:rsid w:val="00630F4F"/>
    <w:rsid w:val="00631841"/>
    <w:rsid w:val="006326E2"/>
    <w:rsid w:val="006327CA"/>
    <w:rsid w:val="00635BD9"/>
    <w:rsid w:val="006363BF"/>
    <w:rsid w:val="00641660"/>
    <w:rsid w:val="00641700"/>
    <w:rsid w:val="00642154"/>
    <w:rsid w:val="00644058"/>
    <w:rsid w:val="0064483D"/>
    <w:rsid w:val="00644959"/>
    <w:rsid w:val="006457B1"/>
    <w:rsid w:val="006458A6"/>
    <w:rsid w:val="006473F6"/>
    <w:rsid w:val="00647C07"/>
    <w:rsid w:val="00650366"/>
    <w:rsid w:val="00652FC9"/>
    <w:rsid w:val="006533D9"/>
    <w:rsid w:val="006538CE"/>
    <w:rsid w:val="00653BA4"/>
    <w:rsid w:val="00653F39"/>
    <w:rsid w:val="00660C23"/>
    <w:rsid w:val="00661528"/>
    <w:rsid w:val="00661568"/>
    <w:rsid w:val="00663308"/>
    <w:rsid w:val="00664B27"/>
    <w:rsid w:val="00664DB0"/>
    <w:rsid w:val="00665DD2"/>
    <w:rsid w:val="00667777"/>
    <w:rsid w:val="006704DE"/>
    <w:rsid w:val="006734C2"/>
    <w:rsid w:val="00673E4D"/>
    <w:rsid w:val="00675DA9"/>
    <w:rsid w:val="006807A0"/>
    <w:rsid w:val="006807E7"/>
    <w:rsid w:val="00681199"/>
    <w:rsid w:val="0068187C"/>
    <w:rsid w:val="00682A2E"/>
    <w:rsid w:val="00682F94"/>
    <w:rsid w:val="00683DA0"/>
    <w:rsid w:val="00683E4E"/>
    <w:rsid w:val="00684AB2"/>
    <w:rsid w:val="0068537B"/>
    <w:rsid w:val="00685D8F"/>
    <w:rsid w:val="00686637"/>
    <w:rsid w:val="00687707"/>
    <w:rsid w:val="0068790C"/>
    <w:rsid w:val="0069084B"/>
    <w:rsid w:val="006934A2"/>
    <w:rsid w:val="00693729"/>
    <w:rsid w:val="006A0F22"/>
    <w:rsid w:val="006A3FC0"/>
    <w:rsid w:val="006A723E"/>
    <w:rsid w:val="006A7F21"/>
    <w:rsid w:val="006B1F5D"/>
    <w:rsid w:val="006B2A91"/>
    <w:rsid w:val="006B3749"/>
    <w:rsid w:val="006B3E27"/>
    <w:rsid w:val="006B51AC"/>
    <w:rsid w:val="006B5DF6"/>
    <w:rsid w:val="006B735F"/>
    <w:rsid w:val="006C0A6F"/>
    <w:rsid w:val="006C0BA4"/>
    <w:rsid w:val="006C2C63"/>
    <w:rsid w:val="006C3B2E"/>
    <w:rsid w:val="006C4D20"/>
    <w:rsid w:val="006C62CB"/>
    <w:rsid w:val="006C6A30"/>
    <w:rsid w:val="006D3FEE"/>
    <w:rsid w:val="006D524D"/>
    <w:rsid w:val="006D554D"/>
    <w:rsid w:val="006D5A43"/>
    <w:rsid w:val="006E01BA"/>
    <w:rsid w:val="006E05AC"/>
    <w:rsid w:val="006E0717"/>
    <w:rsid w:val="006E0FB0"/>
    <w:rsid w:val="006E13FF"/>
    <w:rsid w:val="006E142E"/>
    <w:rsid w:val="006E1A13"/>
    <w:rsid w:val="006E36AB"/>
    <w:rsid w:val="006E4AEC"/>
    <w:rsid w:val="006E6BC7"/>
    <w:rsid w:val="006E6C3A"/>
    <w:rsid w:val="006E718B"/>
    <w:rsid w:val="006E7286"/>
    <w:rsid w:val="006E771F"/>
    <w:rsid w:val="006F006F"/>
    <w:rsid w:val="006F0199"/>
    <w:rsid w:val="006F027E"/>
    <w:rsid w:val="006F0A93"/>
    <w:rsid w:val="006F3143"/>
    <w:rsid w:val="006F3676"/>
    <w:rsid w:val="006F7407"/>
    <w:rsid w:val="006F7C22"/>
    <w:rsid w:val="00700002"/>
    <w:rsid w:val="00700365"/>
    <w:rsid w:val="00700C50"/>
    <w:rsid w:val="007020A3"/>
    <w:rsid w:val="00702908"/>
    <w:rsid w:val="00703811"/>
    <w:rsid w:val="00704253"/>
    <w:rsid w:val="00704647"/>
    <w:rsid w:val="00704889"/>
    <w:rsid w:val="00704BAA"/>
    <w:rsid w:val="00705D14"/>
    <w:rsid w:val="0070724D"/>
    <w:rsid w:val="00707737"/>
    <w:rsid w:val="00707E7F"/>
    <w:rsid w:val="00707FF1"/>
    <w:rsid w:val="007118DC"/>
    <w:rsid w:val="00711DAB"/>
    <w:rsid w:val="00714F45"/>
    <w:rsid w:val="00716B66"/>
    <w:rsid w:val="0071774D"/>
    <w:rsid w:val="007210A4"/>
    <w:rsid w:val="00723388"/>
    <w:rsid w:val="007235CD"/>
    <w:rsid w:val="00723835"/>
    <w:rsid w:val="00723ACF"/>
    <w:rsid w:val="007251ED"/>
    <w:rsid w:val="00725F0E"/>
    <w:rsid w:val="0072711D"/>
    <w:rsid w:val="00727775"/>
    <w:rsid w:val="007277CF"/>
    <w:rsid w:val="00732971"/>
    <w:rsid w:val="007367BF"/>
    <w:rsid w:val="007371BF"/>
    <w:rsid w:val="00737722"/>
    <w:rsid w:val="00740A59"/>
    <w:rsid w:val="007417BF"/>
    <w:rsid w:val="00741BD9"/>
    <w:rsid w:val="0074226F"/>
    <w:rsid w:val="007423E0"/>
    <w:rsid w:val="00742534"/>
    <w:rsid w:val="007436E3"/>
    <w:rsid w:val="00745CF0"/>
    <w:rsid w:val="00745D32"/>
    <w:rsid w:val="00746265"/>
    <w:rsid w:val="007467B0"/>
    <w:rsid w:val="00746DC7"/>
    <w:rsid w:val="00746EEE"/>
    <w:rsid w:val="00747A2E"/>
    <w:rsid w:val="00747AF1"/>
    <w:rsid w:val="007524E0"/>
    <w:rsid w:val="00756CFA"/>
    <w:rsid w:val="00761073"/>
    <w:rsid w:val="0076581F"/>
    <w:rsid w:val="00766E80"/>
    <w:rsid w:val="00770FCE"/>
    <w:rsid w:val="00771015"/>
    <w:rsid w:val="00772D3C"/>
    <w:rsid w:val="00774278"/>
    <w:rsid w:val="00776387"/>
    <w:rsid w:val="00777773"/>
    <w:rsid w:val="0078050C"/>
    <w:rsid w:val="00780920"/>
    <w:rsid w:val="00781B58"/>
    <w:rsid w:val="00783CB3"/>
    <w:rsid w:val="007848BA"/>
    <w:rsid w:val="00786F30"/>
    <w:rsid w:val="00787FE1"/>
    <w:rsid w:val="0079008D"/>
    <w:rsid w:val="00791E9D"/>
    <w:rsid w:val="00792EFD"/>
    <w:rsid w:val="00793793"/>
    <w:rsid w:val="00795A68"/>
    <w:rsid w:val="007A0443"/>
    <w:rsid w:val="007A0652"/>
    <w:rsid w:val="007A12FF"/>
    <w:rsid w:val="007A230D"/>
    <w:rsid w:val="007A3D86"/>
    <w:rsid w:val="007B07A5"/>
    <w:rsid w:val="007B1A41"/>
    <w:rsid w:val="007B1FF8"/>
    <w:rsid w:val="007B23A3"/>
    <w:rsid w:val="007B2B11"/>
    <w:rsid w:val="007B2F50"/>
    <w:rsid w:val="007B4628"/>
    <w:rsid w:val="007C0083"/>
    <w:rsid w:val="007C0985"/>
    <w:rsid w:val="007C0B93"/>
    <w:rsid w:val="007C141E"/>
    <w:rsid w:val="007C14CE"/>
    <w:rsid w:val="007C15A7"/>
    <w:rsid w:val="007C19E7"/>
    <w:rsid w:val="007C1AC0"/>
    <w:rsid w:val="007C1BD8"/>
    <w:rsid w:val="007C2AF9"/>
    <w:rsid w:val="007C2EC4"/>
    <w:rsid w:val="007C495D"/>
    <w:rsid w:val="007C6F42"/>
    <w:rsid w:val="007D0061"/>
    <w:rsid w:val="007D09C0"/>
    <w:rsid w:val="007D1556"/>
    <w:rsid w:val="007D2C65"/>
    <w:rsid w:val="007D3794"/>
    <w:rsid w:val="007D38AD"/>
    <w:rsid w:val="007D3EAB"/>
    <w:rsid w:val="007D4D57"/>
    <w:rsid w:val="007D5660"/>
    <w:rsid w:val="007D7574"/>
    <w:rsid w:val="007E00E6"/>
    <w:rsid w:val="007E2D77"/>
    <w:rsid w:val="007E3728"/>
    <w:rsid w:val="007E6A0E"/>
    <w:rsid w:val="007F0865"/>
    <w:rsid w:val="007F1862"/>
    <w:rsid w:val="007F3ACF"/>
    <w:rsid w:val="007F6BD5"/>
    <w:rsid w:val="007F6D6A"/>
    <w:rsid w:val="0080334F"/>
    <w:rsid w:val="00804B5A"/>
    <w:rsid w:val="00805187"/>
    <w:rsid w:val="00805305"/>
    <w:rsid w:val="0080621D"/>
    <w:rsid w:val="00807AE3"/>
    <w:rsid w:val="0081012E"/>
    <w:rsid w:val="008112BD"/>
    <w:rsid w:val="00812C60"/>
    <w:rsid w:val="00812FDA"/>
    <w:rsid w:val="00813680"/>
    <w:rsid w:val="008140E8"/>
    <w:rsid w:val="00814E33"/>
    <w:rsid w:val="0081713B"/>
    <w:rsid w:val="00822747"/>
    <w:rsid w:val="00823488"/>
    <w:rsid w:val="0082399C"/>
    <w:rsid w:val="0082587B"/>
    <w:rsid w:val="00825898"/>
    <w:rsid w:val="00826276"/>
    <w:rsid w:val="00826304"/>
    <w:rsid w:val="00826DCE"/>
    <w:rsid w:val="008277DA"/>
    <w:rsid w:val="00827B8E"/>
    <w:rsid w:val="00830942"/>
    <w:rsid w:val="00830EA2"/>
    <w:rsid w:val="00832759"/>
    <w:rsid w:val="00832C88"/>
    <w:rsid w:val="00833A0D"/>
    <w:rsid w:val="008372C4"/>
    <w:rsid w:val="00837802"/>
    <w:rsid w:val="00837F27"/>
    <w:rsid w:val="00841934"/>
    <w:rsid w:val="0084239C"/>
    <w:rsid w:val="00842D20"/>
    <w:rsid w:val="00844CE6"/>
    <w:rsid w:val="008454E3"/>
    <w:rsid w:val="0084785D"/>
    <w:rsid w:val="008501CF"/>
    <w:rsid w:val="008509F5"/>
    <w:rsid w:val="00852D16"/>
    <w:rsid w:val="0085386A"/>
    <w:rsid w:val="0085508E"/>
    <w:rsid w:val="00855C8A"/>
    <w:rsid w:val="008618BE"/>
    <w:rsid w:val="008625FF"/>
    <w:rsid w:val="00862C2C"/>
    <w:rsid w:val="00863861"/>
    <w:rsid w:val="00863E2E"/>
    <w:rsid w:val="0086537E"/>
    <w:rsid w:val="00866091"/>
    <w:rsid w:val="00867219"/>
    <w:rsid w:val="00871DF0"/>
    <w:rsid w:val="008741BD"/>
    <w:rsid w:val="008768BE"/>
    <w:rsid w:val="008769D4"/>
    <w:rsid w:val="00876D43"/>
    <w:rsid w:val="00877D6C"/>
    <w:rsid w:val="00880220"/>
    <w:rsid w:val="008824F8"/>
    <w:rsid w:val="008839B4"/>
    <w:rsid w:val="008839E3"/>
    <w:rsid w:val="0088534A"/>
    <w:rsid w:val="008855A0"/>
    <w:rsid w:val="0088649F"/>
    <w:rsid w:val="00886A51"/>
    <w:rsid w:val="00887609"/>
    <w:rsid w:val="00887859"/>
    <w:rsid w:val="008902DB"/>
    <w:rsid w:val="008907C0"/>
    <w:rsid w:val="00893035"/>
    <w:rsid w:val="008935F9"/>
    <w:rsid w:val="008940A6"/>
    <w:rsid w:val="00896745"/>
    <w:rsid w:val="008A18AE"/>
    <w:rsid w:val="008A193A"/>
    <w:rsid w:val="008A2957"/>
    <w:rsid w:val="008A3BE4"/>
    <w:rsid w:val="008A4478"/>
    <w:rsid w:val="008A4F90"/>
    <w:rsid w:val="008A722B"/>
    <w:rsid w:val="008B0399"/>
    <w:rsid w:val="008B1149"/>
    <w:rsid w:val="008B1550"/>
    <w:rsid w:val="008B2007"/>
    <w:rsid w:val="008B3461"/>
    <w:rsid w:val="008B5837"/>
    <w:rsid w:val="008B6F65"/>
    <w:rsid w:val="008B7FEF"/>
    <w:rsid w:val="008C04C3"/>
    <w:rsid w:val="008C0DDA"/>
    <w:rsid w:val="008C1591"/>
    <w:rsid w:val="008C2E74"/>
    <w:rsid w:val="008C2EC5"/>
    <w:rsid w:val="008C3C57"/>
    <w:rsid w:val="008C43BA"/>
    <w:rsid w:val="008C470F"/>
    <w:rsid w:val="008C4C52"/>
    <w:rsid w:val="008C55E4"/>
    <w:rsid w:val="008C64AD"/>
    <w:rsid w:val="008C6978"/>
    <w:rsid w:val="008C7FED"/>
    <w:rsid w:val="008D3A69"/>
    <w:rsid w:val="008D3C97"/>
    <w:rsid w:val="008D3E90"/>
    <w:rsid w:val="008D4253"/>
    <w:rsid w:val="008D4A2F"/>
    <w:rsid w:val="008D68E9"/>
    <w:rsid w:val="008D70A0"/>
    <w:rsid w:val="008D7CEA"/>
    <w:rsid w:val="008E1908"/>
    <w:rsid w:val="008E19DB"/>
    <w:rsid w:val="008E36FB"/>
    <w:rsid w:val="008E52AF"/>
    <w:rsid w:val="008E547F"/>
    <w:rsid w:val="008E5DDD"/>
    <w:rsid w:val="008E627B"/>
    <w:rsid w:val="008E659F"/>
    <w:rsid w:val="008E6BB7"/>
    <w:rsid w:val="008E703D"/>
    <w:rsid w:val="008F0B3E"/>
    <w:rsid w:val="008F0C6F"/>
    <w:rsid w:val="008F279C"/>
    <w:rsid w:val="008F2B5B"/>
    <w:rsid w:val="008F2E06"/>
    <w:rsid w:val="008F4159"/>
    <w:rsid w:val="008F4532"/>
    <w:rsid w:val="008F6587"/>
    <w:rsid w:val="00900AF1"/>
    <w:rsid w:val="009015B0"/>
    <w:rsid w:val="009016A2"/>
    <w:rsid w:val="0090174E"/>
    <w:rsid w:val="00903149"/>
    <w:rsid w:val="0090337F"/>
    <w:rsid w:val="00904E5D"/>
    <w:rsid w:val="00905A8C"/>
    <w:rsid w:val="009074B8"/>
    <w:rsid w:val="00912E80"/>
    <w:rsid w:val="0092154D"/>
    <w:rsid w:val="00921E63"/>
    <w:rsid w:val="009242F4"/>
    <w:rsid w:val="009251D0"/>
    <w:rsid w:val="0092641C"/>
    <w:rsid w:val="0092644A"/>
    <w:rsid w:val="009266B6"/>
    <w:rsid w:val="009268B6"/>
    <w:rsid w:val="00926BC0"/>
    <w:rsid w:val="00930902"/>
    <w:rsid w:val="00931AFA"/>
    <w:rsid w:val="00934B49"/>
    <w:rsid w:val="009352DC"/>
    <w:rsid w:val="00937312"/>
    <w:rsid w:val="0093756D"/>
    <w:rsid w:val="00937E5B"/>
    <w:rsid w:val="009500DB"/>
    <w:rsid w:val="00952BC6"/>
    <w:rsid w:val="009538D5"/>
    <w:rsid w:val="00954466"/>
    <w:rsid w:val="009577C3"/>
    <w:rsid w:val="00960247"/>
    <w:rsid w:val="00961733"/>
    <w:rsid w:val="0096202D"/>
    <w:rsid w:val="009623BE"/>
    <w:rsid w:val="00962C70"/>
    <w:rsid w:val="0096384B"/>
    <w:rsid w:val="00963E2A"/>
    <w:rsid w:val="00964131"/>
    <w:rsid w:val="009648AC"/>
    <w:rsid w:val="00966197"/>
    <w:rsid w:val="00966F29"/>
    <w:rsid w:val="00967073"/>
    <w:rsid w:val="0097093B"/>
    <w:rsid w:val="00971C8B"/>
    <w:rsid w:val="00971CEC"/>
    <w:rsid w:val="00972F61"/>
    <w:rsid w:val="009745B8"/>
    <w:rsid w:val="00977840"/>
    <w:rsid w:val="0098005B"/>
    <w:rsid w:val="00980C14"/>
    <w:rsid w:val="00982CC2"/>
    <w:rsid w:val="00983089"/>
    <w:rsid w:val="009836E6"/>
    <w:rsid w:val="009848D3"/>
    <w:rsid w:val="0098635E"/>
    <w:rsid w:val="00986C42"/>
    <w:rsid w:val="00986E7D"/>
    <w:rsid w:val="009873CE"/>
    <w:rsid w:val="0099082C"/>
    <w:rsid w:val="00991B91"/>
    <w:rsid w:val="00991D49"/>
    <w:rsid w:val="009936C8"/>
    <w:rsid w:val="00996859"/>
    <w:rsid w:val="00996E93"/>
    <w:rsid w:val="00997096"/>
    <w:rsid w:val="009A0EBE"/>
    <w:rsid w:val="009A1420"/>
    <w:rsid w:val="009A291C"/>
    <w:rsid w:val="009A2A4B"/>
    <w:rsid w:val="009A341D"/>
    <w:rsid w:val="009A387B"/>
    <w:rsid w:val="009A5D58"/>
    <w:rsid w:val="009A5F61"/>
    <w:rsid w:val="009A6DE1"/>
    <w:rsid w:val="009A7B55"/>
    <w:rsid w:val="009B1B06"/>
    <w:rsid w:val="009B23B6"/>
    <w:rsid w:val="009B360D"/>
    <w:rsid w:val="009B3980"/>
    <w:rsid w:val="009B3C51"/>
    <w:rsid w:val="009B4513"/>
    <w:rsid w:val="009B595D"/>
    <w:rsid w:val="009B5D97"/>
    <w:rsid w:val="009C0248"/>
    <w:rsid w:val="009C0998"/>
    <w:rsid w:val="009C1FF7"/>
    <w:rsid w:val="009C4982"/>
    <w:rsid w:val="009C5460"/>
    <w:rsid w:val="009C7957"/>
    <w:rsid w:val="009C795E"/>
    <w:rsid w:val="009D0363"/>
    <w:rsid w:val="009D0437"/>
    <w:rsid w:val="009D17D0"/>
    <w:rsid w:val="009D1D47"/>
    <w:rsid w:val="009D2378"/>
    <w:rsid w:val="009D26B8"/>
    <w:rsid w:val="009D2F65"/>
    <w:rsid w:val="009D394C"/>
    <w:rsid w:val="009D3FE1"/>
    <w:rsid w:val="009D6910"/>
    <w:rsid w:val="009D6D5C"/>
    <w:rsid w:val="009D788D"/>
    <w:rsid w:val="009D7FCF"/>
    <w:rsid w:val="009E1FCA"/>
    <w:rsid w:val="009E2D31"/>
    <w:rsid w:val="009E354F"/>
    <w:rsid w:val="009E3902"/>
    <w:rsid w:val="009E6E0D"/>
    <w:rsid w:val="009E7625"/>
    <w:rsid w:val="009E7701"/>
    <w:rsid w:val="009F07AC"/>
    <w:rsid w:val="009F16F6"/>
    <w:rsid w:val="009F2329"/>
    <w:rsid w:val="009F3E1C"/>
    <w:rsid w:val="009F6279"/>
    <w:rsid w:val="009F6652"/>
    <w:rsid w:val="009F6890"/>
    <w:rsid w:val="009F7214"/>
    <w:rsid w:val="00A0050F"/>
    <w:rsid w:val="00A0063B"/>
    <w:rsid w:val="00A01AD9"/>
    <w:rsid w:val="00A02B47"/>
    <w:rsid w:val="00A0328F"/>
    <w:rsid w:val="00A03DF6"/>
    <w:rsid w:val="00A05CB0"/>
    <w:rsid w:val="00A065E6"/>
    <w:rsid w:val="00A069A3"/>
    <w:rsid w:val="00A06F76"/>
    <w:rsid w:val="00A10EA3"/>
    <w:rsid w:val="00A11256"/>
    <w:rsid w:val="00A143C2"/>
    <w:rsid w:val="00A15842"/>
    <w:rsid w:val="00A166F4"/>
    <w:rsid w:val="00A177DB"/>
    <w:rsid w:val="00A17AE7"/>
    <w:rsid w:val="00A20076"/>
    <w:rsid w:val="00A20A84"/>
    <w:rsid w:val="00A20C8B"/>
    <w:rsid w:val="00A20D8B"/>
    <w:rsid w:val="00A21440"/>
    <w:rsid w:val="00A221AD"/>
    <w:rsid w:val="00A22AF3"/>
    <w:rsid w:val="00A22FE5"/>
    <w:rsid w:val="00A238A8"/>
    <w:rsid w:val="00A23BA7"/>
    <w:rsid w:val="00A241F1"/>
    <w:rsid w:val="00A244E2"/>
    <w:rsid w:val="00A24BBE"/>
    <w:rsid w:val="00A261F9"/>
    <w:rsid w:val="00A264DA"/>
    <w:rsid w:val="00A27E21"/>
    <w:rsid w:val="00A315F1"/>
    <w:rsid w:val="00A31F46"/>
    <w:rsid w:val="00A32D69"/>
    <w:rsid w:val="00A355A9"/>
    <w:rsid w:val="00A35AE9"/>
    <w:rsid w:val="00A36060"/>
    <w:rsid w:val="00A372AB"/>
    <w:rsid w:val="00A410B6"/>
    <w:rsid w:val="00A4152C"/>
    <w:rsid w:val="00A41CF1"/>
    <w:rsid w:val="00A420EA"/>
    <w:rsid w:val="00A421ED"/>
    <w:rsid w:val="00A42FF8"/>
    <w:rsid w:val="00A43273"/>
    <w:rsid w:val="00A44F37"/>
    <w:rsid w:val="00A45045"/>
    <w:rsid w:val="00A471DD"/>
    <w:rsid w:val="00A515BE"/>
    <w:rsid w:val="00A532DA"/>
    <w:rsid w:val="00A55421"/>
    <w:rsid w:val="00A55B5E"/>
    <w:rsid w:val="00A57F4C"/>
    <w:rsid w:val="00A619ED"/>
    <w:rsid w:val="00A61E10"/>
    <w:rsid w:val="00A648B9"/>
    <w:rsid w:val="00A64E02"/>
    <w:rsid w:val="00A65444"/>
    <w:rsid w:val="00A66331"/>
    <w:rsid w:val="00A67FEB"/>
    <w:rsid w:val="00A731B7"/>
    <w:rsid w:val="00A755AC"/>
    <w:rsid w:val="00A75639"/>
    <w:rsid w:val="00A75AA8"/>
    <w:rsid w:val="00A76D5A"/>
    <w:rsid w:val="00A76F11"/>
    <w:rsid w:val="00A77398"/>
    <w:rsid w:val="00A7782D"/>
    <w:rsid w:val="00A7791D"/>
    <w:rsid w:val="00A800B7"/>
    <w:rsid w:val="00A8019F"/>
    <w:rsid w:val="00A808EA"/>
    <w:rsid w:val="00A8155D"/>
    <w:rsid w:val="00A8274A"/>
    <w:rsid w:val="00A841FE"/>
    <w:rsid w:val="00A843F1"/>
    <w:rsid w:val="00A868CF"/>
    <w:rsid w:val="00A86A5D"/>
    <w:rsid w:val="00A9210A"/>
    <w:rsid w:val="00A9390B"/>
    <w:rsid w:val="00A93B5B"/>
    <w:rsid w:val="00A93B6A"/>
    <w:rsid w:val="00AA0EFD"/>
    <w:rsid w:val="00AA0FDB"/>
    <w:rsid w:val="00AA1B38"/>
    <w:rsid w:val="00AA36AF"/>
    <w:rsid w:val="00AA46D8"/>
    <w:rsid w:val="00AB1906"/>
    <w:rsid w:val="00AB2D98"/>
    <w:rsid w:val="00AB41A7"/>
    <w:rsid w:val="00AB7941"/>
    <w:rsid w:val="00AB7EAB"/>
    <w:rsid w:val="00AC1487"/>
    <w:rsid w:val="00AC4987"/>
    <w:rsid w:val="00AC4E4D"/>
    <w:rsid w:val="00AC4F2B"/>
    <w:rsid w:val="00AC72F5"/>
    <w:rsid w:val="00AC73F1"/>
    <w:rsid w:val="00AD3F9A"/>
    <w:rsid w:val="00AD5548"/>
    <w:rsid w:val="00AD59F9"/>
    <w:rsid w:val="00AD6569"/>
    <w:rsid w:val="00AD677C"/>
    <w:rsid w:val="00AE0D79"/>
    <w:rsid w:val="00AE0EBF"/>
    <w:rsid w:val="00AE0F7A"/>
    <w:rsid w:val="00AE1332"/>
    <w:rsid w:val="00AE1346"/>
    <w:rsid w:val="00AE27BF"/>
    <w:rsid w:val="00AE4570"/>
    <w:rsid w:val="00AE5A12"/>
    <w:rsid w:val="00AE712E"/>
    <w:rsid w:val="00AE7753"/>
    <w:rsid w:val="00AF18AB"/>
    <w:rsid w:val="00AF3CA9"/>
    <w:rsid w:val="00AF432F"/>
    <w:rsid w:val="00AF4B8F"/>
    <w:rsid w:val="00AF4E9C"/>
    <w:rsid w:val="00AF778B"/>
    <w:rsid w:val="00B02D5D"/>
    <w:rsid w:val="00B0431D"/>
    <w:rsid w:val="00B04AE1"/>
    <w:rsid w:val="00B04BAB"/>
    <w:rsid w:val="00B05DE8"/>
    <w:rsid w:val="00B07A9A"/>
    <w:rsid w:val="00B07EF6"/>
    <w:rsid w:val="00B104E8"/>
    <w:rsid w:val="00B1182F"/>
    <w:rsid w:val="00B13305"/>
    <w:rsid w:val="00B1468A"/>
    <w:rsid w:val="00B16452"/>
    <w:rsid w:val="00B17353"/>
    <w:rsid w:val="00B22119"/>
    <w:rsid w:val="00B2455A"/>
    <w:rsid w:val="00B2460B"/>
    <w:rsid w:val="00B258C5"/>
    <w:rsid w:val="00B2700A"/>
    <w:rsid w:val="00B27E69"/>
    <w:rsid w:val="00B35703"/>
    <w:rsid w:val="00B359C4"/>
    <w:rsid w:val="00B35B04"/>
    <w:rsid w:val="00B37003"/>
    <w:rsid w:val="00B42224"/>
    <w:rsid w:val="00B4230F"/>
    <w:rsid w:val="00B42C3F"/>
    <w:rsid w:val="00B43CA5"/>
    <w:rsid w:val="00B43E9E"/>
    <w:rsid w:val="00B440BD"/>
    <w:rsid w:val="00B458BC"/>
    <w:rsid w:val="00B5127C"/>
    <w:rsid w:val="00B51EEE"/>
    <w:rsid w:val="00B531F9"/>
    <w:rsid w:val="00B5585F"/>
    <w:rsid w:val="00B55B46"/>
    <w:rsid w:val="00B566E3"/>
    <w:rsid w:val="00B57BAF"/>
    <w:rsid w:val="00B61EA1"/>
    <w:rsid w:val="00B63C66"/>
    <w:rsid w:val="00B6549E"/>
    <w:rsid w:val="00B65E95"/>
    <w:rsid w:val="00B67D71"/>
    <w:rsid w:val="00B701FD"/>
    <w:rsid w:val="00B72D0D"/>
    <w:rsid w:val="00B73C9C"/>
    <w:rsid w:val="00B74B40"/>
    <w:rsid w:val="00B74D55"/>
    <w:rsid w:val="00B75B4E"/>
    <w:rsid w:val="00B82870"/>
    <w:rsid w:val="00B83ABE"/>
    <w:rsid w:val="00B84577"/>
    <w:rsid w:val="00B84D3E"/>
    <w:rsid w:val="00B8512D"/>
    <w:rsid w:val="00B86533"/>
    <w:rsid w:val="00B86C0D"/>
    <w:rsid w:val="00B90A53"/>
    <w:rsid w:val="00B9279E"/>
    <w:rsid w:val="00B93E57"/>
    <w:rsid w:val="00B952B4"/>
    <w:rsid w:val="00B96E48"/>
    <w:rsid w:val="00B97A0C"/>
    <w:rsid w:val="00BA11DA"/>
    <w:rsid w:val="00BA1EBC"/>
    <w:rsid w:val="00BA29EF"/>
    <w:rsid w:val="00BA43B6"/>
    <w:rsid w:val="00BA526F"/>
    <w:rsid w:val="00BA5AC9"/>
    <w:rsid w:val="00BA5AD5"/>
    <w:rsid w:val="00BA67B5"/>
    <w:rsid w:val="00BA6845"/>
    <w:rsid w:val="00BA6875"/>
    <w:rsid w:val="00BA7C6B"/>
    <w:rsid w:val="00BB12A2"/>
    <w:rsid w:val="00BB4323"/>
    <w:rsid w:val="00BB46E0"/>
    <w:rsid w:val="00BB73CF"/>
    <w:rsid w:val="00BC0949"/>
    <w:rsid w:val="00BC179C"/>
    <w:rsid w:val="00BC39C7"/>
    <w:rsid w:val="00BC4674"/>
    <w:rsid w:val="00BC5AC5"/>
    <w:rsid w:val="00BD1B1D"/>
    <w:rsid w:val="00BD2EC2"/>
    <w:rsid w:val="00BD3D8C"/>
    <w:rsid w:val="00BD4603"/>
    <w:rsid w:val="00BD496F"/>
    <w:rsid w:val="00BD55DE"/>
    <w:rsid w:val="00BD5BFA"/>
    <w:rsid w:val="00BD6118"/>
    <w:rsid w:val="00BD75B2"/>
    <w:rsid w:val="00BE2D50"/>
    <w:rsid w:val="00BE4B59"/>
    <w:rsid w:val="00BE63EB"/>
    <w:rsid w:val="00BE7A41"/>
    <w:rsid w:val="00BF2A11"/>
    <w:rsid w:val="00BF4EC6"/>
    <w:rsid w:val="00BF538C"/>
    <w:rsid w:val="00C0404D"/>
    <w:rsid w:val="00C04AB0"/>
    <w:rsid w:val="00C055A3"/>
    <w:rsid w:val="00C05CD2"/>
    <w:rsid w:val="00C05F22"/>
    <w:rsid w:val="00C07E2A"/>
    <w:rsid w:val="00C10B3A"/>
    <w:rsid w:val="00C11837"/>
    <w:rsid w:val="00C13768"/>
    <w:rsid w:val="00C14687"/>
    <w:rsid w:val="00C167FA"/>
    <w:rsid w:val="00C1767D"/>
    <w:rsid w:val="00C21499"/>
    <w:rsid w:val="00C21516"/>
    <w:rsid w:val="00C21BA9"/>
    <w:rsid w:val="00C22F20"/>
    <w:rsid w:val="00C23A5A"/>
    <w:rsid w:val="00C25E63"/>
    <w:rsid w:val="00C269A4"/>
    <w:rsid w:val="00C30837"/>
    <w:rsid w:val="00C308DA"/>
    <w:rsid w:val="00C30934"/>
    <w:rsid w:val="00C30DB7"/>
    <w:rsid w:val="00C31CEC"/>
    <w:rsid w:val="00C31FE5"/>
    <w:rsid w:val="00C323E1"/>
    <w:rsid w:val="00C33108"/>
    <w:rsid w:val="00C33DDF"/>
    <w:rsid w:val="00C36749"/>
    <w:rsid w:val="00C374ED"/>
    <w:rsid w:val="00C40058"/>
    <w:rsid w:val="00C4023C"/>
    <w:rsid w:val="00C40A40"/>
    <w:rsid w:val="00C41D29"/>
    <w:rsid w:val="00C45351"/>
    <w:rsid w:val="00C46B88"/>
    <w:rsid w:val="00C4729F"/>
    <w:rsid w:val="00C473F8"/>
    <w:rsid w:val="00C475B0"/>
    <w:rsid w:val="00C53101"/>
    <w:rsid w:val="00C53309"/>
    <w:rsid w:val="00C56A9D"/>
    <w:rsid w:val="00C57091"/>
    <w:rsid w:val="00C57C94"/>
    <w:rsid w:val="00C63DF8"/>
    <w:rsid w:val="00C65E1D"/>
    <w:rsid w:val="00C663F3"/>
    <w:rsid w:val="00C67670"/>
    <w:rsid w:val="00C67EEE"/>
    <w:rsid w:val="00C70E89"/>
    <w:rsid w:val="00C717EB"/>
    <w:rsid w:val="00C759A6"/>
    <w:rsid w:val="00C77064"/>
    <w:rsid w:val="00C77386"/>
    <w:rsid w:val="00C81902"/>
    <w:rsid w:val="00C8354E"/>
    <w:rsid w:val="00C84AE3"/>
    <w:rsid w:val="00C86BCF"/>
    <w:rsid w:val="00C90FDB"/>
    <w:rsid w:val="00C92E52"/>
    <w:rsid w:val="00C93FF7"/>
    <w:rsid w:val="00C94153"/>
    <w:rsid w:val="00C95A23"/>
    <w:rsid w:val="00CA0573"/>
    <w:rsid w:val="00CA15A6"/>
    <w:rsid w:val="00CA1CEB"/>
    <w:rsid w:val="00CA2E0B"/>
    <w:rsid w:val="00CA43A3"/>
    <w:rsid w:val="00CA44B8"/>
    <w:rsid w:val="00CA44BE"/>
    <w:rsid w:val="00CA46CD"/>
    <w:rsid w:val="00CA4D30"/>
    <w:rsid w:val="00CA71EE"/>
    <w:rsid w:val="00CA771D"/>
    <w:rsid w:val="00CB108A"/>
    <w:rsid w:val="00CB214C"/>
    <w:rsid w:val="00CB2262"/>
    <w:rsid w:val="00CB2275"/>
    <w:rsid w:val="00CB2DA2"/>
    <w:rsid w:val="00CB4387"/>
    <w:rsid w:val="00CB4C10"/>
    <w:rsid w:val="00CB5B8F"/>
    <w:rsid w:val="00CB5CFA"/>
    <w:rsid w:val="00CB6B5E"/>
    <w:rsid w:val="00CB6C88"/>
    <w:rsid w:val="00CB6CCF"/>
    <w:rsid w:val="00CC016E"/>
    <w:rsid w:val="00CC125F"/>
    <w:rsid w:val="00CC236F"/>
    <w:rsid w:val="00CC39C4"/>
    <w:rsid w:val="00CC4D92"/>
    <w:rsid w:val="00CC4EF1"/>
    <w:rsid w:val="00CD04AA"/>
    <w:rsid w:val="00CD0F43"/>
    <w:rsid w:val="00CD3F8E"/>
    <w:rsid w:val="00CD5206"/>
    <w:rsid w:val="00CD524D"/>
    <w:rsid w:val="00CD5972"/>
    <w:rsid w:val="00CD603B"/>
    <w:rsid w:val="00CD66FB"/>
    <w:rsid w:val="00CD6FAA"/>
    <w:rsid w:val="00CD7C48"/>
    <w:rsid w:val="00CD7C89"/>
    <w:rsid w:val="00CE121B"/>
    <w:rsid w:val="00CE1CB6"/>
    <w:rsid w:val="00CE1EEB"/>
    <w:rsid w:val="00CE24F1"/>
    <w:rsid w:val="00CE34B1"/>
    <w:rsid w:val="00CE37CF"/>
    <w:rsid w:val="00CE517A"/>
    <w:rsid w:val="00CE551A"/>
    <w:rsid w:val="00CE5895"/>
    <w:rsid w:val="00CE7F12"/>
    <w:rsid w:val="00CF0639"/>
    <w:rsid w:val="00CF2601"/>
    <w:rsid w:val="00CF34D3"/>
    <w:rsid w:val="00CF5469"/>
    <w:rsid w:val="00CF6D5A"/>
    <w:rsid w:val="00CF6F32"/>
    <w:rsid w:val="00CF7062"/>
    <w:rsid w:val="00CF7070"/>
    <w:rsid w:val="00CF7583"/>
    <w:rsid w:val="00D0003D"/>
    <w:rsid w:val="00D01072"/>
    <w:rsid w:val="00D02B93"/>
    <w:rsid w:val="00D02F5F"/>
    <w:rsid w:val="00D0401C"/>
    <w:rsid w:val="00D0411E"/>
    <w:rsid w:val="00D044FF"/>
    <w:rsid w:val="00D04F15"/>
    <w:rsid w:val="00D061D8"/>
    <w:rsid w:val="00D0694C"/>
    <w:rsid w:val="00D10923"/>
    <w:rsid w:val="00D10A4C"/>
    <w:rsid w:val="00D141B5"/>
    <w:rsid w:val="00D14C23"/>
    <w:rsid w:val="00D15AB2"/>
    <w:rsid w:val="00D1708C"/>
    <w:rsid w:val="00D21D8F"/>
    <w:rsid w:val="00D23E62"/>
    <w:rsid w:val="00D249F6"/>
    <w:rsid w:val="00D24D32"/>
    <w:rsid w:val="00D24D45"/>
    <w:rsid w:val="00D253F1"/>
    <w:rsid w:val="00D25586"/>
    <w:rsid w:val="00D2785C"/>
    <w:rsid w:val="00D3015E"/>
    <w:rsid w:val="00D3149D"/>
    <w:rsid w:val="00D31DD2"/>
    <w:rsid w:val="00D35308"/>
    <w:rsid w:val="00D35D4D"/>
    <w:rsid w:val="00D36571"/>
    <w:rsid w:val="00D408B7"/>
    <w:rsid w:val="00D4096E"/>
    <w:rsid w:val="00D4161D"/>
    <w:rsid w:val="00D42425"/>
    <w:rsid w:val="00D43514"/>
    <w:rsid w:val="00D45446"/>
    <w:rsid w:val="00D45D34"/>
    <w:rsid w:val="00D45DC0"/>
    <w:rsid w:val="00D45DF9"/>
    <w:rsid w:val="00D463D6"/>
    <w:rsid w:val="00D4747E"/>
    <w:rsid w:val="00D47E16"/>
    <w:rsid w:val="00D50DA6"/>
    <w:rsid w:val="00D50EDE"/>
    <w:rsid w:val="00D51D18"/>
    <w:rsid w:val="00D52DBD"/>
    <w:rsid w:val="00D53816"/>
    <w:rsid w:val="00D54334"/>
    <w:rsid w:val="00D5557A"/>
    <w:rsid w:val="00D61000"/>
    <w:rsid w:val="00D635FB"/>
    <w:rsid w:val="00D65E89"/>
    <w:rsid w:val="00D66B3A"/>
    <w:rsid w:val="00D66E61"/>
    <w:rsid w:val="00D67D0A"/>
    <w:rsid w:val="00D67DB9"/>
    <w:rsid w:val="00D70CF6"/>
    <w:rsid w:val="00D732D2"/>
    <w:rsid w:val="00D74072"/>
    <w:rsid w:val="00D748FB"/>
    <w:rsid w:val="00D76165"/>
    <w:rsid w:val="00D7634F"/>
    <w:rsid w:val="00D76ACA"/>
    <w:rsid w:val="00D77D15"/>
    <w:rsid w:val="00D77DD5"/>
    <w:rsid w:val="00D8030F"/>
    <w:rsid w:val="00D81F67"/>
    <w:rsid w:val="00D82515"/>
    <w:rsid w:val="00D82E22"/>
    <w:rsid w:val="00D849B1"/>
    <w:rsid w:val="00D8662A"/>
    <w:rsid w:val="00D906C6"/>
    <w:rsid w:val="00D90C83"/>
    <w:rsid w:val="00D92643"/>
    <w:rsid w:val="00D92B58"/>
    <w:rsid w:val="00D93326"/>
    <w:rsid w:val="00D94F6C"/>
    <w:rsid w:val="00D956FF"/>
    <w:rsid w:val="00D9696A"/>
    <w:rsid w:val="00DA12C0"/>
    <w:rsid w:val="00DA1347"/>
    <w:rsid w:val="00DA2A0C"/>
    <w:rsid w:val="00DA5599"/>
    <w:rsid w:val="00DA6655"/>
    <w:rsid w:val="00DA7273"/>
    <w:rsid w:val="00DB109D"/>
    <w:rsid w:val="00DB2509"/>
    <w:rsid w:val="00DB325B"/>
    <w:rsid w:val="00DB4014"/>
    <w:rsid w:val="00DB62B6"/>
    <w:rsid w:val="00DB7238"/>
    <w:rsid w:val="00DB7655"/>
    <w:rsid w:val="00DC18C6"/>
    <w:rsid w:val="00DC2688"/>
    <w:rsid w:val="00DC2E16"/>
    <w:rsid w:val="00DC3967"/>
    <w:rsid w:val="00DC571F"/>
    <w:rsid w:val="00DC6C06"/>
    <w:rsid w:val="00DD1778"/>
    <w:rsid w:val="00DD183F"/>
    <w:rsid w:val="00DD19E1"/>
    <w:rsid w:val="00DD352E"/>
    <w:rsid w:val="00DD56F5"/>
    <w:rsid w:val="00DD5717"/>
    <w:rsid w:val="00DD623E"/>
    <w:rsid w:val="00DD787E"/>
    <w:rsid w:val="00DD7A8E"/>
    <w:rsid w:val="00DD7B4D"/>
    <w:rsid w:val="00DE0664"/>
    <w:rsid w:val="00DE266E"/>
    <w:rsid w:val="00DE3A97"/>
    <w:rsid w:val="00DE3C1A"/>
    <w:rsid w:val="00DE660F"/>
    <w:rsid w:val="00DE6D58"/>
    <w:rsid w:val="00DE7A11"/>
    <w:rsid w:val="00DF14C4"/>
    <w:rsid w:val="00DF14D0"/>
    <w:rsid w:val="00DF1527"/>
    <w:rsid w:val="00DF4812"/>
    <w:rsid w:val="00DF4955"/>
    <w:rsid w:val="00DF7271"/>
    <w:rsid w:val="00E02D76"/>
    <w:rsid w:val="00E04083"/>
    <w:rsid w:val="00E048EC"/>
    <w:rsid w:val="00E0682E"/>
    <w:rsid w:val="00E07559"/>
    <w:rsid w:val="00E112AA"/>
    <w:rsid w:val="00E11F17"/>
    <w:rsid w:val="00E14531"/>
    <w:rsid w:val="00E151F5"/>
    <w:rsid w:val="00E15DB9"/>
    <w:rsid w:val="00E1634C"/>
    <w:rsid w:val="00E17795"/>
    <w:rsid w:val="00E2013D"/>
    <w:rsid w:val="00E2289C"/>
    <w:rsid w:val="00E25896"/>
    <w:rsid w:val="00E26712"/>
    <w:rsid w:val="00E2772F"/>
    <w:rsid w:val="00E2791F"/>
    <w:rsid w:val="00E31B7D"/>
    <w:rsid w:val="00E32339"/>
    <w:rsid w:val="00E32824"/>
    <w:rsid w:val="00E33460"/>
    <w:rsid w:val="00E34B95"/>
    <w:rsid w:val="00E35173"/>
    <w:rsid w:val="00E36044"/>
    <w:rsid w:val="00E36AB2"/>
    <w:rsid w:val="00E41866"/>
    <w:rsid w:val="00E44103"/>
    <w:rsid w:val="00E443D3"/>
    <w:rsid w:val="00E451A8"/>
    <w:rsid w:val="00E45C36"/>
    <w:rsid w:val="00E47719"/>
    <w:rsid w:val="00E47943"/>
    <w:rsid w:val="00E51688"/>
    <w:rsid w:val="00E523A6"/>
    <w:rsid w:val="00E52E04"/>
    <w:rsid w:val="00E531F7"/>
    <w:rsid w:val="00E537C7"/>
    <w:rsid w:val="00E56012"/>
    <w:rsid w:val="00E56849"/>
    <w:rsid w:val="00E57D72"/>
    <w:rsid w:val="00E61041"/>
    <w:rsid w:val="00E613C1"/>
    <w:rsid w:val="00E630EC"/>
    <w:rsid w:val="00E64471"/>
    <w:rsid w:val="00E6455F"/>
    <w:rsid w:val="00E67483"/>
    <w:rsid w:val="00E701F1"/>
    <w:rsid w:val="00E70800"/>
    <w:rsid w:val="00E70872"/>
    <w:rsid w:val="00E72D63"/>
    <w:rsid w:val="00E7310E"/>
    <w:rsid w:val="00E739C9"/>
    <w:rsid w:val="00E74A81"/>
    <w:rsid w:val="00E74AD8"/>
    <w:rsid w:val="00E74E48"/>
    <w:rsid w:val="00E75367"/>
    <w:rsid w:val="00E75F4A"/>
    <w:rsid w:val="00E76049"/>
    <w:rsid w:val="00E777E7"/>
    <w:rsid w:val="00E80005"/>
    <w:rsid w:val="00E8004E"/>
    <w:rsid w:val="00E80D9D"/>
    <w:rsid w:val="00E848BB"/>
    <w:rsid w:val="00E8560E"/>
    <w:rsid w:val="00E8732D"/>
    <w:rsid w:val="00E87945"/>
    <w:rsid w:val="00E90438"/>
    <w:rsid w:val="00E9068D"/>
    <w:rsid w:val="00E9086A"/>
    <w:rsid w:val="00E911AC"/>
    <w:rsid w:val="00E92186"/>
    <w:rsid w:val="00E93AF8"/>
    <w:rsid w:val="00E94B90"/>
    <w:rsid w:val="00EA0788"/>
    <w:rsid w:val="00EA1A34"/>
    <w:rsid w:val="00EA2DC8"/>
    <w:rsid w:val="00EA32AA"/>
    <w:rsid w:val="00EA37DA"/>
    <w:rsid w:val="00EA5041"/>
    <w:rsid w:val="00EA730F"/>
    <w:rsid w:val="00EA78C7"/>
    <w:rsid w:val="00EB0D60"/>
    <w:rsid w:val="00EB0F97"/>
    <w:rsid w:val="00EB147F"/>
    <w:rsid w:val="00EB1F2C"/>
    <w:rsid w:val="00EB2BB6"/>
    <w:rsid w:val="00EB4239"/>
    <w:rsid w:val="00EB5C7C"/>
    <w:rsid w:val="00EB61D8"/>
    <w:rsid w:val="00EB6C24"/>
    <w:rsid w:val="00EB7179"/>
    <w:rsid w:val="00EB7A63"/>
    <w:rsid w:val="00EC16CE"/>
    <w:rsid w:val="00EC1D36"/>
    <w:rsid w:val="00EC4FC6"/>
    <w:rsid w:val="00EC5276"/>
    <w:rsid w:val="00EC5361"/>
    <w:rsid w:val="00EC5965"/>
    <w:rsid w:val="00EC633D"/>
    <w:rsid w:val="00EC6BAF"/>
    <w:rsid w:val="00ED31D8"/>
    <w:rsid w:val="00ED5848"/>
    <w:rsid w:val="00ED5BB8"/>
    <w:rsid w:val="00ED7584"/>
    <w:rsid w:val="00EE3350"/>
    <w:rsid w:val="00EE3E6F"/>
    <w:rsid w:val="00EE5816"/>
    <w:rsid w:val="00EE5EB2"/>
    <w:rsid w:val="00EE7BAA"/>
    <w:rsid w:val="00EF10A8"/>
    <w:rsid w:val="00EF133A"/>
    <w:rsid w:val="00EF37EF"/>
    <w:rsid w:val="00EF3C3D"/>
    <w:rsid w:val="00EF457D"/>
    <w:rsid w:val="00EF5F86"/>
    <w:rsid w:val="00EF6C1A"/>
    <w:rsid w:val="00EF7E7C"/>
    <w:rsid w:val="00F014E9"/>
    <w:rsid w:val="00F01C2A"/>
    <w:rsid w:val="00F0321D"/>
    <w:rsid w:val="00F03CEF"/>
    <w:rsid w:val="00F04B5B"/>
    <w:rsid w:val="00F07722"/>
    <w:rsid w:val="00F07730"/>
    <w:rsid w:val="00F07DB3"/>
    <w:rsid w:val="00F101FD"/>
    <w:rsid w:val="00F10416"/>
    <w:rsid w:val="00F116B3"/>
    <w:rsid w:val="00F11E4E"/>
    <w:rsid w:val="00F1201F"/>
    <w:rsid w:val="00F12481"/>
    <w:rsid w:val="00F17B7E"/>
    <w:rsid w:val="00F231C4"/>
    <w:rsid w:val="00F24C7E"/>
    <w:rsid w:val="00F257C1"/>
    <w:rsid w:val="00F25C82"/>
    <w:rsid w:val="00F300F3"/>
    <w:rsid w:val="00F309F2"/>
    <w:rsid w:val="00F30D1D"/>
    <w:rsid w:val="00F30FC8"/>
    <w:rsid w:val="00F315E7"/>
    <w:rsid w:val="00F33BEE"/>
    <w:rsid w:val="00F36E77"/>
    <w:rsid w:val="00F37561"/>
    <w:rsid w:val="00F41D7B"/>
    <w:rsid w:val="00F454D0"/>
    <w:rsid w:val="00F46C3D"/>
    <w:rsid w:val="00F47F08"/>
    <w:rsid w:val="00F5130C"/>
    <w:rsid w:val="00F535C6"/>
    <w:rsid w:val="00F53D2B"/>
    <w:rsid w:val="00F552B6"/>
    <w:rsid w:val="00F552EE"/>
    <w:rsid w:val="00F5705D"/>
    <w:rsid w:val="00F61102"/>
    <w:rsid w:val="00F6116F"/>
    <w:rsid w:val="00F63A2E"/>
    <w:rsid w:val="00F65932"/>
    <w:rsid w:val="00F65D59"/>
    <w:rsid w:val="00F70865"/>
    <w:rsid w:val="00F70D43"/>
    <w:rsid w:val="00F71B7B"/>
    <w:rsid w:val="00F7209A"/>
    <w:rsid w:val="00F7553F"/>
    <w:rsid w:val="00F77F27"/>
    <w:rsid w:val="00F804D3"/>
    <w:rsid w:val="00F809DC"/>
    <w:rsid w:val="00F80E7E"/>
    <w:rsid w:val="00F81143"/>
    <w:rsid w:val="00F8379E"/>
    <w:rsid w:val="00F84404"/>
    <w:rsid w:val="00F868D8"/>
    <w:rsid w:val="00F87682"/>
    <w:rsid w:val="00F87BAA"/>
    <w:rsid w:val="00F901B6"/>
    <w:rsid w:val="00F9170E"/>
    <w:rsid w:val="00F926FE"/>
    <w:rsid w:val="00F9376A"/>
    <w:rsid w:val="00FA1699"/>
    <w:rsid w:val="00FA197F"/>
    <w:rsid w:val="00FA47D8"/>
    <w:rsid w:val="00FA5A00"/>
    <w:rsid w:val="00FA6D8F"/>
    <w:rsid w:val="00FB246B"/>
    <w:rsid w:val="00FB322E"/>
    <w:rsid w:val="00FB4C7D"/>
    <w:rsid w:val="00FB63F5"/>
    <w:rsid w:val="00FB67F1"/>
    <w:rsid w:val="00FB7116"/>
    <w:rsid w:val="00FB7766"/>
    <w:rsid w:val="00FC02BF"/>
    <w:rsid w:val="00FC045E"/>
    <w:rsid w:val="00FC08EA"/>
    <w:rsid w:val="00FC156A"/>
    <w:rsid w:val="00FC1EF0"/>
    <w:rsid w:val="00FC276D"/>
    <w:rsid w:val="00FC27F5"/>
    <w:rsid w:val="00FC2CA5"/>
    <w:rsid w:val="00FC4B4C"/>
    <w:rsid w:val="00FC5215"/>
    <w:rsid w:val="00FC6AAC"/>
    <w:rsid w:val="00FD169E"/>
    <w:rsid w:val="00FD28F6"/>
    <w:rsid w:val="00FD3B30"/>
    <w:rsid w:val="00FD481B"/>
    <w:rsid w:val="00FD54E9"/>
    <w:rsid w:val="00FD55CC"/>
    <w:rsid w:val="00FD5DD9"/>
    <w:rsid w:val="00FD6DED"/>
    <w:rsid w:val="00FD72FA"/>
    <w:rsid w:val="00FD7B1A"/>
    <w:rsid w:val="00FE24CA"/>
    <w:rsid w:val="00FE2E5D"/>
    <w:rsid w:val="00FE52BB"/>
    <w:rsid w:val="00FE6525"/>
    <w:rsid w:val="00FE6D85"/>
    <w:rsid w:val="00FE7865"/>
    <w:rsid w:val="00FE78ED"/>
    <w:rsid w:val="00FF021F"/>
    <w:rsid w:val="00FF13A7"/>
    <w:rsid w:val="00FF1724"/>
    <w:rsid w:val="00FF1757"/>
    <w:rsid w:val="00FF2A33"/>
    <w:rsid w:val="00FF413A"/>
    <w:rsid w:val="00FF482A"/>
    <w:rsid w:val="00FF5666"/>
    <w:rsid w:val="00FF595A"/>
    <w:rsid w:val="01213327"/>
    <w:rsid w:val="016F51CA"/>
    <w:rsid w:val="01AD0511"/>
    <w:rsid w:val="01F25EBA"/>
    <w:rsid w:val="02061202"/>
    <w:rsid w:val="020E4D8C"/>
    <w:rsid w:val="02521120"/>
    <w:rsid w:val="0273217C"/>
    <w:rsid w:val="02852198"/>
    <w:rsid w:val="028D69D3"/>
    <w:rsid w:val="02942E16"/>
    <w:rsid w:val="029C5066"/>
    <w:rsid w:val="02F76C32"/>
    <w:rsid w:val="03592863"/>
    <w:rsid w:val="03636E84"/>
    <w:rsid w:val="036A2EF1"/>
    <w:rsid w:val="03E5328D"/>
    <w:rsid w:val="040773FD"/>
    <w:rsid w:val="042B0C4E"/>
    <w:rsid w:val="043036FA"/>
    <w:rsid w:val="047E4B2F"/>
    <w:rsid w:val="05007607"/>
    <w:rsid w:val="05016F2E"/>
    <w:rsid w:val="05B17314"/>
    <w:rsid w:val="05B824C6"/>
    <w:rsid w:val="05B82808"/>
    <w:rsid w:val="05CC75D4"/>
    <w:rsid w:val="05EC077D"/>
    <w:rsid w:val="05F21A2E"/>
    <w:rsid w:val="060C14BF"/>
    <w:rsid w:val="06181458"/>
    <w:rsid w:val="06451DC1"/>
    <w:rsid w:val="078857E6"/>
    <w:rsid w:val="07F35300"/>
    <w:rsid w:val="08607D53"/>
    <w:rsid w:val="08776AAE"/>
    <w:rsid w:val="0932116E"/>
    <w:rsid w:val="09353CDF"/>
    <w:rsid w:val="095D3BE8"/>
    <w:rsid w:val="09FC30DE"/>
    <w:rsid w:val="0A0F696E"/>
    <w:rsid w:val="0A116B8A"/>
    <w:rsid w:val="0AAE35C0"/>
    <w:rsid w:val="0B085775"/>
    <w:rsid w:val="0B6F4B54"/>
    <w:rsid w:val="0BB52F5E"/>
    <w:rsid w:val="0C7C3677"/>
    <w:rsid w:val="0D08750B"/>
    <w:rsid w:val="0D2A05DD"/>
    <w:rsid w:val="0D4B564F"/>
    <w:rsid w:val="0D5D3E94"/>
    <w:rsid w:val="0D634C74"/>
    <w:rsid w:val="0D6B2B7C"/>
    <w:rsid w:val="0D775A76"/>
    <w:rsid w:val="0DED04D9"/>
    <w:rsid w:val="0E51617F"/>
    <w:rsid w:val="0E7C14B8"/>
    <w:rsid w:val="0ECC0E94"/>
    <w:rsid w:val="0F2D50DA"/>
    <w:rsid w:val="0F56503F"/>
    <w:rsid w:val="0F6A29B1"/>
    <w:rsid w:val="0F854DD3"/>
    <w:rsid w:val="0FA10CFD"/>
    <w:rsid w:val="0FA170F3"/>
    <w:rsid w:val="0FA91EDD"/>
    <w:rsid w:val="0FB0474F"/>
    <w:rsid w:val="0FBE0420"/>
    <w:rsid w:val="0FDA5C70"/>
    <w:rsid w:val="100475D4"/>
    <w:rsid w:val="10101691"/>
    <w:rsid w:val="102A51AB"/>
    <w:rsid w:val="102B78D1"/>
    <w:rsid w:val="1090058C"/>
    <w:rsid w:val="10AA3894"/>
    <w:rsid w:val="11AE7728"/>
    <w:rsid w:val="1206631D"/>
    <w:rsid w:val="12BF17D8"/>
    <w:rsid w:val="12CA33DE"/>
    <w:rsid w:val="136C251E"/>
    <w:rsid w:val="13C70DE8"/>
    <w:rsid w:val="14857B22"/>
    <w:rsid w:val="14E35E82"/>
    <w:rsid w:val="14EE2629"/>
    <w:rsid w:val="15370A5B"/>
    <w:rsid w:val="15395566"/>
    <w:rsid w:val="153E00F7"/>
    <w:rsid w:val="15477903"/>
    <w:rsid w:val="154D68CC"/>
    <w:rsid w:val="1567174E"/>
    <w:rsid w:val="15A45A25"/>
    <w:rsid w:val="15BA0AC8"/>
    <w:rsid w:val="16021A7C"/>
    <w:rsid w:val="16B74615"/>
    <w:rsid w:val="17576D2C"/>
    <w:rsid w:val="18241D28"/>
    <w:rsid w:val="18636E02"/>
    <w:rsid w:val="18F23EC7"/>
    <w:rsid w:val="19181837"/>
    <w:rsid w:val="193A152D"/>
    <w:rsid w:val="1967175C"/>
    <w:rsid w:val="19983019"/>
    <w:rsid w:val="1A045D79"/>
    <w:rsid w:val="1A281D03"/>
    <w:rsid w:val="1ACE0BF7"/>
    <w:rsid w:val="1AE53319"/>
    <w:rsid w:val="1B1D5C78"/>
    <w:rsid w:val="1BA85F8A"/>
    <w:rsid w:val="1C634861"/>
    <w:rsid w:val="1C995575"/>
    <w:rsid w:val="1CE126D6"/>
    <w:rsid w:val="1CFD6E94"/>
    <w:rsid w:val="1CFE2DC9"/>
    <w:rsid w:val="1DB94275"/>
    <w:rsid w:val="1DC23F1B"/>
    <w:rsid w:val="1DEA52D0"/>
    <w:rsid w:val="1E3B5F12"/>
    <w:rsid w:val="1E9E050F"/>
    <w:rsid w:val="1EC9532E"/>
    <w:rsid w:val="1F2C3865"/>
    <w:rsid w:val="1F4C44BD"/>
    <w:rsid w:val="1F705984"/>
    <w:rsid w:val="1F737547"/>
    <w:rsid w:val="1FDB59C8"/>
    <w:rsid w:val="1FE25833"/>
    <w:rsid w:val="20597A77"/>
    <w:rsid w:val="206A606B"/>
    <w:rsid w:val="207E65CE"/>
    <w:rsid w:val="20A012F8"/>
    <w:rsid w:val="213D147B"/>
    <w:rsid w:val="21EE4E29"/>
    <w:rsid w:val="223A40A2"/>
    <w:rsid w:val="22646282"/>
    <w:rsid w:val="22AA045B"/>
    <w:rsid w:val="22B47F7A"/>
    <w:rsid w:val="23207BCC"/>
    <w:rsid w:val="23563407"/>
    <w:rsid w:val="23A13F46"/>
    <w:rsid w:val="23DE63FB"/>
    <w:rsid w:val="24327310"/>
    <w:rsid w:val="24AA4B55"/>
    <w:rsid w:val="24AA7567"/>
    <w:rsid w:val="25D81C6D"/>
    <w:rsid w:val="26597496"/>
    <w:rsid w:val="266210C1"/>
    <w:rsid w:val="26A20A66"/>
    <w:rsid w:val="274A29E8"/>
    <w:rsid w:val="276244A4"/>
    <w:rsid w:val="27840543"/>
    <w:rsid w:val="27B801ED"/>
    <w:rsid w:val="284D0D11"/>
    <w:rsid w:val="28610884"/>
    <w:rsid w:val="289A2FE4"/>
    <w:rsid w:val="28C775BB"/>
    <w:rsid w:val="28D53695"/>
    <w:rsid w:val="2A33127C"/>
    <w:rsid w:val="2A5D141B"/>
    <w:rsid w:val="2AA13BAE"/>
    <w:rsid w:val="2AB90326"/>
    <w:rsid w:val="2AC44DF1"/>
    <w:rsid w:val="2AE82B97"/>
    <w:rsid w:val="2B1E3717"/>
    <w:rsid w:val="2B301717"/>
    <w:rsid w:val="2B746B21"/>
    <w:rsid w:val="2BDD1D05"/>
    <w:rsid w:val="2C436FBE"/>
    <w:rsid w:val="2C6D2A49"/>
    <w:rsid w:val="2C8E59C0"/>
    <w:rsid w:val="2CAC759C"/>
    <w:rsid w:val="2CC97ED5"/>
    <w:rsid w:val="2CE83322"/>
    <w:rsid w:val="2D1325FF"/>
    <w:rsid w:val="2D5F5E3F"/>
    <w:rsid w:val="2D8A5C63"/>
    <w:rsid w:val="2DAC51CD"/>
    <w:rsid w:val="2DE97352"/>
    <w:rsid w:val="2DFE0923"/>
    <w:rsid w:val="2E921867"/>
    <w:rsid w:val="2EE360DB"/>
    <w:rsid w:val="2F2D14C0"/>
    <w:rsid w:val="2F69719C"/>
    <w:rsid w:val="2FE04785"/>
    <w:rsid w:val="2FF14483"/>
    <w:rsid w:val="2FFB7B03"/>
    <w:rsid w:val="30093CDB"/>
    <w:rsid w:val="30434506"/>
    <w:rsid w:val="30A63FC5"/>
    <w:rsid w:val="30D01D8F"/>
    <w:rsid w:val="30FD6567"/>
    <w:rsid w:val="311346E6"/>
    <w:rsid w:val="312A5631"/>
    <w:rsid w:val="316A413B"/>
    <w:rsid w:val="324B718F"/>
    <w:rsid w:val="32560D2E"/>
    <w:rsid w:val="326C0551"/>
    <w:rsid w:val="32A978FA"/>
    <w:rsid w:val="32EF7154"/>
    <w:rsid w:val="33134E71"/>
    <w:rsid w:val="333F6C02"/>
    <w:rsid w:val="33562C45"/>
    <w:rsid w:val="339A4777"/>
    <w:rsid w:val="348F0DB4"/>
    <w:rsid w:val="34CA5567"/>
    <w:rsid w:val="34CA73F2"/>
    <w:rsid w:val="34FD4FE4"/>
    <w:rsid w:val="3510699D"/>
    <w:rsid w:val="35160E6E"/>
    <w:rsid w:val="35266C07"/>
    <w:rsid w:val="35595CCB"/>
    <w:rsid w:val="3575593D"/>
    <w:rsid w:val="35B2271F"/>
    <w:rsid w:val="36222CDD"/>
    <w:rsid w:val="36243C39"/>
    <w:rsid w:val="36731685"/>
    <w:rsid w:val="36792991"/>
    <w:rsid w:val="372F1139"/>
    <w:rsid w:val="372F4164"/>
    <w:rsid w:val="373553B6"/>
    <w:rsid w:val="37711C6B"/>
    <w:rsid w:val="37722FC3"/>
    <w:rsid w:val="378E207D"/>
    <w:rsid w:val="385C5ADF"/>
    <w:rsid w:val="386549C3"/>
    <w:rsid w:val="3880166A"/>
    <w:rsid w:val="388859B9"/>
    <w:rsid w:val="389560A2"/>
    <w:rsid w:val="38EC7624"/>
    <w:rsid w:val="38F008B4"/>
    <w:rsid w:val="39A07521"/>
    <w:rsid w:val="3A4705B0"/>
    <w:rsid w:val="3A65509A"/>
    <w:rsid w:val="3A7D7C92"/>
    <w:rsid w:val="3B0C3AF6"/>
    <w:rsid w:val="3B306316"/>
    <w:rsid w:val="3B43255B"/>
    <w:rsid w:val="3B51554A"/>
    <w:rsid w:val="3B6D1748"/>
    <w:rsid w:val="3BED506F"/>
    <w:rsid w:val="3C291261"/>
    <w:rsid w:val="3C2D0D52"/>
    <w:rsid w:val="3C2F0444"/>
    <w:rsid w:val="3C3F0A85"/>
    <w:rsid w:val="3C7D6DB1"/>
    <w:rsid w:val="3C821498"/>
    <w:rsid w:val="3CDE074F"/>
    <w:rsid w:val="3D0518A2"/>
    <w:rsid w:val="3D302FDE"/>
    <w:rsid w:val="3D595B76"/>
    <w:rsid w:val="3DBD6105"/>
    <w:rsid w:val="3DF37147"/>
    <w:rsid w:val="3E284231"/>
    <w:rsid w:val="3EA117CB"/>
    <w:rsid w:val="3ECC1207"/>
    <w:rsid w:val="3EF623A8"/>
    <w:rsid w:val="3FA61332"/>
    <w:rsid w:val="400218B6"/>
    <w:rsid w:val="40463FCD"/>
    <w:rsid w:val="408475C8"/>
    <w:rsid w:val="40F24BA1"/>
    <w:rsid w:val="41BB31EF"/>
    <w:rsid w:val="41D81590"/>
    <w:rsid w:val="41F90688"/>
    <w:rsid w:val="421A1D78"/>
    <w:rsid w:val="42AE2531"/>
    <w:rsid w:val="431C1B20"/>
    <w:rsid w:val="43955664"/>
    <w:rsid w:val="43AF33C6"/>
    <w:rsid w:val="43FC537F"/>
    <w:rsid w:val="44161BB3"/>
    <w:rsid w:val="443B3088"/>
    <w:rsid w:val="446F7A2D"/>
    <w:rsid w:val="44A11E19"/>
    <w:rsid w:val="44B0290E"/>
    <w:rsid w:val="44B31568"/>
    <w:rsid w:val="45A0238F"/>
    <w:rsid w:val="45A43927"/>
    <w:rsid w:val="45B00606"/>
    <w:rsid w:val="45E36925"/>
    <w:rsid w:val="46AE0CE1"/>
    <w:rsid w:val="47242D51"/>
    <w:rsid w:val="475A2C17"/>
    <w:rsid w:val="47B516C4"/>
    <w:rsid w:val="480168AD"/>
    <w:rsid w:val="481A32B8"/>
    <w:rsid w:val="48634F9E"/>
    <w:rsid w:val="48654D5E"/>
    <w:rsid w:val="48B53952"/>
    <w:rsid w:val="48B849FB"/>
    <w:rsid w:val="48D80297"/>
    <w:rsid w:val="494F47DA"/>
    <w:rsid w:val="49586884"/>
    <w:rsid w:val="499F0DB5"/>
    <w:rsid w:val="4A151687"/>
    <w:rsid w:val="4A815A7A"/>
    <w:rsid w:val="4ABD65A1"/>
    <w:rsid w:val="4AF42DAF"/>
    <w:rsid w:val="4B1353BF"/>
    <w:rsid w:val="4BAA5483"/>
    <w:rsid w:val="4BE97051"/>
    <w:rsid w:val="4BEE5B1D"/>
    <w:rsid w:val="4C2C0034"/>
    <w:rsid w:val="4C4B6B9D"/>
    <w:rsid w:val="4C5145E8"/>
    <w:rsid w:val="4C7957B3"/>
    <w:rsid w:val="4C90124E"/>
    <w:rsid w:val="4D623203"/>
    <w:rsid w:val="4D9414A7"/>
    <w:rsid w:val="4D9673B1"/>
    <w:rsid w:val="4DAD316C"/>
    <w:rsid w:val="4DBE4D23"/>
    <w:rsid w:val="4E0D453F"/>
    <w:rsid w:val="4E8A2179"/>
    <w:rsid w:val="4E8D70D1"/>
    <w:rsid w:val="4EC07179"/>
    <w:rsid w:val="4ED21CC4"/>
    <w:rsid w:val="4F104270"/>
    <w:rsid w:val="4F5A1A06"/>
    <w:rsid w:val="4F9A44F8"/>
    <w:rsid w:val="50076159"/>
    <w:rsid w:val="502B6EFE"/>
    <w:rsid w:val="5060129E"/>
    <w:rsid w:val="51172E15"/>
    <w:rsid w:val="5167665C"/>
    <w:rsid w:val="52B606E4"/>
    <w:rsid w:val="52E53CDC"/>
    <w:rsid w:val="537C21C0"/>
    <w:rsid w:val="54037A5A"/>
    <w:rsid w:val="5406195E"/>
    <w:rsid w:val="54142C7D"/>
    <w:rsid w:val="54212301"/>
    <w:rsid w:val="54D633EA"/>
    <w:rsid w:val="5554239E"/>
    <w:rsid w:val="558C6691"/>
    <w:rsid w:val="55DF0EB7"/>
    <w:rsid w:val="56085A37"/>
    <w:rsid w:val="562D1C38"/>
    <w:rsid w:val="569C0B56"/>
    <w:rsid w:val="56A94A3C"/>
    <w:rsid w:val="56CA69E9"/>
    <w:rsid w:val="56F70C30"/>
    <w:rsid w:val="570B668C"/>
    <w:rsid w:val="570C1AA7"/>
    <w:rsid w:val="577E555C"/>
    <w:rsid w:val="579E6147"/>
    <w:rsid w:val="57B96E90"/>
    <w:rsid w:val="58307741"/>
    <w:rsid w:val="58577D69"/>
    <w:rsid w:val="59162E41"/>
    <w:rsid w:val="59266203"/>
    <w:rsid w:val="59287BE6"/>
    <w:rsid w:val="59837465"/>
    <w:rsid w:val="59BD1A93"/>
    <w:rsid w:val="59BE3F9F"/>
    <w:rsid w:val="59E16321"/>
    <w:rsid w:val="5A475142"/>
    <w:rsid w:val="5A813EFF"/>
    <w:rsid w:val="5A8251FB"/>
    <w:rsid w:val="5A884A16"/>
    <w:rsid w:val="5A887F90"/>
    <w:rsid w:val="5C0A257B"/>
    <w:rsid w:val="5C7D492D"/>
    <w:rsid w:val="5CA93FF4"/>
    <w:rsid w:val="5CAA6123"/>
    <w:rsid w:val="5D073A57"/>
    <w:rsid w:val="5E632C08"/>
    <w:rsid w:val="5E8E6FD6"/>
    <w:rsid w:val="5EAB79F7"/>
    <w:rsid w:val="5F2F7983"/>
    <w:rsid w:val="5F750196"/>
    <w:rsid w:val="5F996C7C"/>
    <w:rsid w:val="5FD16AA7"/>
    <w:rsid w:val="603D3DE2"/>
    <w:rsid w:val="604064FB"/>
    <w:rsid w:val="604A1623"/>
    <w:rsid w:val="61030D8D"/>
    <w:rsid w:val="61605660"/>
    <w:rsid w:val="619546E1"/>
    <w:rsid w:val="623311AC"/>
    <w:rsid w:val="627625A5"/>
    <w:rsid w:val="62866696"/>
    <w:rsid w:val="62B93118"/>
    <w:rsid w:val="62C2269B"/>
    <w:rsid w:val="62C42936"/>
    <w:rsid w:val="62F13FD7"/>
    <w:rsid w:val="62FD297C"/>
    <w:rsid w:val="63147CC6"/>
    <w:rsid w:val="631F7C7E"/>
    <w:rsid w:val="636E256E"/>
    <w:rsid w:val="63983799"/>
    <w:rsid w:val="640D7366"/>
    <w:rsid w:val="6452456C"/>
    <w:rsid w:val="64BB4CD6"/>
    <w:rsid w:val="64ED0087"/>
    <w:rsid w:val="64FE574A"/>
    <w:rsid w:val="652144A0"/>
    <w:rsid w:val="655373A1"/>
    <w:rsid w:val="658561E1"/>
    <w:rsid w:val="659155FE"/>
    <w:rsid w:val="65AE392B"/>
    <w:rsid w:val="66245B2A"/>
    <w:rsid w:val="66A16651"/>
    <w:rsid w:val="675936D8"/>
    <w:rsid w:val="676C6322"/>
    <w:rsid w:val="676D5B1F"/>
    <w:rsid w:val="67871CA1"/>
    <w:rsid w:val="67C023A9"/>
    <w:rsid w:val="67C02E02"/>
    <w:rsid w:val="68122C23"/>
    <w:rsid w:val="68356BB3"/>
    <w:rsid w:val="68BF5B60"/>
    <w:rsid w:val="68D42CD6"/>
    <w:rsid w:val="69712460"/>
    <w:rsid w:val="69834734"/>
    <w:rsid w:val="69B9242F"/>
    <w:rsid w:val="69C0714A"/>
    <w:rsid w:val="69D32CC4"/>
    <w:rsid w:val="69E46644"/>
    <w:rsid w:val="6A1855B8"/>
    <w:rsid w:val="6A4D243B"/>
    <w:rsid w:val="6A897740"/>
    <w:rsid w:val="6AAD7503"/>
    <w:rsid w:val="6B72252C"/>
    <w:rsid w:val="6BAF383F"/>
    <w:rsid w:val="6BD31472"/>
    <w:rsid w:val="6BE44432"/>
    <w:rsid w:val="6C157412"/>
    <w:rsid w:val="6C16685D"/>
    <w:rsid w:val="6C2C00B9"/>
    <w:rsid w:val="6C9E700E"/>
    <w:rsid w:val="6CA912A1"/>
    <w:rsid w:val="6D302E5A"/>
    <w:rsid w:val="6D370590"/>
    <w:rsid w:val="6D9A2F35"/>
    <w:rsid w:val="6DA065C0"/>
    <w:rsid w:val="6DAA5268"/>
    <w:rsid w:val="6DBC043D"/>
    <w:rsid w:val="6E1C4E5E"/>
    <w:rsid w:val="6E34769F"/>
    <w:rsid w:val="6F47680E"/>
    <w:rsid w:val="6F965839"/>
    <w:rsid w:val="6F9C49A6"/>
    <w:rsid w:val="6F9E66E4"/>
    <w:rsid w:val="6FDB5B1A"/>
    <w:rsid w:val="702E74B4"/>
    <w:rsid w:val="70322F4F"/>
    <w:rsid w:val="70375CDC"/>
    <w:rsid w:val="70447E3C"/>
    <w:rsid w:val="70BA00FF"/>
    <w:rsid w:val="70DF157B"/>
    <w:rsid w:val="713D4E81"/>
    <w:rsid w:val="71776D44"/>
    <w:rsid w:val="71A861A9"/>
    <w:rsid w:val="724452A9"/>
    <w:rsid w:val="72C86503"/>
    <w:rsid w:val="72D57472"/>
    <w:rsid w:val="72F13B80"/>
    <w:rsid w:val="736E60A2"/>
    <w:rsid w:val="737C03D2"/>
    <w:rsid w:val="73993FFB"/>
    <w:rsid w:val="739A34AF"/>
    <w:rsid w:val="73E303CF"/>
    <w:rsid w:val="74873B50"/>
    <w:rsid w:val="74A46495"/>
    <w:rsid w:val="74C02625"/>
    <w:rsid w:val="74F26C2E"/>
    <w:rsid w:val="751F360E"/>
    <w:rsid w:val="752503F6"/>
    <w:rsid w:val="7581743D"/>
    <w:rsid w:val="759B12B5"/>
    <w:rsid w:val="76422A8F"/>
    <w:rsid w:val="76B57FC7"/>
    <w:rsid w:val="76D57A8B"/>
    <w:rsid w:val="77173BCD"/>
    <w:rsid w:val="772701CF"/>
    <w:rsid w:val="77550CC7"/>
    <w:rsid w:val="77642B72"/>
    <w:rsid w:val="776C1A27"/>
    <w:rsid w:val="77A00454"/>
    <w:rsid w:val="77C2149B"/>
    <w:rsid w:val="77DD540C"/>
    <w:rsid w:val="78045F80"/>
    <w:rsid w:val="78710B12"/>
    <w:rsid w:val="78F47F26"/>
    <w:rsid w:val="790C68BA"/>
    <w:rsid w:val="796E5F2A"/>
    <w:rsid w:val="79AF6D5B"/>
    <w:rsid w:val="7A196BEB"/>
    <w:rsid w:val="7A1C5986"/>
    <w:rsid w:val="7A1C7BE9"/>
    <w:rsid w:val="7A1E6D98"/>
    <w:rsid w:val="7A2A2C56"/>
    <w:rsid w:val="7A357126"/>
    <w:rsid w:val="7A520A27"/>
    <w:rsid w:val="7A9D6AC7"/>
    <w:rsid w:val="7AD13760"/>
    <w:rsid w:val="7AE65210"/>
    <w:rsid w:val="7B1031FE"/>
    <w:rsid w:val="7B6D35FD"/>
    <w:rsid w:val="7BA9149B"/>
    <w:rsid w:val="7BC1614A"/>
    <w:rsid w:val="7C197733"/>
    <w:rsid w:val="7C2A3684"/>
    <w:rsid w:val="7C4E233E"/>
    <w:rsid w:val="7CA74A2E"/>
    <w:rsid w:val="7D272D31"/>
    <w:rsid w:val="7D2934C6"/>
    <w:rsid w:val="7DA12306"/>
    <w:rsid w:val="7E4613FB"/>
    <w:rsid w:val="7E7F4735"/>
    <w:rsid w:val="7EEB3000"/>
    <w:rsid w:val="7F013A1A"/>
    <w:rsid w:val="7F0F27B6"/>
    <w:rsid w:val="7F5F0E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qFormat="1" w:unhideWhenUsed="0" w:uiPriority="0" w:semiHidden="0"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qFormat="1" w:uiPriority="99" w:semiHidden="0" w:name="HTML Code"/>
    <w:lsdException w:qFormat="1" w:uiPriority="99" w:semiHidden="0" w:name="HTML Definition"/>
    <w:lsdException w:qFormat="1" w:uiPriority="99" w:semiHidden="0" w:name="HTML Keyboard"/>
    <w:lsdException w:qFormat="1" w:unhideWhenUsed="0" w:uiPriority="0" w:semiHidden="0" w:name="HTML Preformatted"/>
    <w:lsdException w:qFormat="1" w:uiPriority="99" w:semiHidden="0"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12"/>
    <w:autoRedefine/>
    <w:qFormat/>
    <w:uiPriority w:val="0"/>
    <w:pPr>
      <w:keepNext/>
      <w:keepLines/>
      <w:tabs>
        <w:tab w:val="left" w:pos="425"/>
      </w:tabs>
      <w:spacing w:before="624" w:beforeLines="200" w:line="360" w:lineRule="auto"/>
      <w:ind w:left="425" w:hanging="425"/>
      <w:jc w:val="left"/>
      <w:outlineLvl w:val="0"/>
    </w:pPr>
    <w:rPr>
      <w:rFonts w:ascii="Arial" w:hAnsi="Arial"/>
      <w:bCs/>
      <w:color w:val="000000"/>
      <w:kern w:val="44"/>
      <w:sz w:val="32"/>
      <w:szCs w:val="32"/>
      <w:lang w:val="pt-BR"/>
    </w:rPr>
  </w:style>
  <w:style w:type="paragraph" w:styleId="3">
    <w:name w:val="heading 2"/>
    <w:basedOn w:val="1"/>
    <w:next w:val="1"/>
    <w:link w:val="414"/>
    <w:autoRedefine/>
    <w:qFormat/>
    <w:uiPriority w:val="0"/>
    <w:pPr>
      <w:keepNext/>
      <w:keepLines/>
      <w:tabs>
        <w:tab w:val="left" w:pos="567"/>
      </w:tabs>
      <w:spacing w:line="360" w:lineRule="auto"/>
      <w:ind w:left="567" w:hanging="567"/>
      <w:outlineLvl w:val="1"/>
    </w:pPr>
    <w:rPr>
      <w:rFonts w:ascii="Arial" w:hAnsi="Arial"/>
      <w:bCs/>
      <w:color w:val="000000"/>
      <w:sz w:val="28"/>
      <w:szCs w:val="32"/>
      <w:lang w:val="pt-BR"/>
    </w:rPr>
  </w:style>
  <w:style w:type="paragraph" w:styleId="4">
    <w:name w:val="heading 3"/>
    <w:basedOn w:val="1"/>
    <w:next w:val="1"/>
    <w:link w:val="69"/>
    <w:autoRedefine/>
    <w:qFormat/>
    <w:uiPriority w:val="0"/>
    <w:pPr>
      <w:keepNext/>
      <w:keepLines/>
      <w:spacing w:before="260" w:after="260" w:line="413" w:lineRule="auto"/>
      <w:outlineLvl w:val="2"/>
    </w:pPr>
    <w:rPr>
      <w:b/>
      <w:bCs/>
      <w:sz w:val="32"/>
      <w:szCs w:val="32"/>
    </w:rPr>
  </w:style>
  <w:style w:type="paragraph" w:styleId="5">
    <w:name w:val="heading 4"/>
    <w:basedOn w:val="1"/>
    <w:next w:val="1"/>
    <w:link w:val="66"/>
    <w:autoRedefine/>
    <w:qFormat/>
    <w:uiPriority w:val="0"/>
    <w:pPr>
      <w:keepNext/>
      <w:keepLines/>
      <w:widowControl/>
      <w:tabs>
        <w:tab w:val="left" w:pos="864"/>
      </w:tabs>
      <w:spacing w:before="280" w:after="290" w:line="372" w:lineRule="auto"/>
      <w:jc w:val="left"/>
      <w:outlineLvl w:val="3"/>
    </w:pPr>
    <w:rPr>
      <w:rFonts w:ascii="Arial" w:hAnsi="Arial" w:eastAsia="黑体"/>
      <w:b/>
      <w:bCs/>
      <w:kern w:val="0"/>
      <w:sz w:val="28"/>
      <w:szCs w:val="28"/>
    </w:rPr>
  </w:style>
  <w:style w:type="paragraph" w:styleId="6">
    <w:name w:val="heading 5"/>
    <w:basedOn w:val="1"/>
    <w:next w:val="1"/>
    <w:link w:val="70"/>
    <w:autoRedefine/>
    <w:qFormat/>
    <w:uiPriority w:val="0"/>
    <w:pPr>
      <w:keepNext/>
      <w:keepLines/>
      <w:widowControl/>
      <w:tabs>
        <w:tab w:val="left" w:pos="1008"/>
      </w:tabs>
      <w:spacing w:before="280" w:after="290" w:line="372" w:lineRule="auto"/>
      <w:jc w:val="left"/>
      <w:outlineLvl w:val="4"/>
    </w:pPr>
    <w:rPr>
      <w:b/>
      <w:bCs/>
      <w:kern w:val="0"/>
      <w:sz w:val="28"/>
      <w:szCs w:val="28"/>
    </w:rPr>
  </w:style>
  <w:style w:type="paragraph" w:styleId="7">
    <w:name w:val="heading 6"/>
    <w:basedOn w:val="1"/>
    <w:next w:val="1"/>
    <w:link w:val="71"/>
    <w:autoRedefine/>
    <w:qFormat/>
    <w:uiPriority w:val="0"/>
    <w:pPr>
      <w:keepNext/>
      <w:keepLines/>
      <w:spacing w:before="240" w:after="64" w:line="317" w:lineRule="auto"/>
      <w:outlineLvl w:val="5"/>
    </w:pPr>
    <w:rPr>
      <w:rFonts w:ascii="Arial" w:hAnsi="Arial" w:eastAsia="黑体"/>
      <w:b/>
      <w:bCs/>
      <w:sz w:val="24"/>
    </w:rPr>
  </w:style>
  <w:style w:type="paragraph" w:styleId="8">
    <w:name w:val="heading 7"/>
    <w:basedOn w:val="1"/>
    <w:next w:val="1"/>
    <w:link w:val="72"/>
    <w:autoRedefine/>
    <w:qFormat/>
    <w:uiPriority w:val="0"/>
    <w:pPr>
      <w:keepNext/>
      <w:keepLines/>
      <w:widowControl/>
      <w:tabs>
        <w:tab w:val="left" w:pos="1296"/>
      </w:tabs>
      <w:spacing w:before="240" w:after="64" w:line="317" w:lineRule="auto"/>
      <w:jc w:val="left"/>
      <w:outlineLvl w:val="6"/>
    </w:pPr>
    <w:rPr>
      <w:b/>
      <w:bCs/>
      <w:kern w:val="0"/>
      <w:sz w:val="24"/>
    </w:rPr>
  </w:style>
  <w:style w:type="paragraph" w:styleId="9">
    <w:name w:val="heading 8"/>
    <w:basedOn w:val="1"/>
    <w:next w:val="1"/>
    <w:link w:val="73"/>
    <w:autoRedefine/>
    <w:qFormat/>
    <w:uiPriority w:val="0"/>
    <w:pPr>
      <w:keepNext/>
      <w:keepLines/>
      <w:widowControl/>
      <w:tabs>
        <w:tab w:val="left" w:pos="1440"/>
      </w:tabs>
      <w:spacing w:before="240" w:after="64" w:line="317" w:lineRule="auto"/>
      <w:jc w:val="left"/>
      <w:outlineLvl w:val="7"/>
    </w:pPr>
    <w:rPr>
      <w:rFonts w:ascii="Arial" w:hAnsi="Arial" w:eastAsia="黑体"/>
      <w:kern w:val="0"/>
      <w:sz w:val="24"/>
    </w:rPr>
  </w:style>
  <w:style w:type="paragraph" w:styleId="10">
    <w:name w:val="heading 9"/>
    <w:basedOn w:val="1"/>
    <w:next w:val="1"/>
    <w:link w:val="74"/>
    <w:autoRedefine/>
    <w:qFormat/>
    <w:uiPriority w:val="0"/>
    <w:pPr>
      <w:keepNext/>
      <w:keepLines/>
      <w:widowControl/>
      <w:tabs>
        <w:tab w:val="left" w:pos="1584"/>
      </w:tabs>
      <w:spacing w:before="240" w:after="64" w:line="317" w:lineRule="auto"/>
      <w:jc w:val="left"/>
      <w:outlineLvl w:val="8"/>
    </w:pPr>
    <w:rPr>
      <w:rFonts w:ascii="Arial" w:hAnsi="Arial" w:eastAsia="黑体"/>
      <w:kern w:val="0"/>
      <w:szCs w:val="21"/>
    </w:rPr>
  </w:style>
  <w:style w:type="character" w:default="1" w:styleId="52">
    <w:name w:val="Default Paragraph Font"/>
    <w:semiHidden/>
    <w:unhideWhenUsed/>
    <w:uiPriority w:val="1"/>
  </w:style>
  <w:style w:type="table" w:default="1" w:styleId="50">
    <w:name w:val="Normal Table"/>
    <w:semiHidden/>
    <w:unhideWhenUsed/>
    <w:uiPriority w:val="99"/>
    <w:tblPr>
      <w:tblCellMar>
        <w:top w:w="0" w:type="dxa"/>
        <w:left w:w="108" w:type="dxa"/>
        <w:bottom w:w="0" w:type="dxa"/>
        <w:right w:w="108" w:type="dxa"/>
      </w:tblCellMar>
    </w:tblPr>
  </w:style>
  <w:style w:type="paragraph" w:styleId="11">
    <w:name w:val="toc 7"/>
    <w:basedOn w:val="1"/>
    <w:next w:val="1"/>
    <w:autoRedefine/>
    <w:qFormat/>
    <w:uiPriority w:val="0"/>
    <w:pPr>
      <w:ind w:left="1260"/>
      <w:jc w:val="left"/>
    </w:pPr>
    <w:rPr>
      <w:szCs w:val="21"/>
    </w:rPr>
  </w:style>
  <w:style w:type="paragraph" w:styleId="12">
    <w:name w:val="table of authorities"/>
    <w:basedOn w:val="1"/>
    <w:next w:val="1"/>
    <w:autoRedefine/>
    <w:qFormat/>
    <w:uiPriority w:val="0"/>
    <w:pPr>
      <w:ind w:left="420" w:leftChars="200"/>
    </w:pPr>
  </w:style>
  <w:style w:type="paragraph" w:styleId="13">
    <w:name w:val="index 8"/>
    <w:basedOn w:val="1"/>
    <w:next w:val="1"/>
    <w:autoRedefine/>
    <w:qFormat/>
    <w:uiPriority w:val="0"/>
    <w:pPr>
      <w:ind w:left="1400" w:leftChars="1400"/>
    </w:pPr>
  </w:style>
  <w:style w:type="paragraph" w:styleId="14">
    <w:name w:val="Normal Indent"/>
    <w:basedOn w:val="1"/>
    <w:next w:val="15"/>
    <w:link w:val="75"/>
    <w:autoRedefine/>
    <w:qFormat/>
    <w:uiPriority w:val="0"/>
    <w:pPr>
      <w:ind w:firstLine="420"/>
    </w:pPr>
    <w:rPr>
      <w:szCs w:val="20"/>
    </w:rPr>
  </w:style>
  <w:style w:type="paragraph" w:styleId="15">
    <w:name w:val="Body Text First Indent 2"/>
    <w:basedOn w:val="16"/>
    <w:next w:val="18"/>
    <w:autoRedefine/>
    <w:unhideWhenUsed/>
    <w:qFormat/>
    <w:uiPriority w:val="0"/>
    <w:pPr>
      <w:ind w:firstLine="420" w:firstLineChars="200"/>
    </w:pPr>
  </w:style>
  <w:style w:type="paragraph" w:styleId="16">
    <w:name w:val="Body Text Indent"/>
    <w:basedOn w:val="1"/>
    <w:next w:val="17"/>
    <w:autoRedefine/>
    <w:qFormat/>
    <w:uiPriority w:val="0"/>
    <w:pPr>
      <w:spacing w:after="120"/>
      <w:ind w:left="420" w:leftChars="200"/>
    </w:pPr>
  </w:style>
  <w:style w:type="paragraph" w:styleId="17">
    <w:name w:val="envelope return"/>
    <w:basedOn w:val="1"/>
    <w:autoRedefine/>
    <w:qFormat/>
    <w:uiPriority w:val="0"/>
    <w:pPr>
      <w:snapToGrid w:val="0"/>
    </w:pPr>
    <w:rPr>
      <w:rFonts w:ascii="Arial" w:hAnsi="Arial"/>
    </w:rPr>
  </w:style>
  <w:style w:type="paragraph" w:styleId="18">
    <w:name w:val="Body Text First Indent"/>
    <w:basedOn w:val="19"/>
    <w:next w:val="15"/>
    <w:link w:val="90"/>
    <w:autoRedefine/>
    <w:qFormat/>
    <w:uiPriority w:val="0"/>
    <w:pPr>
      <w:ind w:firstLine="420"/>
    </w:pPr>
    <w:rPr>
      <w:szCs w:val="20"/>
    </w:rPr>
  </w:style>
  <w:style w:type="paragraph" w:styleId="19">
    <w:name w:val="Body Text"/>
    <w:basedOn w:val="1"/>
    <w:next w:val="1"/>
    <w:link w:val="79"/>
    <w:autoRedefine/>
    <w:qFormat/>
    <w:uiPriority w:val="0"/>
    <w:pPr>
      <w:spacing w:after="120"/>
    </w:pPr>
  </w:style>
  <w:style w:type="paragraph" w:styleId="20">
    <w:name w:val="caption"/>
    <w:basedOn w:val="1"/>
    <w:next w:val="1"/>
    <w:autoRedefine/>
    <w:qFormat/>
    <w:uiPriority w:val="0"/>
    <w:rPr>
      <w:rFonts w:ascii="Cambria" w:hAnsi="Cambria" w:eastAsia="黑体"/>
      <w:sz w:val="20"/>
      <w:szCs w:val="20"/>
    </w:rPr>
  </w:style>
  <w:style w:type="paragraph" w:styleId="21">
    <w:name w:val="Document Map"/>
    <w:basedOn w:val="1"/>
    <w:link w:val="76"/>
    <w:autoRedefine/>
    <w:qFormat/>
    <w:uiPriority w:val="0"/>
    <w:rPr>
      <w:rFonts w:ascii="宋体"/>
      <w:sz w:val="18"/>
      <w:szCs w:val="18"/>
    </w:rPr>
  </w:style>
  <w:style w:type="paragraph" w:styleId="22">
    <w:name w:val="annotation text"/>
    <w:basedOn w:val="1"/>
    <w:link w:val="77"/>
    <w:autoRedefine/>
    <w:qFormat/>
    <w:uiPriority w:val="0"/>
    <w:pPr>
      <w:jc w:val="left"/>
    </w:pPr>
  </w:style>
  <w:style w:type="paragraph" w:styleId="23">
    <w:name w:val="Body Text 3"/>
    <w:basedOn w:val="1"/>
    <w:link w:val="78"/>
    <w:autoRedefine/>
    <w:qFormat/>
    <w:uiPriority w:val="0"/>
    <w:pPr>
      <w:spacing w:line="240" w:lineRule="exact"/>
    </w:pPr>
    <w:rPr>
      <w:rFonts w:ascii="宋体" w:hAnsi="宋体"/>
      <w:color w:val="000000"/>
      <w:szCs w:val="21"/>
    </w:rPr>
  </w:style>
  <w:style w:type="paragraph" w:styleId="24">
    <w:name w:val="Block Text"/>
    <w:basedOn w:val="1"/>
    <w:autoRedefine/>
    <w:qFormat/>
    <w:uiPriority w:val="0"/>
    <w:pPr>
      <w:spacing w:after="120"/>
      <w:ind w:left="1440" w:leftChars="700" w:right="1440" w:rightChars="700"/>
    </w:pPr>
  </w:style>
  <w:style w:type="paragraph" w:styleId="25">
    <w:name w:val="toc 5"/>
    <w:basedOn w:val="1"/>
    <w:next w:val="1"/>
    <w:autoRedefine/>
    <w:qFormat/>
    <w:uiPriority w:val="0"/>
    <w:pPr>
      <w:ind w:left="840"/>
      <w:jc w:val="left"/>
    </w:pPr>
    <w:rPr>
      <w:szCs w:val="21"/>
    </w:rPr>
  </w:style>
  <w:style w:type="paragraph" w:styleId="26">
    <w:name w:val="toc 3"/>
    <w:basedOn w:val="1"/>
    <w:next w:val="1"/>
    <w:autoRedefine/>
    <w:qFormat/>
    <w:uiPriority w:val="0"/>
    <w:pPr>
      <w:ind w:left="840" w:leftChars="400"/>
    </w:pPr>
    <w:rPr>
      <w:rFonts w:ascii="Calibri" w:hAnsi="Calibri"/>
      <w:szCs w:val="22"/>
    </w:rPr>
  </w:style>
  <w:style w:type="paragraph" w:styleId="27">
    <w:name w:val="Plain Text"/>
    <w:basedOn w:val="1"/>
    <w:next w:val="5"/>
    <w:autoRedefine/>
    <w:qFormat/>
    <w:uiPriority w:val="0"/>
    <w:rPr>
      <w:rFonts w:ascii="宋体" w:hAnsi="Courier New"/>
      <w:szCs w:val="20"/>
    </w:rPr>
  </w:style>
  <w:style w:type="paragraph" w:styleId="28">
    <w:name w:val="toc 8"/>
    <w:basedOn w:val="1"/>
    <w:next w:val="1"/>
    <w:autoRedefine/>
    <w:qFormat/>
    <w:uiPriority w:val="0"/>
    <w:pPr>
      <w:ind w:left="1470"/>
      <w:jc w:val="left"/>
    </w:pPr>
    <w:rPr>
      <w:szCs w:val="21"/>
    </w:rPr>
  </w:style>
  <w:style w:type="paragraph" w:styleId="29">
    <w:name w:val="Date"/>
    <w:basedOn w:val="1"/>
    <w:next w:val="1"/>
    <w:link w:val="80"/>
    <w:autoRedefine/>
    <w:qFormat/>
    <w:uiPriority w:val="0"/>
    <w:pPr>
      <w:widowControl/>
      <w:tabs>
        <w:tab w:val="left" w:pos="600"/>
        <w:tab w:val="left" w:pos="960"/>
        <w:tab w:val="left" w:pos="1080"/>
      </w:tabs>
      <w:overflowPunct w:val="0"/>
      <w:spacing w:after="260" w:line="220" w:lineRule="atLeast"/>
      <w:ind w:left="835" w:right="28" w:firstLine="480"/>
      <w:jc w:val="right"/>
    </w:pPr>
    <w:rPr>
      <w:rFonts w:ascii="宋体" w:hAnsi="宋体"/>
      <w:kern w:val="0"/>
      <w:sz w:val="24"/>
      <w:szCs w:val="20"/>
    </w:rPr>
  </w:style>
  <w:style w:type="paragraph" w:styleId="30">
    <w:name w:val="Body Text Indent 2"/>
    <w:basedOn w:val="1"/>
    <w:link w:val="81"/>
    <w:autoRedefine/>
    <w:qFormat/>
    <w:uiPriority w:val="0"/>
    <w:pPr>
      <w:spacing w:after="120" w:line="480" w:lineRule="auto"/>
      <w:ind w:left="420" w:leftChars="200"/>
    </w:pPr>
    <w:rPr>
      <w:rFonts w:ascii="Calibri" w:hAnsi="Calibri"/>
      <w:szCs w:val="22"/>
    </w:rPr>
  </w:style>
  <w:style w:type="paragraph" w:styleId="31">
    <w:name w:val="Balloon Text"/>
    <w:basedOn w:val="1"/>
    <w:link w:val="82"/>
    <w:autoRedefine/>
    <w:qFormat/>
    <w:uiPriority w:val="0"/>
    <w:rPr>
      <w:sz w:val="18"/>
      <w:szCs w:val="18"/>
    </w:rPr>
  </w:style>
  <w:style w:type="paragraph" w:styleId="32">
    <w:name w:val="footer"/>
    <w:basedOn w:val="1"/>
    <w:next w:val="1"/>
    <w:autoRedefine/>
    <w:qFormat/>
    <w:uiPriority w:val="0"/>
    <w:pPr>
      <w:tabs>
        <w:tab w:val="center" w:pos="4140"/>
        <w:tab w:val="right" w:pos="8300"/>
      </w:tabs>
      <w:snapToGrid w:val="0"/>
      <w:jc w:val="left"/>
    </w:pPr>
    <w:rPr>
      <w:sz w:val="18"/>
      <w:szCs w:val="18"/>
    </w:rPr>
  </w:style>
  <w:style w:type="paragraph" w:styleId="33">
    <w:name w:val="header"/>
    <w:basedOn w:val="1"/>
    <w:link w:val="83"/>
    <w:autoRedefine/>
    <w:qFormat/>
    <w:uiPriority w:val="0"/>
    <w:pPr>
      <w:pBdr>
        <w:bottom w:val="single" w:color="auto" w:sz="6" w:space="1"/>
      </w:pBdr>
      <w:tabs>
        <w:tab w:val="center" w:pos="4153"/>
        <w:tab w:val="right" w:pos="8306"/>
      </w:tabs>
      <w:snapToGrid w:val="0"/>
      <w:jc w:val="center"/>
    </w:pPr>
    <w:rPr>
      <w:sz w:val="18"/>
      <w:szCs w:val="18"/>
    </w:rPr>
  </w:style>
  <w:style w:type="paragraph" w:styleId="34">
    <w:name w:val="Signature"/>
    <w:basedOn w:val="1"/>
    <w:link w:val="84"/>
    <w:autoRedefine/>
    <w:qFormat/>
    <w:uiPriority w:val="0"/>
    <w:pPr>
      <w:ind w:left="4320"/>
    </w:pPr>
    <w:rPr>
      <w:rFonts w:eastAsia="楷体_GB2312"/>
      <w:szCs w:val="20"/>
    </w:rPr>
  </w:style>
  <w:style w:type="paragraph" w:styleId="35">
    <w:name w:val="toc 1"/>
    <w:basedOn w:val="1"/>
    <w:next w:val="1"/>
    <w:autoRedefine/>
    <w:qFormat/>
    <w:uiPriority w:val="39"/>
    <w:rPr>
      <w:rFonts w:ascii="Calibri" w:hAnsi="Calibri"/>
      <w:szCs w:val="22"/>
    </w:rPr>
  </w:style>
  <w:style w:type="paragraph" w:styleId="36">
    <w:name w:val="toc 4"/>
    <w:basedOn w:val="1"/>
    <w:next w:val="1"/>
    <w:autoRedefine/>
    <w:qFormat/>
    <w:uiPriority w:val="0"/>
    <w:pPr>
      <w:ind w:left="1260"/>
    </w:pPr>
    <w:rPr>
      <w:szCs w:val="20"/>
    </w:rPr>
  </w:style>
  <w:style w:type="paragraph" w:styleId="37">
    <w:name w:val="index heading"/>
    <w:basedOn w:val="1"/>
    <w:next w:val="38"/>
    <w:autoRedefine/>
    <w:qFormat/>
    <w:uiPriority w:val="0"/>
    <w:pPr>
      <w:spacing w:line="360" w:lineRule="auto"/>
      <w:ind w:firstLine="482"/>
    </w:pPr>
    <w:rPr>
      <w:rFonts w:ascii="Footlight MT Light" w:hAnsi="Footlight MT Light"/>
      <w:sz w:val="24"/>
      <w:szCs w:val="20"/>
    </w:rPr>
  </w:style>
  <w:style w:type="paragraph" w:styleId="38">
    <w:name w:val="index 1"/>
    <w:basedOn w:val="1"/>
    <w:next w:val="1"/>
    <w:autoRedefine/>
    <w:qFormat/>
    <w:uiPriority w:val="0"/>
    <w:pPr>
      <w:jc w:val="left"/>
    </w:pPr>
  </w:style>
  <w:style w:type="paragraph" w:styleId="39">
    <w:name w:val="toc 6"/>
    <w:basedOn w:val="1"/>
    <w:next w:val="1"/>
    <w:autoRedefine/>
    <w:qFormat/>
    <w:uiPriority w:val="0"/>
    <w:pPr>
      <w:ind w:left="1050"/>
      <w:jc w:val="left"/>
    </w:pPr>
    <w:rPr>
      <w:szCs w:val="21"/>
    </w:rPr>
  </w:style>
  <w:style w:type="paragraph" w:styleId="40">
    <w:name w:val="Body Text Indent 3"/>
    <w:basedOn w:val="1"/>
    <w:link w:val="85"/>
    <w:autoRedefine/>
    <w:qFormat/>
    <w:uiPriority w:val="0"/>
    <w:pPr>
      <w:spacing w:after="120"/>
      <w:ind w:left="420" w:leftChars="200"/>
    </w:pPr>
    <w:rPr>
      <w:sz w:val="16"/>
      <w:szCs w:val="16"/>
    </w:rPr>
  </w:style>
  <w:style w:type="paragraph" w:styleId="41">
    <w:name w:val="index 9"/>
    <w:next w:val="1"/>
    <w:autoRedefine/>
    <w:qFormat/>
    <w:uiPriority w:val="0"/>
    <w:pPr>
      <w:widowControl w:val="0"/>
      <w:ind w:left="3360"/>
      <w:jc w:val="both"/>
    </w:pPr>
    <w:rPr>
      <w:rFonts w:ascii="Times New Roman" w:hAnsi="Times New Roman" w:eastAsia="宋体" w:cs="Times New Roman"/>
      <w:kern w:val="2"/>
      <w:sz w:val="21"/>
      <w:szCs w:val="24"/>
      <w:lang w:val="en-US" w:eastAsia="zh-CN" w:bidi="ar-SA"/>
    </w:rPr>
  </w:style>
  <w:style w:type="paragraph" w:styleId="42">
    <w:name w:val="toc 2"/>
    <w:basedOn w:val="1"/>
    <w:next w:val="1"/>
    <w:autoRedefine/>
    <w:qFormat/>
    <w:uiPriority w:val="39"/>
    <w:pPr>
      <w:ind w:left="420" w:leftChars="200"/>
    </w:pPr>
    <w:rPr>
      <w:szCs w:val="20"/>
    </w:rPr>
  </w:style>
  <w:style w:type="paragraph" w:styleId="43">
    <w:name w:val="toc 9"/>
    <w:basedOn w:val="1"/>
    <w:next w:val="1"/>
    <w:autoRedefine/>
    <w:qFormat/>
    <w:uiPriority w:val="0"/>
    <w:pPr>
      <w:ind w:left="1680"/>
      <w:jc w:val="left"/>
    </w:pPr>
    <w:rPr>
      <w:szCs w:val="21"/>
    </w:rPr>
  </w:style>
  <w:style w:type="paragraph" w:styleId="44">
    <w:name w:val="Body Text 2"/>
    <w:basedOn w:val="1"/>
    <w:link w:val="86"/>
    <w:autoRedefine/>
    <w:qFormat/>
    <w:uiPriority w:val="0"/>
    <w:rPr>
      <w:sz w:val="28"/>
      <w:szCs w:val="20"/>
    </w:rPr>
  </w:style>
  <w:style w:type="paragraph" w:styleId="45">
    <w:name w:val="List 4"/>
    <w:basedOn w:val="1"/>
    <w:autoRedefine/>
    <w:qFormat/>
    <w:uiPriority w:val="0"/>
    <w:pPr>
      <w:ind w:left="100" w:leftChars="600" w:hanging="200" w:hangingChars="200"/>
    </w:pPr>
  </w:style>
  <w:style w:type="paragraph" w:styleId="46">
    <w:name w:val="HTML Preformatted"/>
    <w:basedOn w:val="1"/>
    <w:link w:val="87"/>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7">
    <w:name w:val="Normal (Web)"/>
    <w:basedOn w:val="1"/>
    <w:autoRedefine/>
    <w:qFormat/>
    <w:uiPriority w:val="0"/>
    <w:pPr>
      <w:widowControl/>
      <w:spacing w:before="100" w:beforeAutospacing="1" w:after="100" w:afterAutospacing="1"/>
      <w:jc w:val="left"/>
    </w:pPr>
    <w:rPr>
      <w:rFonts w:ascii="宋体" w:hAnsi="宋体"/>
      <w:kern w:val="0"/>
      <w:sz w:val="24"/>
      <w:szCs w:val="20"/>
    </w:rPr>
  </w:style>
  <w:style w:type="paragraph" w:styleId="48">
    <w:name w:val="Title"/>
    <w:basedOn w:val="1"/>
    <w:next w:val="1"/>
    <w:link w:val="88"/>
    <w:autoRedefine/>
    <w:qFormat/>
    <w:uiPriority w:val="0"/>
    <w:pPr>
      <w:spacing w:before="240" w:after="60"/>
      <w:jc w:val="center"/>
      <w:outlineLvl w:val="0"/>
    </w:pPr>
    <w:rPr>
      <w:rFonts w:ascii="等线 Light" w:hAnsi="等线 Light"/>
      <w:b/>
      <w:bCs/>
      <w:sz w:val="32"/>
      <w:szCs w:val="32"/>
    </w:rPr>
  </w:style>
  <w:style w:type="paragraph" w:styleId="49">
    <w:name w:val="annotation subject"/>
    <w:basedOn w:val="22"/>
    <w:next w:val="22"/>
    <w:link w:val="89"/>
    <w:autoRedefine/>
    <w:qFormat/>
    <w:uiPriority w:val="0"/>
    <w:rPr>
      <w:b/>
      <w:bCs/>
    </w:rPr>
  </w:style>
  <w:style w:type="table" w:styleId="51">
    <w:name w:val="Table Grid"/>
    <w:basedOn w:val="50"/>
    <w:autoRedefine/>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autoRedefine/>
    <w:qFormat/>
    <w:uiPriority w:val="0"/>
    <w:rPr>
      <w:rFonts w:ascii="Times New Roman" w:hAnsi="Times New Roman" w:eastAsia="宋体" w:cs="Times New Roman"/>
      <w:b/>
      <w:bCs/>
    </w:rPr>
  </w:style>
  <w:style w:type="character" w:styleId="54">
    <w:name w:val="page number"/>
    <w:autoRedefine/>
    <w:qFormat/>
    <w:uiPriority w:val="0"/>
    <w:rPr>
      <w:rFonts w:ascii="Times New Roman" w:hAnsi="Times New Roman" w:eastAsia="宋体" w:cs="Times New Roman"/>
    </w:rPr>
  </w:style>
  <w:style w:type="character" w:styleId="55">
    <w:name w:val="FollowedHyperlink"/>
    <w:autoRedefine/>
    <w:qFormat/>
    <w:uiPriority w:val="0"/>
    <w:rPr>
      <w:rFonts w:ascii="Times New Roman" w:hAnsi="Times New Roman" w:eastAsia="宋体" w:cs="Times New Roman"/>
      <w:color w:val="800080"/>
      <w:u w:val="single"/>
    </w:rPr>
  </w:style>
  <w:style w:type="character" w:styleId="56">
    <w:name w:val="Emphasis"/>
    <w:autoRedefine/>
    <w:qFormat/>
    <w:uiPriority w:val="0"/>
    <w:rPr>
      <w:rFonts w:ascii="Times New Roman" w:hAnsi="Times New Roman" w:eastAsia="宋体" w:cs="Times New Roman"/>
      <w:color w:val="CC0000"/>
      <w:sz w:val="24"/>
      <w:szCs w:val="24"/>
    </w:rPr>
  </w:style>
  <w:style w:type="character" w:styleId="57">
    <w:name w:val="line number"/>
    <w:autoRedefine/>
    <w:qFormat/>
    <w:uiPriority w:val="0"/>
    <w:rPr>
      <w:rFonts w:ascii="Times New Roman" w:hAnsi="Times New Roman" w:eastAsia="宋体" w:cs="Times New Roman"/>
    </w:rPr>
  </w:style>
  <w:style w:type="character" w:styleId="58">
    <w:name w:val="HTML Definition"/>
    <w:basedOn w:val="52"/>
    <w:autoRedefine/>
    <w:unhideWhenUsed/>
    <w:qFormat/>
    <w:uiPriority w:val="99"/>
    <w:rPr>
      <w:i/>
      <w:iCs/>
    </w:rPr>
  </w:style>
  <w:style w:type="character" w:styleId="59">
    <w:name w:val="Hyperlink"/>
    <w:autoRedefine/>
    <w:qFormat/>
    <w:uiPriority w:val="99"/>
    <w:rPr>
      <w:rFonts w:ascii="Times New Roman" w:hAnsi="Times New Roman" w:eastAsia="宋体" w:cs="Times New Roman"/>
      <w:color w:val="0000FF"/>
      <w:u w:val="single"/>
    </w:rPr>
  </w:style>
  <w:style w:type="character" w:styleId="60">
    <w:name w:val="HTML Code"/>
    <w:basedOn w:val="52"/>
    <w:autoRedefine/>
    <w:unhideWhenUsed/>
    <w:qFormat/>
    <w:uiPriority w:val="99"/>
    <w:rPr>
      <w:rFonts w:ascii="Consolas" w:hAnsi="Consolas" w:eastAsia="Consolas" w:cs="Consolas"/>
      <w:sz w:val="21"/>
      <w:szCs w:val="21"/>
    </w:rPr>
  </w:style>
  <w:style w:type="character" w:styleId="61">
    <w:name w:val="annotation reference"/>
    <w:autoRedefine/>
    <w:qFormat/>
    <w:uiPriority w:val="0"/>
    <w:rPr>
      <w:rFonts w:ascii="Times New Roman" w:hAnsi="Times New Roman" w:eastAsia="宋体" w:cs="Times New Roman"/>
      <w:sz w:val="21"/>
      <w:szCs w:val="21"/>
    </w:rPr>
  </w:style>
  <w:style w:type="character" w:styleId="62">
    <w:name w:val="HTML Keyboard"/>
    <w:basedOn w:val="52"/>
    <w:autoRedefine/>
    <w:unhideWhenUsed/>
    <w:qFormat/>
    <w:uiPriority w:val="99"/>
    <w:rPr>
      <w:rFonts w:hint="default" w:ascii="Consolas" w:hAnsi="Consolas" w:eastAsia="Consolas" w:cs="Consolas"/>
      <w:sz w:val="21"/>
      <w:szCs w:val="21"/>
    </w:rPr>
  </w:style>
  <w:style w:type="character" w:styleId="63">
    <w:name w:val="HTML Sample"/>
    <w:basedOn w:val="52"/>
    <w:autoRedefine/>
    <w:unhideWhenUsed/>
    <w:qFormat/>
    <w:uiPriority w:val="99"/>
    <w:rPr>
      <w:rFonts w:hint="default" w:ascii="Consolas" w:hAnsi="Consolas" w:eastAsia="Consolas" w:cs="Consolas"/>
      <w:sz w:val="21"/>
      <w:szCs w:val="21"/>
    </w:rPr>
  </w:style>
  <w:style w:type="paragraph" w:customStyle="1" w:styleId="64">
    <w:name w:val="**正文"/>
    <w:basedOn w:val="1"/>
    <w:qFormat/>
    <w:uiPriority w:val="0"/>
    <w:pPr>
      <w:ind w:firstLine="482"/>
    </w:pPr>
    <w:rPr>
      <w:rFonts w:ascii="宋体" w:hAnsi="宋体"/>
      <w:sz w:val="24"/>
    </w:rPr>
  </w:style>
  <w:style w:type="paragraph" w:customStyle="1" w:styleId="65">
    <w:name w:val="UserStyle_0"/>
    <w:basedOn w:val="1"/>
    <w:autoRedefine/>
    <w:qFormat/>
    <w:uiPriority w:val="0"/>
    <w:pPr>
      <w:jc w:val="left"/>
      <w:textAlignment w:val="baseline"/>
    </w:pPr>
    <w:rPr>
      <w:rFonts w:ascii="楷体_GB2312" w:hAnsi="宋体" w:eastAsia="楷体_GB2312"/>
      <w:color w:val="000000"/>
      <w:sz w:val="24"/>
    </w:rPr>
  </w:style>
  <w:style w:type="character" w:customStyle="1" w:styleId="66">
    <w:name w:val="标题 4 字符"/>
    <w:link w:val="5"/>
    <w:autoRedefine/>
    <w:qFormat/>
    <w:uiPriority w:val="0"/>
    <w:rPr>
      <w:rFonts w:ascii="Arial" w:hAnsi="Arial" w:eastAsia="黑体" w:cs="Times New Roman"/>
      <w:b/>
      <w:bCs/>
      <w:sz w:val="28"/>
      <w:szCs w:val="28"/>
    </w:rPr>
  </w:style>
  <w:style w:type="character" w:customStyle="1" w:styleId="67">
    <w:name w:val="标题 1 字符1"/>
    <w:autoRedefine/>
    <w:qFormat/>
    <w:uiPriority w:val="0"/>
    <w:rPr>
      <w:rFonts w:ascii="Arial" w:hAnsi="Arial" w:eastAsia="宋体" w:cs="Times New Roman"/>
      <w:bCs/>
      <w:color w:val="000000"/>
      <w:kern w:val="44"/>
      <w:sz w:val="32"/>
      <w:szCs w:val="32"/>
      <w:lang w:val="pt-BR"/>
    </w:rPr>
  </w:style>
  <w:style w:type="character" w:customStyle="1" w:styleId="68">
    <w:name w:val="标题 2 字符1"/>
    <w:autoRedefine/>
    <w:qFormat/>
    <w:uiPriority w:val="0"/>
    <w:rPr>
      <w:rFonts w:ascii="Arial" w:hAnsi="Arial" w:eastAsia="宋体" w:cs="Times New Roman"/>
      <w:bCs/>
      <w:color w:val="000000"/>
      <w:kern w:val="2"/>
      <w:sz w:val="28"/>
      <w:szCs w:val="32"/>
      <w:lang w:val="pt-BR"/>
    </w:rPr>
  </w:style>
  <w:style w:type="character" w:customStyle="1" w:styleId="69">
    <w:name w:val="标题 3 字符1"/>
    <w:link w:val="4"/>
    <w:autoRedefine/>
    <w:qFormat/>
    <w:uiPriority w:val="0"/>
    <w:rPr>
      <w:rFonts w:ascii="Times New Roman" w:hAnsi="Times New Roman" w:eastAsia="宋体" w:cs="Times New Roman"/>
      <w:b/>
      <w:bCs/>
      <w:kern w:val="2"/>
      <w:sz w:val="32"/>
      <w:szCs w:val="32"/>
    </w:rPr>
  </w:style>
  <w:style w:type="character" w:customStyle="1" w:styleId="70">
    <w:name w:val="标题 5 字符"/>
    <w:link w:val="6"/>
    <w:autoRedefine/>
    <w:qFormat/>
    <w:uiPriority w:val="0"/>
    <w:rPr>
      <w:rFonts w:ascii="Times New Roman" w:hAnsi="Times New Roman" w:eastAsia="宋体" w:cs="Times New Roman"/>
      <w:b/>
      <w:bCs/>
      <w:sz w:val="28"/>
      <w:szCs w:val="28"/>
    </w:rPr>
  </w:style>
  <w:style w:type="character" w:customStyle="1" w:styleId="71">
    <w:name w:val="标题 6 字符1"/>
    <w:link w:val="7"/>
    <w:autoRedefine/>
    <w:qFormat/>
    <w:uiPriority w:val="0"/>
    <w:rPr>
      <w:rFonts w:ascii="Arial" w:hAnsi="Arial" w:eastAsia="黑体" w:cs="Times New Roman"/>
      <w:b/>
      <w:bCs/>
      <w:kern w:val="2"/>
      <w:sz w:val="24"/>
      <w:szCs w:val="24"/>
      <w:lang w:val="en-US" w:eastAsia="zh-CN" w:bidi="ar-SA"/>
    </w:rPr>
  </w:style>
  <w:style w:type="character" w:customStyle="1" w:styleId="72">
    <w:name w:val="标题 7 字符"/>
    <w:link w:val="8"/>
    <w:autoRedefine/>
    <w:qFormat/>
    <w:uiPriority w:val="0"/>
    <w:rPr>
      <w:rFonts w:ascii="Times New Roman" w:hAnsi="Times New Roman" w:eastAsia="宋体" w:cs="Times New Roman"/>
      <w:b/>
      <w:bCs/>
      <w:sz w:val="24"/>
      <w:szCs w:val="24"/>
    </w:rPr>
  </w:style>
  <w:style w:type="character" w:customStyle="1" w:styleId="73">
    <w:name w:val="标题 8 字符"/>
    <w:link w:val="9"/>
    <w:autoRedefine/>
    <w:qFormat/>
    <w:uiPriority w:val="0"/>
    <w:rPr>
      <w:rFonts w:ascii="Arial" w:hAnsi="Arial" w:eastAsia="黑体" w:cs="Times New Roman"/>
      <w:sz w:val="24"/>
      <w:szCs w:val="24"/>
    </w:rPr>
  </w:style>
  <w:style w:type="character" w:customStyle="1" w:styleId="74">
    <w:name w:val="标题 9 字符"/>
    <w:link w:val="10"/>
    <w:autoRedefine/>
    <w:qFormat/>
    <w:uiPriority w:val="0"/>
    <w:rPr>
      <w:rFonts w:ascii="Arial" w:hAnsi="Arial" w:eastAsia="黑体" w:cs="Times New Roman"/>
      <w:sz w:val="21"/>
      <w:szCs w:val="21"/>
    </w:rPr>
  </w:style>
  <w:style w:type="character" w:customStyle="1" w:styleId="75">
    <w:name w:val="正文缩进 字符"/>
    <w:link w:val="14"/>
    <w:autoRedefine/>
    <w:qFormat/>
    <w:uiPriority w:val="0"/>
    <w:rPr>
      <w:rFonts w:ascii="Times New Roman" w:hAnsi="Times New Roman" w:eastAsia="宋体" w:cs="Times New Roman"/>
      <w:kern w:val="2"/>
      <w:sz w:val="21"/>
    </w:rPr>
  </w:style>
  <w:style w:type="character" w:customStyle="1" w:styleId="76">
    <w:name w:val="文档结构图 字符2"/>
    <w:link w:val="21"/>
    <w:autoRedefine/>
    <w:qFormat/>
    <w:uiPriority w:val="0"/>
    <w:rPr>
      <w:rFonts w:ascii="宋体" w:hAnsi="Times New Roman" w:eastAsia="宋体" w:cs="Times New Roman"/>
      <w:kern w:val="2"/>
      <w:sz w:val="18"/>
      <w:szCs w:val="18"/>
    </w:rPr>
  </w:style>
  <w:style w:type="character" w:customStyle="1" w:styleId="77">
    <w:name w:val="批注文字 字符3"/>
    <w:link w:val="22"/>
    <w:autoRedefine/>
    <w:qFormat/>
    <w:uiPriority w:val="0"/>
    <w:rPr>
      <w:rFonts w:ascii="Times New Roman" w:hAnsi="Times New Roman" w:eastAsia="宋体" w:cs="Times New Roman"/>
      <w:kern w:val="2"/>
      <w:sz w:val="21"/>
      <w:szCs w:val="24"/>
    </w:rPr>
  </w:style>
  <w:style w:type="character" w:customStyle="1" w:styleId="78">
    <w:name w:val="正文文本 3 字符"/>
    <w:link w:val="23"/>
    <w:autoRedefine/>
    <w:qFormat/>
    <w:uiPriority w:val="0"/>
    <w:rPr>
      <w:rFonts w:ascii="宋体" w:hAnsi="宋体" w:eastAsia="宋体" w:cs="Times New Roman"/>
      <w:color w:val="000000"/>
      <w:kern w:val="2"/>
      <w:sz w:val="21"/>
      <w:szCs w:val="21"/>
    </w:rPr>
  </w:style>
  <w:style w:type="character" w:customStyle="1" w:styleId="79">
    <w:name w:val="正文文本 字符1"/>
    <w:link w:val="19"/>
    <w:autoRedefine/>
    <w:qFormat/>
    <w:uiPriority w:val="0"/>
    <w:rPr>
      <w:rFonts w:ascii="Times New Roman" w:hAnsi="Times New Roman" w:eastAsia="宋体" w:cs="Times New Roman"/>
      <w:kern w:val="2"/>
      <w:sz w:val="21"/>
      <w:szCs w:val="24"/>
    </w:rPr>
  </w:style>
  <w:style w:type="character" w:customStyle="1" w:styleId="80">
    <w:name w:val="日期 字符1"/>
    <w:link w:val="29"/>
    <w:autoRedefine/>
    <w:qFormat/>
    <w:uiPriority w:val="0"/>
    <w:rPr>
      <w:rFonts w:ascii="宋体" w:hAnsi="宋体" w:eastAsia="宋体" w:cs="Times New Roman"/>
      <w:sz w:val="24"/>
    </w:rPr>
  </w:style>
  <w:style w:type="character" w:customStyle="1" w:styleId="81">
    <w:name w:val="正文文本缩进 2 字符"/>
    <w:link w:val="30"/>
    <w:autoRedefine/>
    <w:qFormat/>
    <w:uiPriority w:val="0"/>
    <w:rPr>
      <w:rFonts w:ascii="Calibri" w:hAnsi="Calibri" w:eastAsia="宋体" w:cs="Times New Roman"/>
      <w:kern w:val="2"/>
      <w:sz w:val="21"/>
      <w:szCs w:val="22"/>
    </w:rPr>
  </w:style>
  <w:style w:type="character" w:customStyle="1" w:styleId="82">
    <w:name w:val="批注框文本 字符1"/>
    <w:link w:val="31"/>
    <w:autoRedefine/>
    <w:qFormat/>
    <w:uiPriority w:val="0"/>
    <w:rPr>
      <w:rFonts w:ascii="Times New Roman" w:hAnsi="Times New Roman" w:eastAsia="宋体" w:cs="Times New Roman"/>
      <w:kern w:val="2"/>
      <w:sz w:val="18"/>
      <w:szCs w:val="18"/>
    </w:rPr>
  </w:style>
  <w:style w:type="character" w:customStyle="1" w:styleId="83">
    <w:name w:val="页眉 字符1"/>
    <w:link w:val="33"/>
    <w:autoRedefine/>
    <w:qFormat/>
    <w:uiPriority w:val="0"/>
    <w:rPr>
      <w:rFonts w:ascii="Times New Roman" w:hAnsi="Times New Roman" w:eastAsia="宋体" w:cs="Times New Roman"/>
      <w:kern w:val="2"/>
      <w:sz w:val="18"/>
      <w:szCs w:val="18"/>
    </w:rPr>
  </w:style>
  <w:style w:type="character" w:customStyle="1" w:styleId="84">
    <w:name w:val="签名 字符1"/>
    <w:link w:val="34"/>
    <w:autoRedefine/>
    <w:qFormat/>
    <w:uiPriority w:val="0"/>
    <w:rPr>
      <w:rFonts w:ascii="Times New Roman" w:hAnsi="Times New Roman" w:eastAsia="楷体_GB2312" w:cs="Times New Roman"/>
      <w:kern w:val="2"/>
      <w:sz w:val="21"/>
    </w:rPr>
  </w:style>
  <w:style w:type="character" w:customStyle="1" w:styleId="85">
    <w:name w:val="正文文本缩进 3 字符"/>
    <w:link w:val="40"/>
    <w:autoRedefine/>
    <w:qFormat/>
    <w:uiPriority w:val="0"/>
    <w:rPr>
      <w:rFonts w:ascii="Times New Roman" w:hAnsi="Times New Roman" w:eastAsia="宋体" w:cs="Times New Roman"/>
      <w:kern w:val="2"/>
      <w:sz w:val="16"/>
      <w:szCs w:val="16"/>
    </w:rPr>
  </w:style>
  <w:style w:type="character" w:customStyle="1" w:styleId="86">
    <w:name w:val="正文文本 2 字符1"/>
    <w:link w:val="44"/>
    <w:autoRedefine/>
    <w:qFormat/>
    <w:uiPriority w:val="0"/>
    <w:rPr>
      <w:rFonts w:ascii="Times New Roman" w:hAnsi="Times New Roman" w:eastAsia="宋体" w:cs="Times New Roman"/>
      <w:kern w:val="2"/>
      <w:sz w:val="28"/>
    </w:rPr>
  </w:style>
  <w:style w:type="character" w:customStyle="1" w:styleId="87">
    <w:name w:val="HTML 预设格式 字符1"/>
    <w:link w:val="46"/>
    <w:autoRedefine/>
    <w:qFormat/>
    <w:uiPriority w:val="0"/>
    <w:rPr>
      <w:rFonts w:ascii="黑体" w:hAnsi="Courier New" w:eastAsia="黑体" w:cs="Times New Roman"/>
    </w:rPr>
  </w:style>
  <w:style w:type="character" w:customStyle="1" w:styleId="88">
    <w:name w:val="标题 字符"/>
    <w:link w:val="48"/>
    <w:autoRedefine/>
    <w:qFormat/>
    <w:uiPriority w:val="0"/>
    <w:rPr>
      <w:rFonts w:ascii="等线 Light" w:hAnsi="等线 Light" w:eastAsia="宋体" w:cs="Times New Roman"/>
      <w:b/>
      <w:bCs/>
      <w:kern w:val="2"/>
      <w:sz w:val="32"/>
      <w:szCs w:val="32"/>
    </w:rPr>
  </w:style>
  <w:style w:type="character" w:customStyle="1" w:styleId="89">
    <w:name w:val="批注主题 字符1"/>
    <w:link w:val="49"/>
    <w:autoRedefine/>
    <w:qFormat/>
    <w:uiPriority w:val="0"/>
    <w:rPr>
      <w:rFonts w:ascii="Times New Roman" w:hAnsi="Times New Roman" w:eastAsia="宋体" w:cs="Times New Roman"/>
      <w:b/>
      <w:bCs/>
      <w:kern w:val="2"/>
      <w:sz w:val="21"/>
      <w:szCs w:val="24"/>
    </w:rPr>
  </w:style>
  <w:style w:type="character" w:customStyle="1" w:styleId="90">
    <w:name w:val="正文文本首行缩进 字符"/>
    <w:link w:val="18"/>
    <w:autoRedefine/>
    <w:qFormat/>
    <w:uiPriority w:val="0"/>
    <w:rPr>
      <w:rFonts w:ascii="Times New Roman" w:hAnsi="Times New Roman" w:eastAsia="宋体" w:cs="Times New Roman"/>
      <w:kern w:val="2"/>
      <w:sz w:val="21"/>
    </w:rPr>
  </w:style>
  <w:style w:type="character" w:customStyle="1" w:styleId="91">
    <w:name w:val="文档结构图 字符1"/>
    <w:autoRedefine/>
    <w:qFormat/>
    <w:uiPriority w:val="0"/>
    <w:rPr>
      <w:rFonts w:ascii="Times New Roman" w:hAnsi="Times New Roman" w:eastAsia="宋体" w:cs="Times New Roman"/>
      <w:kern w:val="2"/>
      <w:sz w:val="21"/>
      <w:szCs w:val="24"/>
      <w:shd w:val="clear" w:color="auto" w:fill="000080"/>
    </w:rPr>
  </w:style>
  <w:style w:type="character" w:customStyle="1" w:styleId="92">
    <w:name w:val="bfd_price_new"/>
    <w:autoRedefine/>
    <w:qFormat/>
    <w:uiPriority w:val="0"/>
    <w:rPr>
      <w:rFonts w:ascii="Times New Roman" w:hAnsi="Times New Roman" w:eastAsia="宋体" w:cs="Times New Roman"/>
      <w:color w:val="D71249"/>
      <w:sz w:val="21"/>
      <w:szCs w:val="21"/>
    </w:rPr>
  </w:style>
  <w:style w:type="character" w:customStyle="1" w:styleId="93">
    <w:name w:val="fontstyle01"/>
    <w:autoRedefine/>
    <w:qFormat/>
    <w:uiPriority w:val="0"/>
    <w:rPr>
      <w:rFonts w:hint="eastAsia" w:ascii="宋体" w:hAnsi="宋体" w:eastAsia="宋体" w:cs="Times New Roman"/>
      <w:color w:val="000000"/>
      <w:sz w:val="22"/>
      <w:szCs w:val="22"/>
    </w:rPr>
  </w:style>
  <w:style w:type="character" w:customStyle="1" w:styleId="94">
    <w:name w:val="font61"/>
    <w:basedOn w:val="52"/>
    <w:autoRedefine/>
    <w:qFormat/>
    <w:uiPriority w:val="0"/>
    <w:rPr>
      <w:rFonts w:hint="eastAsia" w:ascii="宋体" w:hAnsi="宋体" w:eastAsia="宋体" w:cs="宋体"/>
      <w:color w:val="000000"/>
      <w:sz w:val="22"/>
      <w:szCs w:val="22"/>
      <w:u w:val="none"/>
    </w:rPr>
  </w:style>
  <w:style w:type="character" w:customStyle="1" w:styleId="95">
    <w:name w:val="文档结构图 字符"/>
    <w:autoRedefine/>
    <w:qFormat/>
    <w:uiPriority w:val="0"/>
    <w:rPr>
      <w:rFonts w:ascii="Microsoft YaHei UI" w:hAnsi="Times New Roman" w:eastAsia="Microsoft YaHei UI" w:cs="Times New Roman"/>
      <w:kern w:val="2"/>
      <w:sz w:val="18"/>
      <w:szCs w:val="18"/>
    </w:rPr>
  </w:style>
  <w:style w:type="character" w:customStyle="1" w:styleId="96">
    <w:name w:val="文档结构图 Char1"/>
    <w:autoRedefine/>
    <w:qFormat/>
    <w:uiPriority w:val="0"/>
    <w:rPr>
      <w:rFonts w:ascii="宋体" w:hAnsi="Times New Roman" w:eastAsia="宋体" w:cs="Times New Roman"/>
      <w:sz w:val="18"/>
      <w:szCs w:val="18"/>
    </w:rPr>
  </w:style>
  <w:style w:type="character" w:customStyle="1" w:styleId="97">
    <w:name w:val="正文首行缩进 字符"/>
    <w:autoRedefine/>
    <w:qFormat/>
    <w:uiPriority w:val="0"/>
    <w:rPr>
      <w:rFonts w:ascii="Times New Roman" w:hAnsi="Times New Roman" w:eastAsia="宋体" w:cs="Times New Roman"/>
      <w:kern w:val="2"/>
      <w:sz w:val="21"/>
      <w:szCs w:val="24"/>
    </w:rPr>
  </w:style>
  <w:style w:type="character" w:customStyle="1" w:styleId="98">
    <w:name w:val="标题 1 字符"/>
    <w:autoRedefine/>
    <w:qFormat/>
    <w:uiPriority w:val="0"/>
    <w:rPr>
      <w:rFonts w:ascii="Times New Roman" w:hAnsi="Times New Roman" w:eastAsia="宋体" w:cs="Times New Roman"/>
      <w:b/>
      <w:bCs/>
      <w:kern w:val="44"/>
      <w:sz w:val="44"/>
      <w:szCs w:val="44"/>
    </w:rPr>
  </w:style>
  <w:style w:type="character" w:customStyle="1" w:styleId="99">
    <w:name w:val="标题 9 Char"/>
    <w:autoRedefine/>
    <w:qFormat/>
    <w:uiPriority w:val="0"/>
    <w:rPr>
      <w:rFonts w:ascii="Cambria" w:hAnsi="Cambria" w:eastAsia="宋体" w:cs="Times New Roman"/>
      <w:kern w:val="2"/>
      <w:sz w:val="21"/>
      <w:szCs w:val="21"/>
    </w:rPr>
  </w:style>
  <w:style w:type="character" w:customStyle="1" w:styleId="100">
    <w:name w:val="A正文小四 Char Char"/>
    <w:link w:val="101"/>
    <w:autoRedefine/>
    <w:qFormat/>
    <w:uiPriority w:val="0"/>
    <w:rPr>
      <w:rFonts w:ascii="宋体" w:hAnsi="宋体" w:eastAsia="宋体" w:cs="Times New Roman"/>
      <w:kern w:val="2"/>
      <w:sz w:val="24"/>
      <w:szCs w:val="22"/>
    </w:rPr>
  </w:style>
  <w:style w:type="paragraph" w:customStyle="1" w:styleId="101">
    <w:name w:val="A正文小四"/>
    <w:basedOn w:val="1"/>
    <w:link w:val="100"/>
    <w:autoRedefine/>
    <w:qFormat/>
    <w:uiPriority w:val="0"/>
    <w:pPr>
      <w:spacing w:line="360" w:lineRule="auto"/>
      <w:ind w:firstLine="425" w:firstLineChars="177"/>
    </w:pPr>
    <w:rPr>
      <w:rFonts w:ascii="宋体" w:hAnsi="宋体"/>
      <w:sz w:val="24"/>
      <w:szCs w:val="22"/>
    </w:rPr>
  </w:style>
  <w:style w:type="character" w:customStyle="1" w:styleId="102">
    <w:name w:val="标题 8 Char"/>
    <w:autoRedefine/>
    <w:qFormat/>
    <w:uiPriority w:val="0"/>
    <w:rPr>
      <w:rFonts w:ascii="Cambria" w:hAnsi="Cambria" w:eastAsia="宋体" w:cs="Times New Roman"/>
      <w:kern w:val="2"/>
      <w:sz w:val="24"/>
      <w:szCs w:val="24"/>
    </w:rPr>
  </w:style>
  <w:style w:type="character" w:customStyle="1" w:styleId="103">
    <w:name w:val="签名 字符"/>
    <w:autoRedefine/>
    <w:qFormat/>
    <w:uiPriority w:val="0"/>
    <w:rPr>
      <w:rFonts w:ascii="Times New Roman" w:hAnsi="Times New Roman" w:eastAsia="宋体" w:cs="Times New Roman"/>
      <w:kern w:val="2"/>
      <w:sz w:val="21"/>
      <w:szCs w:val="24"/>
    </w:rPr>
  </w:style>
  <w:style w:type="character" w:customStyle="1" w:styleId="104">
    <w:name w:val="font51"/>
    <w:autoRedefine/>
    <w:qFormat/>
    <w:uiPriority w:val="0"/>
    <w:rPr>
      <w:rFonts w:hint="eastAsia" w:ascii="宋体" w:hAnsi="宋体" w:eastAsia="宋体" w:cs="宋体"/>
      <w:color w:val="000000"/>
      <w:sz w:val="24"/>
      <w:szCs w:val="24"/>
      <w:u w:val="none"/>
    </w:rPr>
  </w:style>
  <w:style w:type="character" w:customStyle="1" w:styleId="105">
    <w:name w:val="正文文本 Char2"/>
    <w:autoRedefine/>
    <w:qFormat/>
    <w:uiPriority w:val="0"/>
    <w:rPr>
      <w:rFonts w:ascii="Times New Roman" w:hAnsi="Times New Roman" w:eastAsia="宋体" w:cs="Times New Roman"/>
      <w:szCs w:val="24"/>
    </w:rPr>
  </w:style>
  <w:style w:type="character" w:customStyle="1" w:styleId="106">
    <w:name w:val="正文文本缩进 2 Char2"/>
    <w:autoRedefine/>
    <w:qFormat/>
    <w:uiPriority w:val="0"/>
    <w:rPr>
      <w:rFonts w:ascii="Times New Roman" w:hAnsi="Times New Roman" w:eastAsia="宋体" w:cs="Times New Roman"/>
      <w:szCs w:val="24"/>
    </w:rPr>
  </w:style>
  <w:style w:type="character" w:customStyle="1" w:styleId="107">
    <w:name w:val="font21"/>
    <w:basedOn w:val="52"/>
    <w:autoRedefine/>
    <w:qFormat/>
    <w:uiPriority w:val="0"/>
    <w:rPr>
      <w:rFonts w:hint="eastAsia" w:ascii="宋体" w:hAnsi="宋体" w:eastAsia="宋体" w:cs="宋体"/>
      <w:color w:val="000000"/>
      <w:sz w:val="22"/>
      <w:szCs w:val="22"/>
      <w:u w:val="none"/>
    </w:rPr>
  </w:style>
  <w:style w:type="character" w:customStyle="1" w:styleId="108">
    <w:name w:val="标题 2 字符"/>
    <w:autoRedefine/>
    <w:qFormat/>
    <w:uiPriority w:val="0"/>
    <w:rPr>
      <w:rFonts w:ascii="等线 Light" w:hAnsi="等线 Light" w:eastAsia="等线 Light" w:cs="Times New Roman"/>
      <w:b/>
      <w:bCs/>
      <w:kern w:val="2"/>
      <w:sz w:val="32"/>
      <w:szCs w:val="32"/>
    </w:rPr>
  </w:style>
  <w:style w:type="character" w:customStyle="1" w:styleId="109">
    <w:name w:val="批注文字 字符"/>
    <w:autoRedefine/>
    <w:qFormat/>
    <w:uiPriority w:val="0"/>
    <w:rPr>
      <w:rFonts w:ascii="Times New Roman" w:hAnsi="Times New Roman" w:eastAsia="宋体" w:cs="Times New Roman"/>
    </w:rPr>
  </w:style>
  <w:style w:type="character" w:customStyle="1" w:styleId="110">
    <w:name w:val="ant-radio+*"/>
    <w:basedOn w:val="52"/>
    <w:autoRedefine/>
    <w:qFormat/>
    <w:uiPriority w:val="0"/>
  </w:style>
  <w:style w:type="character" w:customStyle="1" w:styleId="111">
    <w:name w:val="普通文字 Char Char2"/>
    <w:autoRedefine/>
    <w:qFormat/>
    <w:uiPriority w:val="0"/>
    <w:rPr>
      <w:rFonts w:ascii="宋体" w:hAnsi="Courier New" w:eastAsia="宋体" w:cs="Times New Roman"/>
      <w:kern w:val="2"/>
      <w:sz w:val="21"/>
      <w:lang w:val="en-US" w:eastAsia="zh-CN"/>
    </w:rPr>
  </w:style>
  <w:style w:type="character" w:customStyle="1" w:styleId="112">
    <w:name w:val="unnamed21"/>
    <w:autoRedefine/>
    <w:qFormat/>
    <w:uiPriority w:val="0"/>
    <w:rPr>
      <w:rFonts w:ascii="Times New Roman" w:hAnsi="Times New Roman" w:eastAsia="宋体" w:cs="Times New Roman"/>
      <w:color w:val="CC6633"/>
      <w:u w:val="none"/>
    </w:rPr>
  </w:style>
  <w:style w:type="character" w:customStyle="1" w:styleId="113">
    <w:name w:val="正文文本缩进 2 Char"/>
    <w:autoRedefine/>
    <w:qFormat/>
    <w:uiPriority w:val="0"/>
    <w:rPr>
      <w:rFonts w:ascii="Times New Roman" w:hAnsi="Times New Roman" w:eastAsia="宋体" w:cs="Times New Roman"/>
      <w:kern w:val="2"/>
      <w:sz w:val="21"/>
      <w:szCs w:val="24"/>
    </w:rPr>
  </w:style>
  <w:style w:type="character" w:customStyle="1" w:styleId="114">
    <w:name w:val="href-title"/>
    <w:basedOn w:val="52"/>
    <w:autoRedefine/>
    <w:qFormat/>
    <w:uiPriority w:val="0"/>
  </w:style>
  <w:style w:type="character" w:customStyle="1" w:styleId="115">
    <w:name w:val="标题 6 字符"/>
    <w:autoRedefine/>
    <w:qFormat/>
    <w:uiPriority w:val="0"/>
    <w:rPr>
      <w:rFonts w:ascii="Arial" w:hAnsi="Arial" w:eastAsia="黑体" w:cs="Times New Roman"/>
      <w:b/>
      <w:bCs/>
      <w:kern w:val="2"/>
      <w:sz w:val="24"/>
      <w:szCs w:val="24"/>
    </w:rPr>
  </w:style>
  <w:style w:type="character" w:customStyle="1" w:styleId="116">
    <w:name w:val="正文文本缩进 3 Char2"/>
    <w:autoRedefine/>
    <w:qFormat/>
    <w:uiPriority w:val="0"/>
    <w:rPr>
      <w:rFonts w:ascii="Times New Roman" w:hAnsi="Times New Roman" w:eastAsia="宋体" w:cs="Times New Roman"/>
      <w:sz w:val="16"/>
      <w:szCs w:val="16"/>
    </w:rPr>
  </w:style>
  <w:style w:type="character" w:customStyle="1" w:styleId="117">
    <w:name w:val="year"/>
    <w:basedOn w:val="52"/>
    <w:autoRedefine/>
    <w:qFormat/>
    <w:uiPriority w:val="0"/>
  </w:style>
  <w:style w:type="character" w:customStyle="1" w:styleId="118">
    <w:name w:val="正文文本缩进 字符"/>
    <w:autoRedefine/>
    <w:qFormat/>
    <w:uiPriority w:val="0"/>
    <w:rPr>
      <w:rFonts w:ascii="Times New Roman" w:hAnsi="Times New Roman" w:eastAsia="宋体" w:cs="Times New Roman"/>
      <w:kern w:val="2"/>
      <w:sz w:val="21"/>
      <w:szCs w:val="24"/>
    </w:rPr>
  </w:style>
  <w:style w:type="character" w:customStyle="1" w:styleId="119">
    <w:name w:val="HTML 预设格式 字符"/>
    <w:autoRedefine/>
    <w:qFormat/>
    <w:uiPriority w:val="0"/>
    <w:rPr>
      <w:rFonts w:ascii="Courier New" w:hAnsi="Courier New" w:eastAsia="宋体" w:cs="Courier New"/>
      <w:kern w:val="2"/>
    </w:rPr>
  </w:style>
  <w:style w:type="character" w:customStyle="1" w:styleId="120">
    <w:name w:val="ant-select-tree-switcher"/>
    <w:basedOn w:val="52"/>
    <w:autoRedefine/>
    <w:qFormat/>
    <w:uiPriority w:val="0"/>
  </w:style>
  <w:style w:type="character" w:customStyle="1" w:styleId="121">
    <w:name w:val="正文文本 2 Char"/>
    <w:autoRedefine/>
    <w:qFormat/>
    <w:uiPriority w:val="0"/>
    <w:rPr>
      <w:rFonts w:ascii="Times New Roman" w:hAnsi="Times New Roman" w:eastAsia="宋体" w:cs="Times New Roman"/>
      <w:kern w:val="2"/>
      <w:sz w:val="21"/>
      <w:szCs w:val="24"/>
    </w:rPr>
  </w:style>
  <w:style w:type="character" w:customStyle="1" w:styleId="122">
    <w:name w:val="small"/>
    <w:basedOn w:val="52"/>
    <w:autoRedefine/>
    <w:qFormat/>
    <w:uiPriority w:val="0"/>
    <w:rPr>
      <w:color w:val="197AFF"/>
      <w:sz w:val="18"/>
      <w:szCs w:val="18"/>
    </w:rPr>
  </w:style>
  <w:style w:type="character" w:customStyle="1" w:styleId="123">
    <w:name w:val="bfd_price_new2"/>
    <w:autoRedefine/>
    <w:qFormat/>
    <w:uiPriority w:val="0"/>
    <w:rPr>
      <w:rFonts w:ascii="Times New Roman" w:hAnsi="Times New Roman" w:eastAsia="宋体" w:cs="Times New Roman"/>
      <w:color w:val="D71249"/>
    </w:rPr>
  </w:style>
  <w:style w:type="character" w:customStyle="1" w:styleId="124">
    <w:name w:val="批注文字 字符2"/>
    <w:autoRedefine/>
    <w:qFormat/>
    <w:uiPriority w:val="0"/>
    <w:rPr>
      <w:rFonts w:ascii="Times New Roman" w:hAnsi="Times New Roman" w:eastAsia="宋体" w:cs="Times New Roman"/>
      <w:kern w:val="2"/>
      <w:sz w:val="21"/>
      <w:szCs w:val="24"/>
    </w:rPr>
  </w:style>
  <w:style w:type="character" w:customStyle="1" w:styleId="125">
    <w:name w:val="纯文本 字符1"/>
    <w:autoRedefine/>
    <w:qFormat/>
    <w:uiPriority w:val="0"/>
    <w:rPr>
      <w:rFonts w:ascii="宋体" w:hAnsi="Courier New" w:eastAsia="宋体" w:cs="Times New Roman"/>
      <w:kern w:val="2"/>
      <w:sz w:val="21"/>
      <w:lang w:val="en-US" w:eastAsia="zh-CN"/>
    </w:rPr>
  </w:style>
  <w:style w:type="character" w:customStyle="1" w:styleId="126">
    <w:name w:val="正文文本 Char3"/>
    <w:autoRedefine/>
    <w:qFormat/>
    <w:uiPriority w:val="0"/>
    <w:rPr>
      <w:rFonts w:ascii="Calibri" w:hAnsi="Calibri" w:eastAsia="宋体" w:cs="Times New Roman"/>
      <w:szCs w:val="24"/>
    </w:rPr>
  </w:style>
  <w:style w:type="character" w:customStyle="1" w:styleId="127">
    <w:name w:val="ant-input"/>
    <w:basedOn w:val="52"/>
    <w:autoRedefine/>
    <w:qFormat/>
    <w:uiPriority w:val="0"/>
  </w:style>
  <w:style w:type="character" w:customStyle="1" w:styleId="128">
    <w:name w:val="first-child"/>
    <w:autoRedefine/>
    <w:qFormat/>
    <w:uiPriority w:val="0"/>
    <w:rPr>
      <w:rFonts w:ascii="Times New Roman" w:hAnsi="Times New Roman" w:eastAsia="宋体" w:cs="Times New Roman"/>
    </w:rPr>
  </w:style>
  <w:style w:type="character" w:customStyle="1" w:styleId="129">
    <w:name w:val="批注主题 Char2"/>
    <w:autoRedefine/>
    <w:qFormat/>
    <w:uiPriority w:val="0"/>
    <w:rPr>
      <w:rFonts w:ascii="Calibri" w:hAnsi="Calibri" w:eastAsia="宋体" w:cs="Times New Roman"/>
      <w:b/>
      <w:bCs/>
      <w:szCs w:val="24"/>
    </w:rPr>
  </w:style>
  <w:style w:type="character" w:customStyle="1" w:styleId="130">
    <w:name w:val="nc-lang-cnt5"/>
    <w:basedOn w:val="52"/>
    <w:autoRedefine/>
    <w:qFormat/>
    <w:uiPriority w:val="0"/>
    <w:rPr>
      <w:rFonts w:hint="cs"/>
      <w:rtl/>
      <w:cs/>
    </w:rPr>
  </w:style>
  <w:style w:type="character" w:customStyle="1" w:styleId="131">
    <w:name w:val="批注文字 Char1"/>
    <w:autoRedefine/>
    <w:qFormat/>
    <w:uiPriority w:val="0"/>
    <w:rPr>
      <w:rFonts w:ascii="Times New Roman" w:hAnsi="Times New Roman" w:eastAsia="宋体" w:cs="Times New Roman"/>
      <w:szCs w:val="24"/>
    </w:rPr>
  </w:style>
  <w:style w:type="character" w:customStyle="1" w:styleId="132">
    <w:name w:val="small2"/>
    <w:basedOn w:val="52"/>
    <w:autoRedefine/>
    <w:qFormat/>
    <w:uiPriority w:val="0"/>
    <w:rPr>
      <w:sz w:val="21"/>
      <w:szCs w:val="21"/>
    </w:rPr>
  </w:style>
  <w:style w:type="character" w:customStyle="1" w:styleId="133">
    <w:name w:val="正文文本 Char"/>
    <w:autoRedefine/>
    <w:qFormat/>
    <w:uiPriority w:val="0"/>
    <w:rPr>
      <w:rFonts w:ascii="Times New Roman" w:hAnsi="Times New Roman" w:eastAsia="宋体" w:cs="Times New Roman"/>
      <w:kern w:val="2"/>
      <w:sz w:val="21"/>
      <w:szCs w:val="24"/>
    </w:rPr>
  </w:style>
  <w:style w:type="character" w:customStyle="1" w:styleId="134">
    <w:name w:val="签名 Char3"/>
    <w:autoRedefine/>
    <w:qFormat/>
    <w:uiPriority w:val="0"/>
    <w:rPr>
      <w:rFonts w:ascii="Calibri" w:hAnsi="Calibri" w:eastAsia="宋体" w:cs="Times New Roman"/>
      <w:szCs w:val="24"/>
    </w:rPr>
  </w:style>
  <w:style w:type="character" w:customStyle="1" w:styleId="135">
    <w:name w:val="Char Char2"/>
    <w:autoRedefine/>
    <w:qFormat/>
    <w:uiPriority w:val="0"/>
    <w:rPr>
      <w:rFonts w:ascii="宋体" w:hAnsi="Courier New" w:eastAsia="宋体" w:cs="Times New Roman"/>
      <w:kern w:val="2"/>
      <w:sz w:val="21"/>
      <w:lang w:val="en-US" w:eastAsia="zh-CN" w:bidi="ar-SA"/>
    </w:rPr>
  </w:style>
  <w:style w:type="character" w:customStyle="1" w:styleId="136">
    <w:name w:val="标题 Char2"/>
    <w:autoRedefine/>
    <w:qFormat/>
    <w:uiPriority w:val="0"/>
    <w:rPr>
      <w:rFonts w:ascii="Cambria" w:hAnsi="Cambria" w:eastAsia="宋体" w:cs="Times New Roman"/>
      <w:b/>
      <w:bCs/>
      <w:sz w:val="32"/>
      <w:szCs w:val="32"/>
    </w:rPr>
  </w:style>
  <w:style w:type="character" w:customStyle="1" w:styleId="137">
    <w:name w:val="列表段落 字符"/>
    <w:link w:val="138"/>
    <w:autoRedefine/>
    <w:qFormat/>
    <w:uiPriority w:val="0"/>
    <w:rPr>
      <w:rFonts w:ascii="Times New Roman" w:hAnsi="Times New Roman" w:eastAsia="宋体" w:cs="Times New Roman"/>
      <w:kern w:val="2"/>
      <w:sz w:val="21"/>
    </w:rPr>
  </w:style>
  <w:style w:type="paragraph" w:customStyle="1" w:styleId="138">
    <w:name w:val="列出段落1"/>
    <w:basedOn w:val="1"/>
    <w:link w:val="137"/>
    <w:autoRedefine/>
    <w:qFormat/>
    <w:uiPriority w:val="0"/>
    <w:pPr>
      <w:ind w:firstLine="420" w:firstLineChars="200"/>
    </w:pPr>
    <w:rPr>
      <w:szCs w:val="20"/>
    </w:rPr>
  </w:style>
  <w:style w:type="character" w:customStyle="1" w:styleId="139">
    <w:name w:val="apple-style-span"/>
    <w:autoRedefine/>
    <w:qFormat/>
    <w:uiPriority w:val="0"/>
    <w:rPr>
      <w:rFonts w:ascii="Calibri" w:hAnsi="Calibri" w:eastAsia="宋体" w:cs="Times New Roman"/>
    </w:rPr>
  </w:style>
  <w:style w:type="character" w:customStyle="1" w:styleId="140">
    <w:name w:val="apple-converted-space"/>
    <w:autoRedefine/>
    <w:qFormat/>
    <w:uiPriority w:val="0"/>
    <w:rPr>
      <w:rFonts w:ascii="Times New Roman" w:hAnsi="Times New Roman" w:eastAsia="宋体" w:cs="Times New Roman"/>
    </w:rPr>
  </w:style>
  <w:style w:type="character" w:customStyle="1" w:styleId="141">
    <w:name w:val="日期 Char"/>
    <w:autoRedefine/>
    <w:qFormat/>
    <w:uiPriority w:val="0"/>
    <w:rPr>
      <w:rFonts w:ascii="Times New Roman" w:hAnsi="Times New Roman" w:eastAsia="宋体" w:cs="Times New Roman"/>
      <w:kern w:val="2"/>
      <w:sz w:val="21"/>
      <w:szCs w:val="24"/>
    </w:rPr>
  </w:style>
  <w:style w:type="character" w:customStyle="1" w:styleId="142">
    <w:name w:val="签名 Char2"/>
    <w:autoRedefine/>
    <w:qFormat/>
    <w:uiPriority w:val="0"/>
    <w:rPr>
      <w:rFonts w:ascii="Times New Roman" w:hAnsi="Times New Roman" w:eastAsia="宋体" w:cs="Times New Roman"/>
      <w:szCs w:val="24"/>
    </w:rPr>
  </w:style>
  <w:style w:type="character" w:customStyle="1" w:styleId="143">
    <w:name w:val="批注文字 Char2"/>
    <w:autoRedefine/>
    <w:qFormat/>
    <w:uiPriority w:val="0"/>
    <w:rPr>
      <w:rFonts w:ascii="Times New Roman" w:hAnsi="Times New Roman" w:eastAsia="宋体" w:cs="Times New Roman"/>
      <w:szCs w:val="24"/>
    </w:rPr>
  </w:style>
  <w:style w:type="character" w:customStyle="1" w:styleId="144">
    <w:name w:val="批注主题 字符"/>
    <w:autoRedefine/>
    <w:qFormat/>
    <w:uiPriority w:val="0"/>
    <w:rPr>
      <w:rFonts w:ascii="Times New Roman" w:hAnsi="Times New Roman" w:eastAsia="宋体" w:cs="Times New Roman"/>
      <w:b/>
      <w:bCs/>
    </w:rPr>
  </w:style>
  <w:style w:type="character" w:customStyle="1" w:styleId="145">
    <w:name w:val="HTML 预设格式 Char3"/>
    <w:autoRedefine/>
    <w:qFormat/>
    <w:uiPriority w:val="0"/>
    <w:rPr>
      <w:rFonts w:ascii="Courier New" w:hAnsi="Courier New" w:eastAsia="宋体" w:cs="Courier New"/>
      <w:sz w:val="20"/>
      <w:szCs w:val="20"/>
    </w:rPr>
  </w:style>
  <w:style w:type="character" w:customStyle="1" w:styleId="146">
    <w:name w:val="param-explain"/>
    <w:autoRedefine/>
    <w:qFormat/>
    <w:uiPriority w:val="0"/>
    <w:rPr>
      <w:rFonts w:ascii="Times New Roman" w:hAnsi="Times New Roman" w:eastAsia="宋体" w:cs="Times New Roman"/>
    </w:rPr>
  </w:style>
  <w:style w:type="character" w:customStyle="1" w:styleId="147">
    <w:name w:val="textcontents"/>
    <w:autoRedefine/>
    <w:qFormat/>
    <w:uiPriority w:val="0"/>
    <w:rPr>
      <w:rFonts w:ascii="Times New Roman" w:hAnsi="Times New Roman" w:eastAsia="宋体" w:cs="Times New Roman"/>
    </w:rPr>
  </w:style>
  <w:style w:type="character" w:customStyle="1" w:styleId="148">
    <w:name w:val="批注文字 字符1"/>
    <w:autoRedefine/>
    <w:qFormat/>
    <w:uiPriority w:val="0"/>
    <w:rPr>
      <w:rFonts w:ascii="Times New Roman" w:hAnsi="Times New Roman" w:eastAsia="宋体" w:cs="Times New Roman"/>
      <w:kern w:val="2"/>
      <w:sz w:val="21"/>
      <w:szCs w:val="24"/>
    </w:rPr>
  </w:style>
  <w:style w:type="character" w:customStyle="1" w:styleId="149">
    <w:name w:val="日期 Char2"/>
    <w:autoRedefine/>
    <w:qFormat/>
    <w:uiPriority w:val="0"/>
    <w:rPr>
      <w:rFonts w:ascii="Times New Roman" w:hAnsi="Times New Roman" w:eastAsia="宋体" w:cs="Times New Roman"/>
      <w:szCs w:val="24"/>
    </w:rPr>
  </w:style>
  <w:style w:type="character" w:customStyle="1" w:styleId="150">
    <w:name w:val="样式1 Char"/>
    <w:link w:val="151"/>
    <w:autoRedefine/>
    <w:qFormat/>
    <w:uiPriority w:val="0"/>
    <w:rPr>
      <w:rFonts w:ascii="Times New Roman" w:hAnsi="Times New Roman" w:eastAsia="宋体" w:cs="Times New Roman"/>
      <w:snapToGrid w:val="0"/>
      <w:spacing w:val="20"/>
      <w:sz w:val="18"/>
    </w:rPr>
  </w:style>
  <w:style w:type="paragraph" w:customStyle="1" w:styleId="151">
    <w:name w:val="样式1"/>
    <w:basedOn w:val="1"/>
    <w:link w:val="150"/>
    <w:autoRedefine/>
    <w:qFormat/>
    <w:uiPriority w:val="0"/>
    <w:pPr>
      <w:adjustRightInd w:val="0"/>
      <w:snapToGrid w:val="0"/>
      <w:spacing w:before="40" w:after="40" w:line="300" w:lineRule="auto"/>
      <w:ind w:left="425" w:hanging="425"/>
      <w:jc w:val="center"/>
      <w:textAlignment w:val="center"/>
    </w:pPr>
    <w:rPr>
      <w:snapToGrid w:val="0"/>
      <w:spacing w:val="20"/>
      <w:kern w:val="0"/>
      <w:sz w:val="18"/>
      <w:szCs w:val="20"/>
    </w:rPr>
  </w:style>
  <w:style w:type="character" w:customStyle="1" w:styleId="152">
    <w:name w:val="正文文本缩进 3 Char"/>
    <w:autoRedefine/>
    <w:qFormat/>
    <w:uiPriority w:val="0"/>
    <w:rPr>
      <w:rFonts w:ascii="Times New Roman" w:hAnsi="Times New Roman" w:eastAsia="宋体" w:cs="Times New Roman"/>
      <w:kern w:val="2"/>
      <w:sz w:val="16"/>
      <w:szCs w:val="16"/>
    </w:rPr>
  </w:style>
  <w:style w:type="character" w:customStyle="1" w:styleId="153">
    <w:name w:val="标题 Char3"/>
    <w:autoRedefine/>
    <w:qFormat/>
    <w:uiPriority w:val="0"/>
    <w:rPr>
      <w:rFonts w:ascii="Cambria" w:hAnsi="Cambria" w:eastAsia="宋体" w:cs="Times New Roman"/>
      <w:b/>
      <w:bCs/>
      <w:sz w:val="32"/>
      <w:szCs w:val="32"/>
    </w:rPr>
  </w:style>
  <w:style w:type="character" w:customStyle="1" w:styleId="154">
    <w:name w:val="纯文本 Char2"/>
    <w:autoRedefine/>
    <w:qFormat/>
    <w:uiPriority w:val="0"/>
    <w:rPr>
      <w:rFonts w:ascii="宋体" w:hAnsi="Courier New" w:eastAsia="宋体" w:cs="Courier New"/>
      <w:szCs w:val="21"/>
    </w:rPr>
  </w:style>
  <w:style w:type="character" w:customStyle="1" w:styleId="155">
    <w:name w:val="页脚 Char"/>
    <w:autoRedefine/>
    <w:qFormat/>
    <w:uiPriority w:val="0"/>
    <w:rPr>
      <w:rFonts w:ascii="Times New Roman" w:hAnsi="Times New Roman" w:eastAsia="宋体" w:cs="Times New Roman"/>
      <w:kern w:val="2"/>
      <w:sz w:val="18"/>
      <w:szCs w:val="18"/>
    </w:rPr>
  </w:style>
  <w:style w:type="character" w:customStyle="1" w:styleId="156">
    <w:name w:val="so-ask-best"/>
    <w:autoRedefine/>
    <w:qFormat/>
    <w:uiPriority w:val="0"/>
    <w:rPr>
      <w:rFonts w:ascii="Times New Roman" w:hAnsi="Times New Roman" w:eastAsia="宋体" w:cs="Times New Roman"/>
    </w:rPr>
  </w:style>
  <w:style w:type="character" w:customStyle="1" w:styleId="157">
    <w:name w:val="My正文 Char"/>
    <w:link w:val="158"/>
    <w:autoRedefine/>
    <w:qFormat/>
    <w:uiPriority w:val="0"/>
    <w:rPr>
      <w:rFonts w:ascii="Arial" w:hAnsi="Arial"/>
      <w:bCs/>
      <w:kern w:val="2"/>
      <w:sz w:val="24"/>
      <w:szCs w:val="21"/>
      <w:lang w:val="en-US" w:eastAsia="zh-CN" w:bidi="ar-SA"/>
    </w:rPr>
  </w:style>
  <w:style w:type="paragraph" w:customStyle="1" w:styleId="158">
    <w:name w:val="My正文"/>
    <w:link w:val="157"/>
    <w:autoRedefine/>
    <w:qFormat/>
    <w:uiPriority w:val="0"/>
    <w:pPr>
      <w:widowControl w:val="0"/>
      <w:adjustRightInd w:val="0"/>
      <w:snapToGrid w:val="0"/>
      <w:spacing w:line="360" w:lineRule="auto"/>
      <w:ind w:firstLine="200" w:firstLineChars="200"/>
      <w:jc w:val="both"/>
    </w:pPr>
    <w:rPr>
      <w:rFonts w:ascii="Arial" w:hAnsi="Arial" w:eastAsia="宋体" w:cs="Times New Roman"/>
      <w:bCs/>
      <w:kern w:val="2"/>
      <w:sz w:val="24"/>
      <w:szCs w:val="21"/>
      <w:lang w:val="en-US" w:eastAsia="zh-CN" w:bidi="ar-SA"/>
    </w:rPr>
  </w:style>
  <w:style w:type="character" w:customStyle="1" w:styleId="159">
    <w:name w:val="desc4"/>
    <w:basedOn w:val="52"/>
    <w:autoRedefine/>
    <w:qFormat/>
    <w:uiPriority w:val="0"/>
  </w:style>
  <w:style w:type="character" w:customStyle="1" w:styleId="160">
    <w:name w:val="文档结构图 Char2"/>
    <w:autoRedefine/>
    <w:qFormat/>
    <w:uiPriority w:val="0"/>
    <w:rPr>
      <w:rFonts w:ascii="宋体" w:hAnsi="Calibri" w:eastAsia="宋体" w:cs="Times New Roman"/>
      <w:sz w:val="18"/>
      <w:szCs w:val="18"/>
    </w:rPr>
  </w:style>
  <w:style w:type="character" w:customStyle="1" w:styleId="161">
    <w:name w:val="标题 3 字符"/>
    <w:autoRedefine/>
    <w:qFormat/>
    <w:uiPriority w:val="0"/>
    <w:rPr>
      <w:rFonts w:ascii="Times New Roman" w:hAnsi="Times New Roman" w:eastAsia="宋体" w:cs="Times New Roman"/>
      <w:b/>
      <w:bCs/>
      <w:kern w:val="2"/>
      <w:sz w:val="32"/>
      <w:szCs w:val="32"/>
    </w:rPr>
  </w:style>
  <w:style w:type="character" w:customStyle="1" w:styleId="162">
    <w:name w:val="ant-select-tree-iconele"/>
    <w:basedOn w:val="52"/>
    <w:autoRedefine/>
    <w:qFormat/>
    <w:uiPriority w:val="0"/>
  </w:style>
  <w:style w:type="character" w:customStyle="1" w:styleId="163">
    <w:name w:val="正文文本缩进 Char1"/>
    <w:autoRedefine/>
    <w:qFormat/>
    <w:uiPriority w:val="0"/>
    <w:rPr>
      <w:rFonts w:ascii="Times New Roman" w:hAnsi="Times New Roman" w:eastAsia="宋体" w:cs="Times New Roman"/>
      <w:szCs w:val="24"/>
    </w:rPr>
  </w:style>
  <w:style w:type="character" w:customStyle="1" w:styleId="164">
    <w:name w:val="font41"/>
    <w:autoRedefine/>
    <w:qFormat/>
    <w:uiPriority w:val="0"/>
    <w:rPr>
      <w:rFonts w:hint="eastAsia" w:ascii="宋体" w:hAnsi="宋体" w:eastAsia="宋体" w:cs="宋体"/>
      <w:color w:val="000000"/>
      <w:sz w:val="22"/>
      <w:szCs w:val="22"/>
      <w:u w:val="none"/>
    </w:rPr>
  </w:style>
  <w:style w:type="character" w:customStyle="1" w:styleId="165">
    <w:name w:val="right"/>
    <w:basedOn w:val="52"/>
    <w:autoRedefine/>
    <w:qFormat/>
    <w:uiPriority w:val="0"/>
    <w:rPr>
      <w:sz w:val="18"/>
      <w:szCs w:val="18"/>
    </w:rPr>
  </w:style>
  <w:style w:type="character" w:customStyle="1" w:styleId="166">
    <w:name w:val="cnfont1"/>
    <w:autoRedefine/>
    <w:qFormat/>
    <w:uiPriority w:val="0"/>
    <w:rPr>
      <w:rFonts w:ascii="Times New Roman" w:hAnsi="Times New Roman" w:eastAsia="宋体" w:cs="Times New Roman"/>
    </w:rPr>
  </w:style>
  <w:style w:type="character" w:customStyle="1" w:styleId="167">
    <w:name w:val="H6 Char"/>
    <w:autoRedefine/>
    <w:qFormat/>
    <w:uiPriority w:val="0"/>
    <w:rPr>
      <w:rFonts w:ascii="Arial" w:hAnsi="Arial" w:eastAsia="黑体" w:cs="Times New Roman"/>
      <w:b/>
      <w:sz w:val="24"/>
      <w:szCs w:val="24"/>
    </w:rPr>
  </w:style>
  <w:style w:type="character" w:customStyle="1" w:styleId="168">
    <w:name w:val="p141"/>
    <w:autoRedefine/>
    <w:qFormat/>
    <w:uiPriority w:val="0"/>
    <w:rPr>
      <w:rFonts w:ascii="Times New Roman" w:hAnsi="Times New Roman" w:eastAsia="宋体" w:cs="Times New Roman"/>
      <w:sz w:val="21"/>
      <w:szCs w:val="21"/>
    </w:rPr>
  </w:style>
  <w:style w:type="character" w:customStyle="1" w:styleId="169">
    <w:name w:val="nc-lang-cnt2"/>
    <w:basedOn w:val="52"/>
    <w:autoRedefine/>
    <w:qFormat/>
    <w:uiPriority w:val="0"/>
  </w:style>
  <w:style w:type="character" w:customStyle="1" w:styleId="170">
    <w:name w:val="中等深浅网格 2字符"/>
    <w:link w:val="171"/>
    <w:autoRedefine/>
    <w:qFormat/>
    <w:uiPriority w:val="0"/>
    <w:rPr>
      <w:sz w:val="22"/>
      <w:szCs w:val="22"/>
      <w:lang w:val="en-US" w:eastAsia="zh-CN" w:bidi="ar-SA"/>
    </w:rPr>
  </w:style>
  <w:style w:type="paragraph" w:customStyle="1" w:styleId="171">
    <w:name w:val="中等深浅网格 22"/>
    <w:link w:val="170"/>
    <w:autoRedefine/>
    <w:qFormat/>
    <w:uiPriority w:val="0"/>
    <w:rPr>
      <w:rFonts w:ascii="Times New Roman" w:hAnsi="Times New Roman" w:eastAsia="宋体" w:cs="Times New Roman"/>
      <w:sz w:val="22"/>
      <w:szCs w:val="22"/>
      <w:lang w:val="en-US" w:eastAsia="zh-CN" w:bidi="ar-SA"/>
    </w:rPr>
  </w:style>
  <w:style w:type="character" w:customStyle="1" w:styleId="172">
    <w:name w:val="nc-lang-cnt"/>
    <w:basedOn w:val="52"/>
    <w:autoRedefine/>
    <w:qFormat/>
    <w:uiPriority w:val="0"/>
    <w:rPr>
      <w:rFonts w:hint="cs"/>
      <w:rtl/>
      <w:cs/>
    </w:rPr>
  </w:style>
  <w:style w:type="character" w:customStyle="1" w:styleId="173">
    <w:name w:val="title_emph"/>
    <w:autoRedefine/>
    <w:qFormat/>
    <w:uiPriority w:val="0"/>
    <w:rPr>
      <w:rFonts w:ascii="Calibri" w:hAnsi="Calibri" w:eastAsia="宋体" w:cs="Times New Roman"/>
    </w:rPr>
  </w:style>
  <w:style w:type="character" w:customStyle="1" w:styleId="174">
    <w:name w:val="页眉 字符"/>
    <w:autoRedefine/>
    <w:qFormat/>
    <w:uiPriority w:val="0"/>
    <w:rPr>
      <w:rFonts w:ascii="Times New Roman" w:hAnsi="Times New Roman" w:eastAsia="宋体" w:cs="Times New Roman"/>
      <w:kern w:val="2"/>
      <w:sz w:val="18"/>
      <w:szCs w:val="18"/>
    </w:rPr>
  </w:style>
  <w:style w:type="character" w:customStyle="1" w:styleId="175">
    <w:name w:val="彩色列表 - 强调文字颜色 1字符"/>
    <w:link w:val="176"/>
    <w:autoRedefine/>
    <w:qFormat/>
    <w:uiPriority w:val="0"/>
    <w:rPr>
      <w:rFonts w:ascii="Times New Roman" w:hAnsi="Times New Roman" w:eastAsia="宋体" w:cs="Times New Roman"/>
      <w:kern w:val="2"/>
      <w:sz w:val="21"/>
    </w:rPr>
  </w:style>
  <w:style w:type="paragraph" w:customStyle="1" w:styleId="176">
    <w:name w:val="彩色列表 - 强调文字颜色 11"/>
    <w:basedOn w:val="1"/>
    <w:link w:val="175"/>
    <w:autoRedefine/>
    <w:qFormat/>
    <w:uiPriority w:val="0"/>
    <w:pPr>
      <w:ind w:firstLine="420" w:firstLineChars="200"/>
    </w:pPr>
    <w:rPr>
      <w:szCs w:val="20"/>
    </w:rPr>
  </w:style>
  <w:style w:type="character" w:customStyle="1" w:styleId="177">
    <w:name w:val="font31"/>
    <w:basedOn w:val="52"/>
    <w:autoRedefine/>
    <w:qFormat/>
    <w:uiPriority w:val="0"/>
    <w:rPr>
      <w:rFonts w:hint="eastAsia" w:ascii="宋体" w:hAnsi="宋体" w:eastAsia="宋体" w:cs="宋体"/>
      <w:color w:val="000000"/>
      <w:sz w:val="24"/>
      <w:szCs w:val="24"/>
      <w:u w:val="none"/>
    </w:rPr>
  </w:style>
  <w:style w:type="character" w:customStyle="1" w:styleId="178">
    <w:name w:val="日期 Char3"/>
    <w:autoRedefine/>
    <w:qFormat/>
    <w:uiPriority w:val="0"/>
    <w:rPr>
      <w:rFonts w:ascii="Calibri" w:hAnsi="Calibri" w:eastAsia="宋体" w:cs="Times New Roman"/>
      <w:szCs w:val="24"/>
    </w:rPr>
  </w:style>
  <w:style w:type="character" w:customStyle="1" w:styleId="179">
    <w:name w:val="正文文本缩进 Char2"/>
    <w:autoRedefine/>
    <w:qFormat/>
    <w:uiPriority w:val="0"/>
    <w:rPr>
      <w:rFonts w:ascii="Calibri" w:hAnsi="Calibri" w:eastAsia="宋体" w:cs="Times New Roman"/>
      <w:szCs w:val="24"/>
    </w:rPr>
  </w:style>
  <w:style w:type="character" w:customStyle="1" w:styleId="180">
    <w:name w:val="正文首行缩进 Char"/>
    <w:autoRedefine/>
    <w:qFormat/>
    <w:uiPriority w:val="0"/>
    <w:rPr>
      <w:rFonts w:ascii="Times New Roman" w:hAnsi="Times New Roman" w:eastAsia="宋体" w:cs="Times New Roman"/>
      <w:kern w:val="2"/>
      <w:sz w:val="21"/>
      <w:szCs w:val="24"/>
    </w:rPr>
  </w:style>
  <w:style w:type="character" w:customStyle="1" w:styleId="181">
    <w:name w:val="签名 Char"/>
    <w:autoRedefine/>
    <w:qFormat/>
    <w:uiPriority w:val="0"/>
    <w:rPr>
      <w:rFonts w:ascii="Times New Roman" w:hAnsi="Times New Roman" w:eastAsia="宋体" w:cs="Times New Roman"/>
      <w:kern w:val="2"/>
      <w:sz w:val="21"/>
      <w:szCs w:val="24"/>
    </w:rPr>
  </w:style>
  <w:style w:type="character" w:customStyle="1" w:styleId="182">
    <w:name w:val="A正文小四 Char"/>
    <w:autoRedefine/>
    <w:qFormat/>
    <w:uiPriority w:val="0"/>
    <w:rPr>
      <w:rFonts w:ascii="Times New Roman" w:hAnsi="Times New Roman" w:eastAsia="宋体" w:cs="Times New Roman"/>
      <w:kern w:val="2"/>
      <w:sz w:val="24"/>
      <w:szCs w:val="24"/>
    </w:rPr>
  </w:style>
  <w:style w:type="character" w:customStyle="1" w:styleId="183">
    <w:name w:val="纯文本 Char1"/>
    <w:autoRedefine/>
    <w:qFormat/>
    <w:uiPriority w:val="0"/>
    <w:rPr>
      <w:rFonts w:ascii="宋体" w:hAnsi="Courier New" w:eastAsia="宋体" w:cs="Courier New"/>
      <w:kern w:val="2"/>
      <w:sz w:val="21"/>
      <w:szCs w:val="21"/>
    </w:rPr>
  </w:style>
  <w:style w:type="character" w:customStyle="1" w:styleId="184">
    <w:name w:val="批注主题 Char1"/>
    <w:autoRedefine/>
    <w:qFormat/>
    <w:uiPriority w:val="0"/>
    <w:rPr>
      <w:rFonts w:ascii="Times New Roman" w:hAnsi="Times New Roman" w:eastAsia="宋体" w:cs="Times New Roman"/>
      <w:b/>
      <w:bCs/>
      <w:szCs w:val="24"/>
    </w:rPr>
  </w:style>
  <w:style w:type="character" w:customStyle="1" w:styleId="185">
    <w:name w:val="HTML 预设格式 Char2"/>
    <w:autoRedefine/>
    <w:qFormat/>
    <w:uiPriority w:val="0"/>
    <w:rPr>
      <w:rFonts w:ascii="Courier New" w:hAnsi="Courier New" w:eastAsia="宋体" w:cs="Courier New"/>
      <w:sz w:val="20"/>
      <w:szCs w:val="20"/>
    </w:rPr>
  </w:style>
  <w:style w:type="character" w:customStyle="1" w:styleId="186">
    <w:name w:val="body text Char"/>
    <w:autoRedefine/>
    <w:qFormat/>
    <w:uiPriority w:val="0"/>
    <w:rPr>
      <w:rFonts w:ascii="Times New Roman" w:hAnsi="Times New Roman" w:eastAsia="宋体" w:cs="Times New Roman"/>
      <w:kern w:val="2"/>
      <w:sz w:val="24"/>
    </w:rPr>
  </w:style>
  <w:style w:type="character" w:customStyle="1" w:styleId="187">
    <w:name w:val="批注框文本 Char1"/>
    <w:autoRedefine/>
    <w:qFormat/>
    <w:uiPriority w:val="0"/>
    <w:rPr>
      <w:rFonts w:ascii="Times New Roman" w:hAnsi="Times New Roman" w:eastAsia="宋体" w:cs="Times New Roman"/>
      <w:sz w:val="18"/>
      <w:szCs w:val="18"/>
    </w:rPr>
  </w:style>
  <w:style w:type="character" w:customStyle="1" w:styleId="188">
    <w:name w:val="正文文本缩进 3 Char3"/>
    <w:autoRedefine/>
    <w:qFormat/>
    <w:uiPriority w:val="0"/>
    <w:rPr>
      <w:rFonts w:ascii="Calibri" w:hAnsi="Calibri" w:eastAsia="宋体" w:cs="Times New Roman"/>
      <w:sz w:val="16"/>
      <w:szCs w:val="16"/>
    </w:rPr>
  </w:style>
  <w:style w:type="character" w:customStyle="1" w:styleId="189">
    <w:name w:val="标题 7 Char"/>
    <w:autoRedefine/>
    <w:qFormat/>
    <w:uiPriority w:val="0"/>
    <w:rPr>
      <w:rFonts w:ascii="Times New Roman" w:hAnsi="Times New Roman" w:eastAsia="宋体" w:cs="Times New Roman"/>
      <w:b/>
      <w:bCs/>
      <w:kern w:val="2"/>
      <w:sz w:val="24"/>
      <w:szCs w:val="24"/>
    </w:rPr>
  </w:style>
  <w:style w:type="character" w:customStyle="1" w:styleId="190">
    <w:name w:val="正文首行缩进 Char2"/>
    <w:autoRedefine/>
    <w:qFormat/>
    <w:uiPriority w:val="0"/>
    <w:rPr>
      <w:rFonts w:ascii="Times New Roman" w:hAnsi="Times New Roman" w:eastAsia="宋体" w:cs="Times New Roman"/>
      <w:szCs w:val="24"/>
    </w:rPr>
  </w:style>
  <w:style w:type="character" w:customStyle="1" w:styleId="191">
    <w:name w:val="large"/>
    <w:basedOn w:val="52"/>
    <w:autoRedefine/>
    <w:qFormat/>
    <w:uiPriority w:val="0"/>
    <w:rPr>
      <w:color w:val="197AFF"/>
      <w:sz w:val="24"/>
      <w:szCs w:val="24"/>
    </w:rPr>
  </w:style>
  <w:style w:type="character" w:customStyle="1" w:styleId="192">
    <w:name w:val="正文文本 2 Char2"/>
    <w:autoRedefine/>
    <w:qFormat/>
    <w:uiPriority w:val="0"/>
    <w:rPr>
      <w:rFonts w:ascii="Times New Roman" w:hAnsi="Times New Roman" w:eastAsia="宋体" w:cs="Times New Roman"/>
      <w:szCs w:val="24"/>
    </w:rPr>
  </w:style>
  <w:style w:type="character" w:customStyle="1" w:styleId="193">
    <w:name w:val="页脚 字符"/>
    <w:autoRedefine/>
    <w:qFormat/>
    <w:uiPriority w:val="0"/>
    <w:rPr>
      <w:rFonts w:ascii="Times New Roman" w:hAnsi="Times New Roman" w:eastAsia="宋体" w:cs="Times New Roman"/>
      <w:kern w:val="2"/>
      <w:sz w:val="18"/>
      <w:szCs w:val="18"/>
    </w:rPr>
  </w:style>
  <w:style w:type="character" w:customStyle="1" w:styleId="194">
    <w:name w:val="标题 字符1"/>
    <w:autoRedefine/>
    <w:qFormat/>
    <w:uiPriority w:val="0"/>
    <w:rPr>
      <w:rFonts w:ascii="Arial" w:hAnsi="Arial" w:eastAsia="宋体" w:cs="Times New Roman"/>
      <w:b/>
      <w:kern w:val="0"/>
      <w:sz w:val="36"/>
      <w:szCs w:val="20"/>
    </w:rPr>
  </w:style>
  <w:style w:type="character" w:customStyle="1" w:styleId="195">
    <w:name w:val="标准文本 Char"/>
    <w:link w:val="196"/>
    <w:autoRedefine/>
    <w:qFormat/>
    <w:uiPriority w:val="0"/>
    <w:rPr>
      <w:rFonts w:ascii="Times New Roman" w:hAnsi="Times New Roman" w:eastAsia="宋体" w:cs="Times New Roman"/>
      <w:sz w:val="24"/>
    </w:rPr>
  </w:style>
  <w:style w:type="paragraph" w:customStyle="1" w:styleId="196">
    <w:name w:val="标准文本"/>
    <w:basedOn w:val="1"/>
    <w:link w:val="195"/>
    <w:autoRedefine/>
    <w:qFormat/>
    <w:uiPriority w:val="0"/>
    <w:pPr>
      <w:spacing w:line="360" w:lineRule="auto"/>
      <w:ind w:firstLine="480" w:firstLineChars="200"/>
    </w:pPr>
    <w:rPr>
      <w:kern w:val="0"/>
      <w:sz w:val="24"/>
      <w:szCs w:val="20"/>
    </w:rPr>
  </w:style>
  <w:style w:type="character" w:customStyle="1" w:styleId="197">
    <w:name w:val="批注框文本 字符"/>
    <w:autoRedefine/>
    <w:qFormat/>
    <w:uiPriority w:val="0"/>
    <w:rPr>
      <w:rFonts w:ascii="Times New Roman" w:hAnsi="Times New Roman" w:eastAsia="宋体" w:cs="Times New Roman"/>
      <w:sz w:val="18"/>
      <w:szCs w:val="18"/>
    </w:rPr>
  </w:style>
  <w:style w:type="character" w:customStyle="1" w:styleId="198">
    <w:name w:val="A表格内容 Char"/>
    <w:link w:val="199"/>
    <w:autoRedefine/>
    <w:qFormat/>
    <w:uiPriority w:val="0"/>
    <w:rPr>
      <w:rFonts w:ascii="Calibri" w:hAnsi="Calibri" w:eastAsia="仿宋_GB2312" w:cs="Times New Roman"/>
      <w:kern w:val="2"/>
      <w:sz w:val="24"/>
      <w:szCs w:val="24"/>
    </w:rPr>
  </w:style>
  <w:style w:type="paragraph" w:customStyle="1" w:styleId="199">
    <w:name w:val="A表格内容"/>
    <w:basedOn w:val="1"/>
    <w:link w:val="198"/>
    <w:autoRedefine/>
    <w:qFormat/>
    <w:uiPriority w:val="0"/>
    <w:rPr>
      <w:rFonts w:ascii="Calibri" w:hAnsi="Calibri" w:eastAsia="仿宋_GB2312"/>
      <w:sz w:val="24"/>
    </w:rPr>
  </w:style>
  <w:style w:type="character" w:customStyle="1" w:styleId="200">
    <w:name w:val="ant-radio+*1"/>
    <w:basedOn w:val="52"/>
    <w:autoRedefine/>
    <w:qFormat/>
    <w:uiPriority w:val="0"/>
  </w:style>
  <w:style w:type="character" w:customStyle="1" w:styleId="201">
    <w:name w:val="正文 + 宋体 Char"/>
    <w:link w:val="202"/>
    <w:autoRedefine/>
    <w:qFormat/>
    <w:uiPriority w:val="0"/>
    <w:rPr>
      <w:rFonts w:ascii="宋体" w:hAnsi="宋体" w:eastAsia="宋体" w:cs="Times New Roman"/>
      <w:b/>
      <w:sz w:val="24"/>
    </w:rPr>
  </w:style>
  <w:style w:type="paragraph" w:customStyle="1" w:styleId="202">
    <w:name w:val="正文 + 宋体"/>
    <w:basedOn w:val="30"/>
    <w:link w:val="201"/>
    <w:autoRedefine/>
    <w:qFormat/>
    <w:uiPriority w:val="0"/>
    <w:pPr>
      <w:spacing w:line="480" w:lineRule="exact"/>
      <w:ind w:left="0" w:leftChars="0"/>
    </w:pPr>
    <w:rPr>
      <w:rFonts w:ascii="宋体" w:hAnsi="宋体"/>
      <w:b/>
      <w:kern w:val="0"/>
      <w:sz w:val="24"/>
      <w:szCs w:val="20"/>
    </w:rPr>
  </w:style>
  <w:style w:type="character" w:customStyle="1" w:styleId="203">
    <w:name w:val="nc-lang-cnt4"/>
    <w:basedOn w:val="52"/>
    <w:autoRedefine/>
    <w:qFormat/>
    <w:uiPriority w:val="0"/>
  </w:style>
  <w:style w:type="character" w:customStyle="1" w:styleId="204">
    <w:name w:val="日期 字符"/>
    <w:autoRedefine/>
    <w:qFormat/>
    <w:uiPriority w:val="0"/>
    <w:rPr>
      <w:rFonts w:ascii="Times New Roman" w:hAnsi="Times New Roman" w:eastAsia="宋体" w:cs="Times New Roman"/>
      <w:kern w:val="2"/>
      <w:sz w:val="21"/>
      <w:szCs w:val="24"/>
    </w:rPr>
  </w:style>
  <w:style w:type="character" w:customStyle="1" w:styleId="205">
    <w:name w:val="at_11"/>
    <w:autoRedefine/>
    <w:qFormat/>
    <w:uiPriority w:val="0"/>
    <w:rPr>
      <w:rFonts w:hint="default" w:ascii="Arial" w:hAnsi="Arial" w:eastAsia="宋体" w:cs="Arial"/>
      <w:sz w:val="23"/>
      <w:szCs w:val="23"/>
      <w:lang w:val="en-US" w:eastAsia="zh-CN" w:bidi="ar-SA"/>
    </w:rPr>
  </w:style>
  <w:style w:type="character" w:customStyle="1" w:styleId="206">
    <w:name w:val="正文文本 2 字符"/>
    <w:autoRedefine/>
    <w:qFormat/>
    <w:uiPriority w:val="0"/>
    <w:rPr>
      <w:rFonts w:ascii="Times New Roman" w:hAnsi="Times New Roman" w:eastAsia="宋体" w:cs="Times New Roman"/>
      <w:kern w:val="2"/>
      <w:sz w:val="21"/>
      <w:szCs w:val="24"/>
    </w:rPr>
  </w:style>
  <w:style w:type="character" w:customStyle="1" w:styleId="207">
    <w:name w:val="nc-lang-cnt1"/>
    <w:basedOn w:val="52"/>
    <w:autoRedefine/>
    <w:qFormat/>
    <w:uiPriority w:val="0"/>
    <w:rPr>
      <w:rFonts w:hint="cs"/>
      <w:rtl/>
      <w:cs/>
    </w:rPr>
  </w:style>
  <w:style w:type="character" w:customStyle="1" w:styleId="208">
    <w:name w:val="A题注[表格图片] Char"/>
    <w:link w:val="209"/>
    <w:autoRedefine/>
    <w:qFormat/>
    <w:uiPriority w:val="0"/>
    <w:rPr>
      <w:rFonts w:ascii="宋体" w:hAnsi="宋体" w:eastAsia="宋体" w:cs="Times New Roman"/>
      <w:kern w:val="2"/>
      <w:sz w:val="21"/>
      <w:szCs w:val="24"/>
    </w:rPr>
  </w:style>
  <w:style w:type="paragraph" w:customStyle="1" w:styleId="209">
    <w:name w:val="A题注[表格图片]"/>
    <w:basedOn w:val="20"/>
    <w:link w:val="208"/>
    <w:autoRedefine/>
    <w:qFormat/>
    <w:uiPriority w:val="0"/>
    <w:pPr>
      <w:spacing w:before="152" w:after="160"/>
      <w:jc w:val="center"/>
    </w:pPr>
    <w:rPr>
      <w:rFonts w:ascii="宋体" w:hAnsi="宋体" w:eastAsia="宋体"/>
      <w:sz w:val="21"/>
      <w:szCs w:val="24"/>
    </w:rPr>
  </w:style>
  <w:style w:type="character" w:customStyle="1" w:styleId="210">
    <w:name w:val="普通文字 Char Char3"/>
    <w:autoRedefine/>
    <w:qFormat/>
    <w:uiPriority w:val="0"/>
    <w:rPr>
      <w:rFonts w:ascii="宋体" w:hAnsi="Courier New" w:eastAsia="宋体" w:cs="Times New Roman"/>
      <w:kern w:val="2"/>
      <w:sz w:val="21"/>
      <w:lang w:val="en-US" w:eastAsia="zh-CN" w:bidi="ar-SA"/>
    </w:rPr>
  </w:style>
  <w:style w:type="character" w:customStyle="1" w:styleId="211">
    <w:name w:val="nc-lang-cnt3"/>
    <w:basedOn w:val="52"/>
    <w:autoRedefine/>
    <w:qFormat/>
    <w:uiPriority w:val="0"/>
  </w:style>
  <w:style w:type="character" w:customStyle="1" w:styleId="212">
    <w:name w:val="标题 4 Char"/>
    <w:autoRedefine/>
    <w:qFormat/>
    <w:uiPriority w:val="0"/>
    <w:rPr>
      <w:rFonts w:ascii="Cambria" w:hAnsi="Cambria" w:eastAsia="宋体" w:cs="Times New Roman"/>
      <w:b/>
      <w:bCs/>
      <w:kern w:val="2"/>
      <w:sz w:val="28"/>
      <w:szCs w:val="28"/>
    </w:rPr>
  </w:style>
  <w:style w:type="character" w:customStyle="1" w:styleId="213">
    <w:name w:val="标题 5 Char"/>
    <w:autoRedefine/>
    <w:qFormat/>
    <w:uiPriority w:val="0"/>
    <w:rPr>
      <w:rFonts w:ascii="Times New Roman" w:hAnsi="Times New Roman" w:eastAsia="宋体" w:cs="Times New Roman"/>
      <w:b/>
      <w:bCs/>
      <w:kern w:val="2"/>
      <w:sz w:val="28"/>
      <w:szCs w:val="28"/>
    </w:rPr>
  </w:style>
  <w:style w:type="character" w:customStyle="1" w:styleId="214">
    <w:name w:val="正文文本 3 Char1"/>
    <w:autoRedefine/>
    <w:qFormat/>
    <w:uiPriority w:val="0"/>
    <w:rPr>
      <w:rFonts w:ascii="Calibri" w:hAnsi="Calibri" w:eastAsia="宋体" w:cs="Times New Roman"/>
      <w:sz w:val="16"/>
      <w:szCs w:val="16"/>
    </w:rPr>
  </w:style>
  <w:style w:type="character" w:customStyle="1" w:styleId="215">
    <w:name w:val="批注框文本 Char2"/>
    <w:autoRedefine/>
    <w:qFormat/>
    <w:uiPriority w:val="0"/>
    <w:rPr>
      <w:rFonts w:ascii="Calibri" w:hAnsi="Calibri" w:eastAsia="宋体" w:cs="Times New Roman"/>
      <w:sz w:val="18"/>
      <w:szCs w:val="18"/>
    </w:rPr>
  </w:style>
  <w:style w:type="character" w:customStyle="1" w:styleId="216">
    <w:name w:val="正文文本 字符"/>
    <w:autoRedefine/>
    <w:qFormat/>
    <w:uiPriority w:val="0"/>
    <w:rPr>
      <w:rFonts w:ascii="Times New Roman" w:hAnsi="Times New Roman" w:eastAsia="宋体" w:cs="Times New Roman"/>
      <w:kern w:val="2"/>
      <w:sz w:val="21"/>
      <w:szCs w:val="24"/>
    </w:rPr>
  </w:style>
  <w:style w:type="character" w:customStyle="1" w:styleId="217">
    <w:name w:val="small1"/>
    <w:basedOn w:val="52"/>
    <w:autoRedefine/>
    <w:qFormat/>
    <w:uiPriority w:val="0"/>
    <w:rPr>
      <w:sz w:val="18"/>
      <w:szCs w:val="18"/>
    </w:rPr>
  </w:style>
  <w:style w:type="character" w:customStyle="1" w:styleId="218">
    <w:name w:val="标题 Char"/>
    <w:autoRedefine/>
    <w:qFormat/>
    <w:uiPriority w:val="0"/>
    <w:rPr>
      <w:rFonts w:ascii="Cambria" w:hAnsi="Cambria" w:eastAsia="宋体" w:cs="Times New Roman"/>
      <w:b/>
      <w:bCs/>
      <w:kern w:val="2"/>
      <w:sz w:val="32"/>
      <w:szCs w:val="32"/>
    </w:rPr>
  </w:style>
  <w:style w:type="character" w:customStyle="1" w:styleId="219">
    <w:name w:val="正文文本缩进 Char"/>
    <w:autoRedefine/>
    <w:qFormat/>
    <w:uiPriority w:val="0"/>
    <w:rPr>
      <w:rFonts w:ascii="Times New Roman" w:hAnsi="Times New Roman" w:eastAsia="宋体" w:cs="Times New Roman"/>
      <w:kern w:val="2"/>
      <w:sz w:val="21"/>
      <w:szCs w:val="24"/>
    </w:rPr>
  </w:style>
  <w:style w:type="character" w:customStyle="1" w:styleId="220">
    <w:name w:val="HTML 预设格式 Char"/>
    <w:autoRedefine/>
    <w:qFormat/>
    <w:uiPriority w:val="0"/>
    <w:rPr>
      <w:rFonts w:ascii="Courier New" w:hAnsi="Courier New" w:eastAsia="宋体" w:cs="Courier New"/>
      <w:kern w:val="2"/>
    </w:rPr>
  </w:style>
  <w:style w:type="character" w:customStyle="1" w:styleId="221">
    <w:name w:val="ant-select-tree-checkbox"/>
    <w:basedOn w:val="52"/>
    <w:autoRedefine/>
    <w:qFormat/>
    <w:uiPriority w:val="0"/>
  </w:style>
  <w:style w:type="character" w:customStyle="1" w:styleId="222">
    <w:name w:val="列出段落 Char"/>
    <w:link w:val="223"/>
    <w:autoRedefine/>
    <w:qFormat/>
    <w:uiPriority w:val="0"/>
    <w:rPr>
      <w:rFonts w:ascii="Times New Roman" w:hAnsi="Times New Roman" w:eastAsia="宋体" w:cs="Times New Roman"/>
      <w:kern w:val="2"/>
      <w:sz w:val="21"/>
      <w:szCs w:val="24"/>
    </w:rPr>
  </w:style>
  <w:style w:type="paragraph" w:customStyle="1" w:styleId="223">
    <w:name w:val="List Paragraph2"/>
    <w:basedOn w:val="1"/>
    <w:link w:val="222"/>
    <w:autoRedefine/>
    <w:qFormat/>
    <w:uiPriority w:val="0"/>
    <w:pPr>
      <w:ind w:firstLine="420" w:firstLineChars="200"/>
    </w:pPr>
  </w:style>
  <w:style w:type="character" w:customStyle="1" w:styleId="224">
    <w:name w:val="正文文本缩进 2 Char3"/>
    <w:autoRedefine/>
    <w:qFormat/>
    <w:uiPriority w:val="0"/>
    <w:rPr>
      <w:rFonts w:ascii="Calibri" w:hAnsi="Calibri" w:eastAsia="宋体" w:cs="Times New Roman"/>
      <w:szCs w:val="24"/>
    </w:rPr>
  </w:style>
  <w:style w:type="character" w:customStyle="1" w:styleId="225">
    <w:name w:val="纯文本 Char"/>
    <w:autoRedefine/>
    <w:qFormat/>
    <w:uiPriority w:val="0"/>
    <w:rPr>
      <w:rFonts w:ascii="宋体" w:hAnsi="Courier New" w:eastAsia="宋体" w:cs="Times New Roman"/>
      <w:kern w:val="2"/>
      <w:sz w:val="21"/>
      <w:lang w:val="en-US" w:eastAsia="zh-CN" w:bidi="ar-SA"/>
    </w:rPr>
  </w:style>
  <w:style w:type="character" w:customStyle="1" w:styleId="226">
    <w:name w:val="param-value2"/>
    <w:autoRedefine/>
    <w:qFormat/>
    <w:uiPriority w:val="0"/>
    <w:rPr>
      <w:rFonts w:ascii="Times New Roman" w:hAnsi="Times New Roman" w:eastAsia="宋体" w:cs="Times New Roman"/>
    </w:rPr>
  </w:style>
  <w:style w:type="character" w:customStyle="1" w:styleId="227">
    <w:name w:val="纯文本 字符"/>
    <w:autoRedefine/>
    <w:qFormat/>
    <w:uiPriority w:val="0"/>
    <w:rPr>
      <w:rFonts w:ascii="宋体" w:hAnsi="Courier New" w:eastAsia="宋体" w:cs="Times New Roman"/>
      <w:kern w:val="2"/>
      <w:sz w:val="21"/>
      <w:lang w:val="en-US" w:eastAsia="zh-CN" w:bidi="ar-SA"/>
    </w:rPr>
  </w:style>
  <w:style w:type="character" w:customStyle="1" w:styleId="228">
    <w:name w:val="nc-lang-cnt6"/>
    <w:basedOn w:val="52"/>
    <w:autoRedefine/>
    <w:qFormat/>
    <w:uiPriority w:val="0"/>
    <w:rPr>
      <w:rFonts w:hint="cs"/>
      <w:rtl/>
      <w:cs/>
    </w:rPr>
  </w:style>
  <w:style w:type="character" w:customStyle="1" w:styleId="229">
    <w:name w:val="font01"/>
    <w:autoRedefine/>
    <w:qFormat/>
    <w:uiPriority w:val="0"/>
    <w:rPr>
      <w:rFonts w:ascii="font-weight : 700" w:hAnsi="font-weight : 700" w:eastAsia="font-weight : 700" w:cs="font-weight : 700"/>
      <w:color w:val="000000"/>
      <w:sz w:val="21"/>
      <w:szCs w:val="21"/>
      <w:u w:val="none"/>
    </w:rPr>
  </w:style>
  <w:style w:type="character" w:customStyle="1" w:styleId="230">
    <w:name w:val="正文文本 2 Char3"/>
    <w:autoRedefine/>
    <w:qFormat/>
    <w:uiPriority w:val="0"/>
    <w:rPr>
      <w:rFonts w:ascii="Calibri" w:hAnsi="Calibri" w:eastAsia="宋体" w:cs="Times New Roman"/>
      <w:szCs w:val="24"/>
    </w:rPr>
  </w:style>
  <w:style w:type="paragraph" w:customStyle="1" w:styleId="231">
    <w:name w:val="msonormal"/>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32">
    <w:name w:val="段"/>
    <w:next w:val="1"/>
    <w:autoRedefine/>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233">
    <w:name w:val="_Style 36"/>
    <w:basedOn w:val="1"/>
    <w:autoRedefine/>
    <w:qFormat/>
    <w:uiPriority w:val="0"/>
    <w:rPr>
      <w:rFonts w:ascii="Tahoma" w:hAnsi="Tahoma"/>
      <w:sz w:val="24"/>
      <w:szCs w:val="20"/>
    </w:rPr>
  </w:style>
  <w:style w:type="paragraph" w:customStyle="1" w:styleId="234">
    <w:name w:val="xl84"/>
    <w:basedOn w:val="1"/>
    <w:autoRedefine/>
    <w:qFormat/>
    <w:uiPriority w:val="0"/>
    <w:pPr>
      <w:widowControl/>
      <w:pBdr>
        <w:top w:val="single" w:color="auto" w:sz="4" w:space="0"/>
        <w:bottom w:val="single" w:color="auto" w:sz="4" w:space="0"/>
      </w:pBdr>
      <w:shd w:val="clear" w:color="000000" w:fill="B1A0C7"/>
      <w:spacing w:before="100" w:beforeAutospacing="1" w:after="100" w:afterAutospacing="1"/>
      <w:jc w:val="left"/>
    </w:pPr>
    <w:rPr>
      <w:rFonts w:ascii="宋体" w:hAnsi="宋体" w:cs="宋体"/>
      <w:kern w:val="0"/>
      <w:sz w:val="20"/>
      <w:szCs w:val="20"/>
    </w:rPr>
  </w:style>
  <w:style w:type="paragraph" w:customStyle="1" w:styleId="235">
    <w:name w:val="修订1"/>
    <w:autoRedefine/>
    <w:qFormat/>
    <w:uiPriority w:val="0"/>
    <w:rPr>
      <w:rFonts w:ascii="Times New Roman" w:hAnsi="Times New Roman" w:eastAsia="宋体" w:cs="Times New Roman"/>
      <w:kern w:val="2"/>
      <w:sz w:val="21"/>
      <w:szCs w:val="24"/>
      <w:lang w:val="en-US" w:eastAsia="zh-CN" w:bidi="ar-SA"/>
    </w:rPr>
  </w:style>
  <w:style w:type="paragraph" w:customStyle="1" w:styleId="236">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2"/>
      <w:szCs w:val="22"/>
    </w:rPr>
  </w:style>
  <w:style w:type="paragraph" w:customStyle="1" w:styleId="237">
    <w:name w:val="首行缩进"/>
    <w:basedOn w:val="1"/>
    <w:autoRedefine/>
    <w:qFormat/>
    <w:uiPriority w:val="0"/>
    <w:pPr>
      <w:ind w:firstLine="480" w:firstLineChars="200"/>
    </w:pPr>
  </w:style>
  <w:style w:type="paragraph" w:customStyle="1" w:styleId="238">
    <w:name w:val="_Style 37"/>
    <w:basedOn w:val="1"/>
    <w:autoRedefine/>
    <w:qFormat/>
    <w:uiPriority w:val="0"/>
    <w:rPr>
      <w:rFonts w:ascii="Tahoma" w:hAnsi="Tahoma" w:eastAsia="Times New Roman"/>
      <w:kern w:val="0"/>
      <w:sz w:val="24"/>
      <w:szCs w:val="20"/>
    </w:rPr>
  </w:style>
  <w:style w:type="paragraph" w:customStyle="1" w:styleId="239">
    <w:name w:val="Default Paragraph Font Para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240">
    <w:name w:val="xl7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pPr>
    <w:rPr>
      <w:rFonts w:ascii="宋体" w:hAnsi="宋体" w:cs="宋体"/>
      <w:b/>
      <w:bCs/>
      <w:kern w:val="0"/>
      <w:sz w:val="24"/>
    </w:rPr>
  </w:style>
  <w:style w:type="paragraph" w:customStyle="1" w:styleId="241">
    <w:name w:val="p16"/>
    <w:basedOn w:val="1"/>
    <w:autoRedefine/>
    <w:qFormat/>
    <w:uiPriority w:val="0"/>
    <w:pPr>
      <w:widowControl/>
    </w:pPr>
    <w:rPr>
      <w:rFonts w:ascii="宋体" w:hAnsi="宋体" w:cs="宋体"/>
      <w:kern w:val="0"/>
      <w:szCs w:val="21"/>
    </w:rPr>
  </w:style>
  <w:style w:type="paragraph" w:customStyle="1" w:styleId="242">
    <w:name w:val="xl8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43">
    <w:name w:val="文档正文"/>
    <w:basedOn w:val="1"/>
    <w:autoRedefine/>
    <w:qFormat/>
    <w:uiPriority w:val="0"/>
    <w:rPr>
      <w:rFonts w:ascii="Arial" w:hAnsi="Arial" w:cs="Arial"/>
      <w:bCs/>
      <w:sz w:val="24"/>
    </w:rPr>
  </w:style>
  <w:style w:type="paragraph" w:customStyle="1" w:styleId="244">
    <w:name w:val="cnfont"/>
    <w:basedOn w:val="1"/>
    <w:autoRedefine/>
    <w:qFormat/>
    <w:uiPriority w:val="0"/>
    <w:pPr>
      <w:widowControl/>
      <w:spacing w:before="100" w:beforeAutospacing="1" w:after="100" w:afterAutospacing="1"/>
      <w:jc w:val="left"/>
    </w:pPr>
    <w:rPr>
      <w:rFonts w:ascii="宋体" w:hAnsi="宋体"/>
      <w:color w:val="000000"/>
      <w:kern w:val="0"/>
      <w:sz w:val="24"/>
    </w:rPr>
  </w:style>
  <w:style w:type="paragraph" w:customStyle="1" w:styleId="245">
    <w:name w:val="xl118"/>
    <w:basedOn w:val="1"/>
    <w:autoRedefine/>
    <w:qFormat/>
    <w:uiPriority w:val="0"/>
    <w:pPr>
      <w:widowControl/>
      <w:pBdr>
        <w:bottom w:val="single" w:color="auto" w:sz="4" w:space="0"/>
      </w:pBdr>
      <w:spacing w:before="100" w:beforeAutospacing="1" w:after="100" w:afterAutospacing="1"/>
      <w:jc w:val="left"/>
    </w:pPr>
    <w:rPr>
      <w:rFonts w:ascii="宋体" w:hAnsi="宋体" w:cs="宋体"/>
      <w:b/>
      <w:bCs/>
      <w:kern w:val="0"/>
      <w:sz w:val="28"/>
      <w:szCs w:val="28"/>
    </w:rPr>
  </w:style>
  <w:style w:type="paragraph" w:customStyle="1" w:styleId="246">
    <w:name w:val="签名 - 公司"/>
    <w:basedOn w:val="34"/>
    <w:next w:val="247"/>
    <w:autoRedefine/>
    <w:qFormat/>
    <w:uiPriority w:val="0"/>
    <w:pPr>
      <w:keepNext/>
      <w:widowControl/>
      <w:tabs>
        <w:tab w:val="left" w:pos="600"/>
        <w:tab w:val="left" w:pos="960"/>
        <w:tab w:val="left" w:pos="1080"/>
      </w:tabs>
      <w:overflowPunct w:val="0"/>
      <w:spacing w:line="360" w:lineRule="auto"/>
      <w:ind w:left="0" w:right="28" w:firstLine="480"/>
      <w:jc w:val="right"/>
    </w:pPr>
    <w:rPr>
      <w:rFonts w:ascii="宋体" w:hAnsi="宋体" w:eastAsia="宋体"/>
      <w:kern w:val="0"/>
    </w:rPr>
  </w:style>
  <w:style w:type="paragraph" w:customStyle="1" w:styleId="247">
    <w:name w:val="关于"/>
    <w:basedOn w:val="1"/>
    <w:next w:val="1"/>
    <w:autoRedefine/>
    <w:qFormat/>
    <w:uiPriority w:val="0"/>
    <w:pPr>
      <w:keepNext/>
      <w:keepLines/>
      <w:widowControl/>
      <w:tabs>
        <w:tab w:val="left" w:pos="600"/>
        <w:tab w:val="left" w:pos="960"/>
        <w:tab w:val="left" w:pos="1080"/>
      </w:tabs>
      <w:overflowPunct w:val="0"/>
      <w:spacing w:before="220" w:line="360" w:lineRule="auto"/>
      <w:ind w:right="28" w:firstLine="480"/>
    </w:pPr>
    <w:rPr>
      <w:rFonts w:ascii="宋体" w:hAnsi="宋体"/>
      <w:kern w:val="0"/>
      <w:sz w:val="24"/>
      <w:szCs w:val="20"/>
    </w:rPr>
  </w:style>
  <w:style w:type="paragraph" w:customStyle="1" w:styleId="248">
    <w:name w:val="xl42"/>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kern w:val="0"/>
      <w:sz w:val="22"/>
      <w:szCs w:val="22"/>
    </w:rPr>
  </w:style>
  <w:style w:type="paragraph" w:customStyle="1" w:styleId="249">
    <w:name w:val="Char Char Char"/>
    <w:basedOn w:val="1"/>
    <w:autoRedefine/>
    <w:qFormat/>
    <w:uiPriority w:val="0"/>
    <w:rPr>
      <w:rFonts w:ascii="Tahoma" w:hAnsi="Tahoma"/>
      <w:sz w:val="24"/>
      <w:szCs w:val="20"/>
    </w:rPr>
  </w:style>
  <w:style w:type="paragraph" w:customStyle="1" w:styleId="250">
    <w:name w:val="正文内容"/>
    <w:basedOn w:val="1"/>
    <w:autoRedefine/>
    <w:qFormat/>
    <w:uiPriority w:val="0"/>
    <w:rPr>
      <w:rFonts w:ascii="Arial" w:hAnsi="Arial"/>
      <w:spacing w:val="-12"/>
      <w:szCs w:val="20"/>
    </w:rPr>
  </w:style>
  <w:style w:type="paragraph" w:customStyle="1" w:styleId="251">
    <w:name w:val="xl92"/>
    <w:basedOn w:val="1"/>
    <w:autoRedefine/>
    <w:qFormat/>
    <w:uiPriority w:val="0"/>
    <w:pPr>
      <w:widowControl/>
      <w:pBdr>
        <w:top w:val="single" w:color="auto" w:sz="4" w:space="0"/>
        <w:bottom w:val="single" w:color="auto" w:sz="4" w:space="0"/>
      </w:pBdr>
      <w:shd w:val="clear" w:color="000000" w:fill="92D050"/>
      <w:spacing w:before="100" w:beforeAutospacing="1" w:after="100" w:afterAutospacing="1"/>
      <w:jc w:val="left"/>
    </w:pPr>
    <w:rPr>
      <w:rFonts w:ascii="宋体" w:hAnsi="宋体" w:cs="宋体"/>
      <w:kern w:val="0"/>
      <w:sz w:val="20"/>
      <w:szCs w:val="20"/>
    </w:rPr>
  </w:style>
  <w:style w:type="paragraph" w:customStyle="1" w:styleId="252">
    <w:name w:val="xl83"/>
    <w:basedOn w:val="1"/>
    <w:autoRedefine/>
    <w:qFormat/>
    <w:uiPriority w:val="0"/>
    <w:pPr>
      <w:widowControl/>
      <w:pBdr>
        <w:top w:val="single" w:color="auto" w:sz="4" w:space="0"/>
        <w:bottom w:val="single" w:color="auto" w:sz="4" w:space="0"/>
      </w:pBdr>
      <w:shd w:val="clear" w:color="000000" w:fill="B1A0C7"/>
      <w:spacing w:before="100" w:beforeAutospacing="1" w:after="100" w:afterAutospacing="1"/>
      <w:jc w:val="left"/>
    </w:pPr>
    <w:rPr>
      <w:rFonts w:ascii="宋体" w:hAnsi="宋体" w:cs="宋体"/>
      <w:kern w:val="0"/>
      <w:sz w:val="20"/>
      <w:szCs w:val="20"/>
    </w:rPr>
  </w:style>
  <w:style w:type="paragraph" w:customStyle="1" w:styleId="253">
    <w:name w:val="xl78"/>
    <w:basedOn w:val="1"/>
    <w:autoRedefine/>
    <w:qFormat/>
    <w:uiPriority w:val="0"/>
    <w:pPr>
      <w:widowControl/>
      <w:pBdr>
        <w:top w:val="single" w:color="auto" w:sz="4" w:space="0"/>
        <w:bottom w:val="single" w:color="auto" w:sz="4" w:space="0"/>
      </w:pBdr>
      <w:shd w:val="clear" w:color="000000" w:fill="FFFF00"/>
      <w:spacing w:before="100" w:beforeAutospacing="1" w:after="100" w:afterAutospacing="1"/>
      <w:jc w:val="left"/>
    </w:pPr>
    <w:rPr>
      <w:rFonts w:ascii="宋体" w:hAnsi="宋体" w:cs="宋体"/>
      <w:kern w:val="0"/>
      <w:sz w:val="20"/>
      <w:szCs w:val="20"/>
    </w:rPr>
  </w:style>
  <w:style w:type="paragraph" w:customStyle="1" w:styleId="254">
    <w:name w:val="Char Char Char1"/>
    <w:basedOn w:val="1"/>
    <w:autoRedefine/>
    <w:qFormat/>
    <w:uiPriority w:val="0"/>
    <w:rPr>
      <w:rFonts w:ascii="Tahoma" w:hAnsi="Tahoma"/>
      <w:sz w:val="24"/>
      <w:szCs w:val="20"/>
    </w:rPr>
  </w:style>
  <w:style w:type="paragraph" w:customStyle="1" w:styleId="255">
    <w:name w:val="_Style 307"/>
    <w:autoRedefine/>
    <w:qFormat/>
    <w:uiPriority w:val="0"/>
    <w:rPr>
      <w:rFonts w:ascii="Calibri" w:hAnsi="Calibri" w:eastAsia="宋体" w:cs="Times New Roman"/>
      <w:kern w:val="2"/>
      <w:sz w:val="21"/>
      <w:szCs w:val="24"/>
      <w:lang w:val="en-US" w:eastAsia="zh-CN" w:bidi="ar-SA"/>
    </w:rPr>
  </w:style>
  <w:style w:type="paragraph" w:customStyle="1" w:styleId="256">
    <w:name w:val="xl9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57">
    <w:name w:val="_Style 254"/>
    <w:autoRedefine/>
    <w:qFormat/>
    <w:uiPriority w:val="0"/>
    <w:rPr>
      <w:rFonts w:ascii="Times New Roman" w:hAnsi="Times New Roman" w:eastAsia="宋体" w:cs="Times New Roman"/>
      <w:kern w:val="2"/>
      <w:sz w:val="21"/>
      <w:szCs w:val="24"/>
      <w:lang w:val="en-US" w:eastAsia="zh-CN" w:bidi="ar-SA"/>
    </w:rPr>
  </w:style>
  <w:style w:type="paragraph" w:customStyle="1" w:styleId="258">
    <w:name w:val="正文幼5号"/>
    <w:basedOn w:val="1"/>
    <w:autoRedefine/>
    <w:qFormat/>
    <w:uiPriority w:val="0"/>
    <w:rPr>
      <w:rFonts w:eastAsia="幼圆"/>
      <w:szCs w:val="20"/>
    </w:rPr>
  </w:style>
  <w:style w:type="paragraph" w:customStyle="1" w:styleId="259">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260">
    <w:name w:val="xl7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jc w:val="center"/>
    </w:pPr>
    <w:rPr>
      <w:rFonts w:ascii="宋体" w:hAnsi="宋体" w:cs="宋体"/>
      <w:b/>
      <w:bCs/>
      <w:kern w:val="0"/>
      <w:sz w:val="20"/>
      <w:szCs w:val="20"/>
    </w:rPr>
  </w:style>
  <w:style w:type="paragraph" w:customStyle="1" w:styleId="261">
    <w:name w:val="tableheading"/>
    <w:basedOn w:val="1"/>
    <w:autoRedefine/>
    <w:qFormat/>
    <w:uiPriority w:val="0"/>
    <w:pPr>
      <w:widowControl/>
      <w:spacing w:before="100" w:beforeAutospacing="1" w:after="100" w:afterAutospacing="1"/>
      <w:jc w:val="left"/>
    </w:pPr>
    <w:rPr>
      <w:rFonts w:ascii="宋体" w:hAnsi="宋体" w:cs="宋体"/>
      <w:b/>
      <w:kern w:val="0"/>
      <w:sz w:val="24"/>
      <w:lang w:val="pt-BR"/>
    </w:rPr>
  </w:style>
  <w:style w:type="paragraph" w:customStyle="1" w:styleId="262">
    <w:name w:val="网格表 32"/>
    <w:basedOn w:val="2"/>
    <w:next w:val="1"/>
    <w:autoRedefine/>
    <w:qFormat/>
    <w:uiPriority w:val="0"/>
    <w:pPr>
      <w:widowControl/>
      <w:tabs>
        <w:tab w:val="clear" w:pos="425"/>
      </w:tabs>
      <w:spacing w:before="0" w:beforeLines="0" w:line="259" w:lineRule="auto"/>
      <w:ind w:left="0" w:firstLine="0"/>
      <w:outlineLvl w:val="9"/>
    </w:pPr>
    <w:rPr>
      <w:rFonts w:ascii="Calibri Light" w:hAnsi="Calibri Light"/>
      <w:bCs w:val="0"/>
      <w:color w:val="2E74B5"/>
      <w:kern w:val="0"/>
      <w:lang w:val="en-US"/>
    </w:rPr>
  </w:style>
  <w:style w:type="paragraph" w:customStyle="1" w:styleId="263">
    <w:name w:val="List Paragraph1"/>
    <w:basedOn w:val="1"/>
    <w:autoRedefine/>
    <w:qFormat/>
    <w:uiPriority w:val="0"/>
    <w:pPr>
      <w:snapToGrid w:val="0"/>
      <w:ind w:firstLine="420" w:firstLineChars="200"/>
    </w:pPr>
    <w:rPr>
      <w:rFonts w:ascii="Calibri" w:hAnsi="Calibri"/>
      <w:kern w:val="0"/>
      <w:szCs w:val="20"/>
    </w:rPr>
  </w:style>
  <w:style w:type="paragraph" w:customStyle="1" w:styleId="264">
    <w:name w:val="中等深浅网格 21"/>
    <w:basedOn w:val="1"/>
    <w:autoRedefine/>
    <w:qFormat/>
    <w:uiPriority w:val="0"/>
    <w:rPr>
      <w:szCs w:val="32"/>
    </w:rPr>
  </w:style>
  <w:style w:type="paragraph" w:customStyle="1" w:styleId="265">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266">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267">
    <w:name w:val="xl7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268">
    <w:name w:val="_Style 265"/>
    <w:basedOn w:val="2"/>
    <w:next w:val="1"/>
    <w:autoRedefine/>
    <w:unhideWhenUsed/>
    <w:qFormat/>
    <w:uiPriority w:val="39"/>
    <w:pPr>
      <w:widowControl/>
      <w:tabs>
        <w:tab w:val="clear" w:pos="425"/>
      </w:tabs>
      <w:spacing w:before="480" w:beforeLines="0" w:line="276" w:lineRule="auto"/>
      <w:ind w:left="0" w:firstLine="0"/>
      <w:outlineLvl w:val="9"/>
    </w:pPr>
    <w:rPr>
      <w:rFonts w:ascii="Cambria" w:hAnsi="Cambria"/>
      <w:b/>
      <w:color w:val="365F91"/>
      <w:kern w:val="0"/>
      <w:sz w:val="28"/>
      <w:szCs w:val="28"/>
      <w:lang w:val="en-US"/>
    </w:rPr>
  </w:style>
  <w:style w:type="paragraph" w:customStyle="1" w:styleId="269">
    <w:name w:val="列出段落4"/>
    <w:basedOn w:val="1"/>
    <w:autoRedefine/>
    <w:qFormat/>
    <w:uiPriority w:val="0"/>
    <w:pPr>
      <w:ind w:firstLine="420" w:firstLineChars="200"/>
    </w:pPr>
  </w:style>
  <w:style w:type="paragraph" w:customStyle="1" w:styleId="270">
    <w:name w:val="xl39"/>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271">
    <w:name w:val="xl10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272">
    <w:name w:val="列出段落2"/>
    <w:basedOn w:val="1"/>
    <w:autoRedefine/>
    <w:qFormat/>
    <w:uiPriority w:val="0"/>
    <w:pPr>
      <w:widowControl/>
      <w:ind w:firstLine="420" w:firstLineChars="200"/>
    </w:pPr>
    <w:rPr>
      <w:rFonts w:hint="eastAsia"/>
      <w:szCs w:val="20"/>
    </w:rPr>
  </w:style>
  <w:style w:type="paragraph" w:customStyle="1" w:styleId="273">
    <w:name w:val="p1"/>
    <w:basedOn w:val="1"/>
    <w:autoRedefine/>
    <w:qFormat/>
    <w:uiPriority w:val="0"/>
    <w:pPr>
      <w:spacing w:line="380" w:lineRule="atLeast"/>
      <w:jc w:val="left"/>
    </w:pPr>
    <w:rPr>
      <w:rFonts w:ascii="Helvetica Neue" w:hAnsi="Helvetica Neue" w:eastAsia="Helvetica Neue"/>
      <w:color w:val="000000"/>
      <w:kern w:val="0"/>
      <w:sz w:val="26"/>
      <w:szCs w:val="26"/>
    </w:rPr>
  </w:style>
  <w:style w:type="paragraph" w:customStyle="1" w:styleId="274">
    <w:name w:val="xl47"/>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275">
    <w:name w:val="Char Char Char Char Char Char Char"/>
    <w:basedOn w:val="1"/>
    <w:autoRedefine/>
    <w:qFormat/>
    <w:uiPriority w:val="0"/>
    <w:rPr>
      <w:szCs w:val="21"/>
    </w:rPr>
  </w:style>
  <w:style w:type="paragraph" w:customStyle="1" w:styleId="276">
    <w:name w:val="Table Heading"/>
    <w:basedOn w:val="1"/>
    <w:autoRedefine/>
    <w:qFormat/>
    <w:uiPriority w:val="0"/>
    <w:pPr>
      <w:widowControl/>
      <w:jc w:val="center"/>
    </w:pPr>
    <w:rPr>
      <w:rFonts w:ascii="Arial" w:hAnsi="Arial"/>
      <w:b/>
      <w:kern w:val="0"/>
      <w:sz w:val="18"/>
      <w:szCs w:val="20"/>
    </w:rPr>
  </w:style>
  <w:style w:type="paragraph" w:customStyle="1" w:styleId="277">
    <w:name w:val="font5"/>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278">
    <w:name w:val="列出段落311"/>
    <w:basedOn w:val="1"/>
    <w:autoRedefine/>
    <w:qFormat/>
    <w:uiPriority w:val="0"/>
    <w:pPr>
      <w:ind w:firstLine="420" w:firstLineChars="200"/>
    </w:pPr>
  </w:style>
  <w:style w:type="paragraph" w:customStyle="1" w:styleId="279">
    <w:name w:val="xl106"/>
    <w:basedOn w:val="1"/>
    <w:autoRedefine/>
    <w:qFormat/>
    <w:uiPriority w:val="0"/>
    <w:pPr>
      <w:widowControl/>
      <w:spacing w:before="100" w:beforeAutospacing="1" w:after="100" w:afterAutospacing="1"/>
      <w:jc w:val="left"/>
      <w:textAlignment w:val="bottom"/>
    </w:pPr>
    <w:rPr>
      <w:rFonts w:ascii="宋体" w:hAnsi="宋体" w:cs="宋体"/>
      <w:kern w:val="0"/>
      <w:sz w:val="20"/>
      <w:szCs w:val="20"/>
    </w:rPr>
  </w:style>
  <w:style w:type="paragraph" w:customStyle="1" w:styleId="280">
    <w:name w:val="图片"/>
    <w:basedOn w:val="1"/>
    <w:autoRedefine/>
    <w:qFormat/>
    <w:uiPriority w:val="0"/>
    <w:pPr>
      <w:jc w:val="center"/>
    </w:pPr>
    <w:rPr>
      <w:rFonts w:ascii="黑体" w:eastAsia="黑体"/>
    </w:rPr>
  </w:style>
  <w:style w:type="paragraph" w:styleId="281">
    <w:name w:val="List Paragraph"/>
    <w:basedOn w:val="1"/>
    <w:autoRedefine/>
    <w:qFormat/>
    <w:uiPriority w:val="0"/>
    <w:pPr>
      <w:ind w:firstLine="420" w:firstLineChars="200"/>
    </w:pPr>
  </w:style>
  <w:style w:type="paragraph" w:customStyle="1" w:styleId="282">
    <w:name w:val="Normal New"/>
    <w:autoRedefine/>
    <w:qFormat/>
    <w:uiPriority w:val="0"/>
    <w:pPr>
      <w:jc w:val="both"/>
    </w:pPr>
    <w:rPr>
      <w:rFonts w:ascii="Times New Roman" w:hAnsi="Times New Roman" w:eastAsia="宋体" w:cs="Times New Roman"/>
      <w:kern w:val="2"/>
      <w:sz w:val="21"/>
      <w:lang w:val="en-US" w:eastAsia="zh-CN" w:bidi="ar-SA"/>
    </w:rPr>
  </w:style>
  <w:style w:type="paragraph" w:customStyle="1" w:styleId="283">
    <w:name w:val="_Style 10"/>
    <w:basedOn w:val="1"/>
    <w:autoRedefine/>
    <w:qFormat/>
    <w:uiPriority w:val="0"/>
    <w:pPr>
      <w:ind w:firstLine="420" w:firstLineChars="200"/>
    </w:pPr>
    <w:rPr>
      <w:rFonts w:ascii="Calibri" w:hAnsi="Calibri"/>
      <w:szCs w:val="20"/>
    </w:rPr>
  </w:style>
  <w:style w:type="paragraph" w:customStyle="1" w:styleId="284">
    <w:name w:val="xl107"/>
    <w:basedOn w:val="1"/>
    <w:autoRedefine/>
    <w:qFormat/>
    <w:uiPriority w:val="0"/>
    <w:pPr>
      <w:widowControl/>
      <w:spacing w:before="100" w:beforeAutospacing="1" w:after="100" w:afterAutospacing="1"/>
      <w:jc w:val="left"/>
      <w:textAlignment w:val="bottom"/>
    </w:pPr>
    <w:rPr>
      <w:rFonts w:ascii="宋体" w:hAnsi="宋体" w:cs="宋体"/>
      <w:kern w:val="0"/>
      <w:sz w:val="20"/>
      <w:szCs w:val="20"/>
    </w:rPr>
  </w:style>
  <w:style w:type="paragraph" w:customStyle="1" w:styleId="285">
    <w:name w:val="z1"/>
    <w:basedOn w:val="1"/>
    <w:autoRedefine/>
    <w:qFormat/>
    <w:uiPriority w:val="0"/>
    <w:pPr>
      <w:widowControl/>
      <w:wordWrap w:val="0"/>
      <w:adjustRightInd w:val="0"/>
      <w:snapToGrid w:val="0"/>
      <w:spacing w:before="156" w:beforeLines="50" w:after="156" w:afterLines="50" w:line="300" w:lineRule="auto"/>
      <w:ind w:left="359" w:leftChars="171" w:firstLine="480" w:firstLineChars="200"/>
    </w:pPr>
    <w:rPr>
      <w:rFonts w:ascii="Arial" w:hAnsi="Arial"/>
      <w:sz w:val="24"/>
      <w:szCs w:val="21"/>
    </w:rPr>
  </w:style>
  <w:style w:type="paragraph" w:customStyle="1" w:styleId="286">
    <w:name w:val="修订2"/>
    <w:autoRedefine/>
    <w:qFormat/>
    <w:uiPriority w:val="0"/>
    <w:rPr>
      <w:rFonts w:ascii="Times New Roman" w:hAnsi="Times New Roman" w:eastAsia="宋体" w:cs="Times New Roman"/>
      <w:kern w:val="2"/>
      <w:sz w:val="21"/>
      <w:szCs w:val="24"/>
      <w:lang w:val="en-US" w:eastAsia="zh-CN" w:bidi="ar-SA"/>
    </w:rPr>
  </w:style>
  <w:style w:type="paragraph" w:customStyle="1" w:styleId="287">
    <w:name w:val="xl48"/>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288">
    <w:name w:val="xl43"/>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289">
    <w:name w:val="xl120"/>
    <w:basedOn w:val="1"/>
    <w:autoRedefine/>
    <w:qFormat/>
    <w:uiPriority w:val="0"/>
    <w:pPr>
      <w:widowControl/>
      <w:pBdr>
        <w:top w:val="single" w:color="auto" w:sz="4" w:space="0"/>
        <w:bottom w:val="single" w:color="auto" w:sz="4" w:space="0"/>
      </w:pBdr>
      <w:spacing w:before="100" w:beforeAutospacing="1" w:after="100" w:afterAutospacing="1"/>
      <w:jc w:val="right"/>
    </w:pPr>
    <w:rPr>
      <w:rFonts w:ascii="宋体" w:hAnsi="宋体" w:cs="宋体"/>
      <w:b/>
      <w:bCs/>
      <w:kern w:val="0"/>
      <w:sz w:val="20"/>
      <w:szCs w:val="20"/>
    </w:rPr>
  </w:style>
  <w:style w:type="paragraph" w:customStyle="1" w:styleId="290">
    <w:name w:val="font7"/>
    <w:basedOn w:val="1"/>
    <w:autoRedefine/>
    <w:qFormat/>
    <w:uiPriority w:val="0"/>
    <w:pPr>
      <w:widowControl/>
      <w:spacing w:before="100" w:beforeAutospacing="1" w:after="100" w:afterAutospacing="1"/>
      <w:jc w:val="left"/>
    </w:pPr>
    <w:rPr>
      <w:kern w:val="0"/>
      <w:sz w:val="22"/>
      <w:szCs w:val="22"/>
    </w:rPr>
  </w:style>
  <w:style w:type="paragraph" w:customStyle="1" w:styleId="291">
    <w:name w:val="xl2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292">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293">
    <w:name w:val="font8"/>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294">
    <w:name w:val="xl85"/>
    <w:basedOn w:val="1"/>
    <w:autoRedefine/>
    <w:qFormat/>
    <w:uiPriority w:val="0"/>
    <w:pPr>
      <w:widowControl/>
      <w:pBdr>
        <w:top w:val="single" w:color="auto" w:sz="4" w:space="0"/>
        <w:bottom w:val="single" w:color="auto" w:sz="4" w:space="0"/>
        <w:right w:val="single" w:color="auto" w:sz="4" w:space="0"/>
      </w:pBdr>
      <w:shd w:val="clear" w:color="000000" w:fill="B1A0C7"/>
      <w:spacing w:before="100" w:beforeAutospacing="1" w:after="100" w:afterAutospacing="1"/>
      <w:jc w:val="left"/>
    </w:pPr>
    <w:rPr>
      <w:rFonts w:ascii="宋体" w:hAnsi="宋体" w:cs="宋体"/>
      <w:kern w:val="0"/>
      <w:sz w:val="20"/>
      <w:szCs w:val="20"/>
    </w:rPr>
  </w:style>
  <w:style w:type="paragraph" w:customStyle="1" w:styleId="295">
    <w:name w:val="p0"/>
    <w:basedOn w:val="1"/>
    <w:autoRedefine/>
    <w:qFormat/>
    <w:uiPriority w:val="0"/>
    <w:pPr>
      <w:widowControl/>
    </w:pPr>
    <w:rPr>
      <w:kern w:val="0"/>
      <w:szCs w:val="21"/>
    </w:rPr>
  </w:style>
  <w:style w:type="paragraph" w:customStyle="1" w:styleId="296">
    <w:name w:val="Char Char Char Char Char Char Char Char Char Char Char Char Char"/>
    <w:basedOn w:val="1"/>
    <w:autoRedefine/>
    <w:qFormat/>
    <w:uiPriority w:val="0"/>
    <w:pPr>
      <w:spacing w:after="160" w:line="240" w:lineRule="exact"/>
    </w:pPr>
    <w:rPr>
      <w:sz w:val="24"/>
      <w:szCs w:val="20"/>
      <w:lang w:eastAsia="zh-TW"/>
    </w:rPr>
  </w:style>
  <w:style w:type="paragraph" w:customStyle="1" w:styleId="297">
    <w:name w:val="xl35"/>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kern w:val="0"/>
      <w:sz w:val="22"/>
      <w:szCs w:val="22"/>
    </w:rPr>
  </w:style>
  <w:style w:type="paragraph" w:customStyle="1" w:styleId="298">
    <w:name w:val="xl7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299">
    <w:name w:val="网格表 31"/>
    <w:basedOn w:val="2"/>
    <w:next w:val="1"/>
    <w:autoRedefine/>
    <w:qFormat/>
    <w:uiPriority w:val="0"/>
    <w:pPr>
      <w:widowControl/>
      <w:tabs>
        <w:tab w:val="clear" w:pos="425"/>
      </w:tabs>
      <w:spacing w:line="257" w:lineRule="auto"/>
      <w:ind w:left="0" w:firstLine="0"/>
      <w:outlineLvl w:val="9"/>
    </w:pPr>
    <w:rPr>
      <w:rFonts w:ascii="Calibri Light" w:hAnsi="Calibri Light"/>
      <w:bCs w:val="0"/>
      <w:color w:val="2E74B5"/>
      <w:kern w:val="0"/>
      <w:lang w:val="en-US"/>
    </w:rPr>
  </w:style>
  <w:style w:type="paragraph" w:customStyle="1" w:styleId="300">
    <w:name w:val="xl7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b/>
      <w:bCs/>
      <w:kern w:val="0"/>
      <w:sz w:val="24"/>
    </w:rPr>
  </w:style>
  <w:style w:type="paragraph" w:customStyle="1" w:styleId="301">
    <w:name w:val="xl109"/>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02">
    <w:name w:val="font6"/>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303">
    <w:name w:val="font10"/>
    <w:basedOn w:val="1"/>
    <w:autoRedefine/>
    <w:qFormat/>
    <w:uiPriority w:val="0"/>
    <w:pPr>
      <w:widowControl/>
      <w:spacing w:before="100" w:beforeAutospacing="1" w:after="100" w:afterAutospacing="1"/>
      <w:jc w:val="left"/>
    </w:pPr>
    <w:rPr>
      <w:kern w:val="0"/>
      <w:sz w:val="20"/>
      <w:szCs w:val="20"/>
    </w:rPr>
  </w:style>
  <w:style w:type="paragraph" w:customStyle="1" w:styleId="304">
    <w:name w:val="xl75"/>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305">
    <w:name w:val="正文_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6">
    <w:name w:val="xl95"/>
    <w:basedOn w:val="1"/>
    <w:autoRedefine/>
    <w:qFormat/>
    <w:uiPriority w:val="0"/>
    <w:pPr>
      <w:widowControl/>
      <w:pBdr>
        <w:top w:val="single" w:color="auto" w:sz="4" w:space="0"/>
        <w:bottom w:val="single" w:color="auto" w:sz="4" w:space="0"/>
        <w:right w:val="single" w:color="auto" w:sz="4" w:space="0"/>
      </w:pBdr>
      <w:shd w:val="clear" w:color="000000" w:fill="92D050"/>
      <w:spacing w:before="100" w:beforeAutospacing="1" w:after="100" w:afterAutospacing="1"/>
      <w:jc w:val="left"/>
    </w:pPr>
    <w:rPr>
      <w:rFonts w:ascii="宋体" w:hAnsi="宋体" w:cs="宋体"/>
      <w:kern w:val="0"/>
      <w:sz w:val="20"/>
      <w:szCs w:val="20"/>
    </w:rPr>
  </w:style>
  <w:style w:type="paragraph" w:customStyle="1" w:styleId="307">
    <w:name w:val="xl9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08">
    <w:name w:val="xl105"/>
    <w:basedOn w:val="1"/>
    <w:autoRedefine/>
    <w:qFormat/>
    <w:uiPriority w:val="0"/>
    <w:pPr>
      <w:widowControl/>
      <w:spacing w:before="100" w:beforeAutospacing="1" w:after="100" w:afterAutospacing="1"/>
      <w:jc w:val="left"/>
      <w:textAlignment w:val="bottom"/>
    </w:pPr>
    <w:rPr>
      <w:rFonts w:ascii="宋体" w:hAnsi="宋体" w:cs="宋体"/>
      <w:kern w:val="0"/>
      <w:sz w:val="20"/>
      <w:szCs w:val="20"/>
    </w:rPr>
  </w:style>
  <w:style w:type="paragraph" w:customStyle="1" w:styleId="309">
    <w:name w:val="xl3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b/>
      <w:bCs/>
      <w:kern w:val="0"/>
      <w:sz w:val="22"/>
      <w:szCs w:val="22"/>
    </w:rPr>
  </w:style>
  <w:style w:type="paragraph" w:customStyle="1" w:styleId="310">
    <w:name w:val="xl11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311">
    <w:name w:val="xl11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12">
    <w:name w:val="列出段落11"/>
    <w:basedOn w:val="1"/>
    <w:autoRedefine/>
    <w:qFormat/>
    <w:uiPriority w:val="0"/>
    <w:pPr>
      <w:ind w:firstLine="420" w:firstLineChars="200"/>
    </w:pPr>
    <w:rPr>
      <w:szCs w:val="20"/>
    </w:rPr>
  </w:style>
  <w:style w:type="paragraph" w:customStyle="1" w:styleId="313">
    <w:name w:val="xl119"/>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right"/>
    </w:pPr>
    <w:rPr>
      <w:rFonts w:ascii="宋体" w:hAnsi="宋体" w:cs="宋体"/>
      <w:b/>
      <w:bCs/>
      <w:kern w:val="0"/>
      <w:sz w:val="20"/>
      <w:szCs w:val="20"/>
    </w:rPr>
  </w:style>
  <w:style w:type="paragraph" w:customStyle="1" w:styleId="314">
    <w:name w:val="_Style 29"/>
    <w:basedOn w:val="1"/>
    <w:autoRedefine/>
    <w:qFormat/>
    <w:uiPriority w:val="0"/>
    <w:rPr>
      <w:rFonts w:ascii="Tahoma" w:hAnsi="Tahoma"/>
      <w:sz w:val="24"/>
      <w:szCs w:val="20"/>
    </w:rPr>
  </w:style>
  <w:style w:type="paragraph" w:customStyle="1" w:styleId="315">
    <w:name w:val="xl51"/>
    <w:basedOn w:val="1"/>
    <w:autoRedefine/>
    <w:qFormat/>
    <w:uiPriority w:val="0"/>
    <w:pPr>
      <w:widowControl/>
      <w:pBdr>
        <w:bottom w:val="single" w:color="auto" w:sz="4" w:space="0"/>
        <w:right w:val="single" w:color="auto" w:sz="4" w:space="0"/>
      </w:pBdr>
      <w:spacing w:before="100" w:beforeAutospacing="1" w:after="100" w:afterAutospacing="1"/>
      <w:textAlignment w:val="center"/>
    </w:pPr>
    <w:rPr>
      <w:rFonts w:ascii="Arial" w:hAnsi="Arial" w:eastAsia="Arial Unicode MS" w:cs="Arial"/>
      <w:kern w:val="0"/>
      <w:szCs w:val="21"/>
    </w:rPr>
  </w:style>
  <w:style w:type="paragraph" w:customStyle="1" w:styleId="316">
    <w:name w:val="1"/>
    <w:basedOn w:val="1"/>
    <w:next w:val="27"/>
    <w:autoRedefine/>
    <w:qFormat/>
    <w:uiPriority w:val="0"/>
    <w:rPr>
      <w:rFonts w:ascii="宋体" w:hAnsi="Courier New"/>
      <w:szCs w:val="20"/>
    </w:rPr>
  </w:style>
  <w:style w:type="paragraph" w:customStyle="1" w:styleId="317">
    <w:name w:val="xl4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4"/>
    </w:rPr>
  </w:style>
  <w:style w:type="paragraph" w:customStyle="1" w:styleId="318">
    <w:name w:val="正文1"/>
    <w:autoRedefine/>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319">
    <w:name w:val="xl32"/>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320">
    <w:name w:val="xl44"/>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321">
    <w:name w:val="表格"/>
    <w:basedOn w:val="1"/>
    <w:autoRedefine/>
    <w:qFormat/>
    <w:uiPriority w:val="0"/>
    <w:rPr>
      <w:rFonts w:ascii="宋体" w:hAnsi="宋体"/>
      <w:szCs w:val="21"/>
    </w:rPr>
  </w:style>
  <w:style w:type="paragraph" w:customStyle="1" w:styleId="322">
    <w:name w:val="Char1 Char Char Char"/>
    <w:basedOn w:val="1"/>
    <w:autoRedefine/>
    <w:qFormat/>
    <w:uiPriority w:val="0"/>
    <w:rPr>
      <w:rFonts w:ascii="Tahoma" w:hAnsi="Tahoma"/>
    </w:rPr>
  </w:style>
  <w:style w:type="paragraph" w:customStyle="1" w:styleId="323">
    <w:name w:val="正文缩进1"/>
    <w:basedOn w:val="1"/>
    <w:autoRedefine/>
    <w:qFormat/>
    <w:uiPriority w:val="0"/>
    <w:pPr>
      <w:ind w:firstLine="567"/>
    </w:pPr>
    <w:rPr>
      <w:spacing w:val="20"/>
      <w:sz w:val="24"/>
      <w:szCs w:val="20"/>
    </w:rPr>
  </w:style>
  <w:style w:type="paragraph" w:customStyle="1" w:styleId="324">
    <w:name w:val="xl8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25">
    <w:name w:val="8"/>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6">
    <w:name w:val="font9"/>
    <w:basedOn w:val="1"/>
    <w:autoRedefine/>
    <w:qFormat/>
    <w:uiPriority w:val="0"/>
    <w:pPr>
      <w:widowControl/>
      <w:spacing w:before="100" w:beforeAutospacing="1" w:after="100" w:afterAutospacing="1"/>
      <w:jc w:val="left"/>
    </w:pPr>
    <w:rPr>
      <w:rFonts w:hint="eastAsia" w:ascii="宋体" w:hAnsi="宋体"/>
      <w:kern w:val="0"/>
      <w:sz w:val="22"/>
      <w:szCs w:val="22"/>
    </w:rPr>
  </w:style>
  <w:style w:type="paragraph" w:customStyle="1" w:styleId="327">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328">
    <w:name w:val="xl117"/>
    <w:basedOn w:val="1"/>
    <w:autoRedefine/>
    <w:qFormat/>
    <w:uiPriority w:val="0"/>
    <w:pPr>
      <w:widowControl/>
      <w:pBdr>
        <w:bottom w:val="single" w:color="auto" w:sz="4" w:space="0"/>
      </w:pBdr>
      <w:spacing w:before="100" w:beforeAutospacing="1" w:after="100" w:afterAutospacing="1"/>
      <w:jc w:val="left"/>
    </w:pPr>
    <w:rPr>
      <w:rFonts w:ascii="宋体" w:hAnsi="宋体" w:cs="宋体"/>
      <w:b/>
      <w:bCs/>
      <w:kern w:val="0"/>
      <w:sz w:val="28"/>
      <w:szCs w:val="28"/>
    </w:rPr>
  </w:style>
  <w:style w:type="paragraph" w:customStyle="1" w:styleId="329">
    <w:name w:val="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30">
    <w:name w:val="xl91"/>
    <w:basedOn w:val="1"/>
    <w:autoRedefine/>
    <w:qFormat/>
    <w:uiPriority w:val="0"/>
    <w:pPr>
      <w:widowControl/>
      <w:pBdr>
        <w:top w:val="single" w:color="auto" w:sz="4" w:space="0"/>
        <w:left w:val="single" w:color="auto" w:sz="4" w:space="0"/>
        <w:bottom w:val="single" w:color="auto" w:sz="4" w:space="0"/>
      </w:pBdr>
      <w:shd w:val="clear" w:color="000000" w:fill="92D050"/>
      <w:spacing w:before="100" w:beforeAutospacing="1" w:after="100" w:afterAutospacing="1"/>
      <w:jc w:val="left"/>
    </w:pPr>
    <w:rPr>
      <w:rFonts w:ascii="宋体" w:hAnsi="宋体" w:cs="宋体"/>
      <w:kern w:val="0"/>
      <w:sz w:val="20"/>
      <w:szCs w:val="20"/>
    </w:rPr>
  </w:style>
  <w:style w:type="paragraph" w:customStyle="1" w:styleId="331">
    <w:name w:val="Item List in Table"/>
    <w:autoRedefine/>
    <w:qFormat/>
    <w:uiPriority w:val="0"/>
    <w:pPr>
      <w:numPr>
        <w:ilvl w:val="0"/>
        <w:numId w:val="1"/>
      </w:numPr>
      <w:spacing w:before="40" w:after="40"/>
      <w:jc w:val="both"/>
    </w:pPr>
    <w:rPr>
      <w:rFonts w:ascii="Arial" w:hAnsi="Arial" w:eastAsia="宋体" w:cs="Arial"/>
      <w:sz w:val="18"/>
      <w:szCs w:val="18"/>
      <w:lang w:val="en-US" w:eastAsia="zh-CN" w:bidi="ar-SA"/>
    </w:rPr>
  </w:style>
  <w:style w:type="paragraph" w:customStyle="1" w:styleId="332">
    <w:name w:val="列表段落1"/>
    <w:basedOn w:val="1"/>
    <w:autoRedefine/>
    <w:qFormat/>
    <w:uiPriority w:val="0"/>
    <w:pPr>
      <w:ind w:firstLine="420" w:firstLineChars="200"/>
    </w:pPr>
  </w:style>
  <w:style w:type="paragraph" w:customStyle="1" w:styleId="333">
    <w:name w:val="xl3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334">
    <w:name w:val="xl94"/>
    <w:basedOn w:val="1"/>
    <w:autoRedefine/>
    <w:qFormat/>
    <w:uiPriority w:val="0"/>
    <w:pPr>
      <w:widowControl/>
      <w:pBdr>
        <w:top w:val="single" w:color="auto" w:sz="4" w:space="0"/>
        <w:bottom w:val="single" w:color="auto" w:sz="4" w:space="0"/>
      </w:pBdr>
      <w:shd w:val="clear" w:color="000000" w:fill="92D050"/>
      <w:spacing w:before="100" w:beforeAutospacing="1" w:after="100" w:afterAutospacing="1"/>
      <w:jc w:val="left"/>
    </w:pPr>
    <w:rPr>
      <w:rFonts w:ascii="宋体" w:hAnsi="宋体" w:cs="宋体"/>
      <w:kern w:val="0"/>
      <w:sz w:val="20"/>
      <w:szCs w:val="20"/>
    </w:rPr>
  </w:style>
  <w:style w:type="paragraph" w:customStyle="1" w:styleId="335">
    <w:name w:val="Defaul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36">
    <w:name w:val="表格正文"/>
    <w:basedOn w:val="1"/>
    <w:autoRedefine/>
    <w:qFormat/>
    <w:uiPriority w:val="0"/>
    <w:pPr>
      <w:spacing w:before="20" w:after="20"/>
    </w:pPr>
    <w:rPr>
      <w:szCs w:val="20"/>
    </w:rPr>
  </w:style>
  <w:style w:type="paragraph" w:customStyle="1" w:styleId="337">
    <w:name w:val="xl81"/>
    <w:basedOn w:val="1"/>
    <w:autoRedefine/>
    <w:qFormat/>
    <w:uiPriority w:val="0"/>
    <w:pPr>
      <w:widowControl/>
      <w:pBdr>
        <w:top w:val="single" w:color="auto" w:sz="4" w:space="0"/>
        <w:left w:val="single" w:color="auto" w:sz="4" w:space="0"/>
        <w:bottom w:val="single" w:color="auto" w:sz="4" w:space="0"/>
      </w:pBdr>
      <w:shd w:val="clear" w:color="000000" w:fill="B1A0C7"/>
      <w:spacing w:before="100" w:beforeAutospacing="1" w:after="100" w:afterAutospacing="1"/>
      <w:jc w:val="left"/>
    </w:pPr>
    <w:rPr>
      <w:rFonts w:ascii="宋体" w:hAnsi="宋体" w:cs="宋体"/>
      <w:kern w:val="0"/>
      <w:sz w:val="20"/>
      <w:szCs w:val="20"/>
    </w:rPr>
  </w:style>
  <w:style w:type="paragraph" w:customStyle="1" w:styleId="338">
    <w:name w:val="xl11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39">
    <w:name w:val="xl2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340">
    <w:name w:val="xl82"/>
    <w:basedOn w:val="1"/>
    <w:autoRedefine/>
    <w:qFormat/>
    <w:uiPriority w:val="0"/>
    <w:pPr>
      <w:widowControl/>
      <w:pBdr>
        <w:top w:val="single" w:color="auto" w:sz="4" w:space="0"/>
        <w:bottom w:val="single" w:color="auto" w:sz="4" w:space="0"/>
      </w:pBdr>
      <w:shd w:val="clear" w:color="000000" w:fill="B1A0C7"/>
      <w:spacing w:before="100" w:beforeAutospacing="1" w:after="100" w:afterAutospacing="1"/>
      <w:jc w:val="left"/>
    </w:pPr>
    <w:rPr>
      <w:rFonts w:ascii="宋体" w:hAnsi="宋体" w:cs="宋体"/>
      <w:kern w:val="0"/>
      <w:sz w:val="20"/>
      <w:szCs w:val="20"/>
    </w:rPr>
  </w:style>
  <w:style w:type="paragraph" w:customStyle="1" w:styleId="341">
    <w:name w:val="xl9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42">
    <w:name w:val="xl3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kern w:val="0"/>
      <w:sz w:val="22"/>
      <w:szCs w:val="22"/>
    </w:rPr>
  </w:style>
  <w:style w:type="paragraph" w:customStyle="1" w:styleId="343">
    <w:name w:val="font11"/>
    <w:basedOn w:val="1"/>
    <w:autoRedefine/>
    <w:qFormat/>
    <w:uiPriority w:val="0"/>
    <w:pPr>
      <w:widowControl/>
      <w:spacing w:before="100" w:beforeAutospacing="1" w:after="100" w:afterAutospacing="1"/>
      <w:jc w:val="left"/>
    </w:pPr>
    <w:rPr>
      <w:rFonts w:ascii="宋体" w:hAnsi="宋体" w:cs="宋体"/>
      <w:kern w:val="0"/>
      <w:sz w:val="20"/>
      <w:szCs w:val="20"/>
    </w:rPr>
  </w:style>
  <w:style w:type="paragraph" w:customStyle="1" w:styleId="344">
    <w:name w:val="标题5"/>
    <w:basedOn w:val="1"/>
    <w:autoRedefine/>
    <w:qFormat/>
    <w:uiPriority w:val="0"/>
    <w:pPr>
      <w:spacing w:before="120" w:after="120"/>
    </w:pPr>
    <w:rPr>
      <w:rFonts w:ascii="宋体"/>
      <w:b/>
      <w:sz w:val="28"/>
    </w:rPr>
  </w:style>
  <w:style w:type="paragraph" w:customStyle="1" w:styleId="345">
    <w:name w:val="xl10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46">
    <w:name w:val="样式4"/>
    <w:basedOn w:val="35"/>
    <w:autoRedefine/>
    <w:qFormat/>
    <w:uiPriority w:val="0"/>
    <w:pPr>
      <w:tabs>
        <w:tab w:val="right" w:leader="dot" w:pos="9458"/>
      </w:tabs>
      <w:spacing w:before="120" w:after="120"/>
      <w:jc w:val="left"/>
    </w:pPr>
    <w:rPr>
      <w:rFonts w:ascii="Times New Roman" w:hAnsi="Times New Roman"/>
      <w:bCs/>
      <w:caps/>
      <w:szCs w:val="24"/>
    </w:rPr>
  </w:style>
  <w:style w:type="paragraph" w:customStyle="1" w:styleId="347">
    <w:name w:val="xl3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2"/>
      <w:szCs w:val="22"/>
    </w:rPr>
  </w:style>
  <w:style w:type="paragraph" w:customStyle="1" w:styleId="348">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49">
    <w:name w:val="样式5"/>
    <w:basedOn w:val="346"/>
    <w:next w:val="346"/>
    <w:autoRedefine/>
    <w:qFormat/>
    <w:uiPriority w:val="0"/>
  </w:style>
  <w:style w:type="paragraph" w:customStyle="1" w:styleId="350">
    <w:name w:val="Char Char Char Char"/>
    <w:autoRedefine/>
    <w:qFormat/>
    <w:uiPriority w:val="0"/>
    <w:pPr>
      <w:shd w:val="clear" w:color="auto" w:fill="000080"/>
      <w:adjustRightInd w:val="0"/>
      <w:spacing w:line="436" w:lineRule="exact"/>
      <w:ind w:left="357"/>
      <w:outlineLvl w:val="3"/>
    </w:pPr>
    <w:rPr>
      <w:rFonts w:ascii="Times New Roman" w:hAnsi="Times New Roman" w:eastAsia="宋体" w:cs="Times New Roman"/>
      <w:lang w:val="en-US" w:eastAsia="zh-CN" w:bidi="ar-SA"/>
    </w:rPr>
  </w:style>
  <w:style w:type="paragraph" w:customStyle="1" w:styleId="351">
    <w:name w:val="xl33"/>
    <w:basedOn w:val="1"/>
    <w:autoRedefine/>
    <w:qFormat/>
    <w:uiPriority w:val="0"/>
    <w:pPr>
      <w:widowControl/>
      <w:spacing w:before="100" w:beforeAutospacing="1" w:after="100" w:afterAutospacing="1"/>
      <w:jc w:val="left"/>
      <w:textAlignment w:val="center"/>
    </w:pPr>
    <w:rPr>
      <w:rFonts w:ascii="宋体" w:hAnsi="宋体"/>
      <w:b/>
      <w:bCs/>
      <w:kern w:val="0"/>
      <w:sz w:val="28"/>
      <w:szCs w:val="28"/>
    </w:rPr>
  </w:style>
  <w:style w:type="paragraph" w:customStyle="1" w:styleId="352">
    <w:name w:val="9"/>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53">
    <w:name w:val="xl10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54">
    <w:name w:val="xl10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55">
    <w:name w:val="网格表 311"/>
    <w:basedOn w:val="2"/>
    <w:next w:val="1"/>
    <w:autoRedefine/>
    <w:qFormat/>
    <w:uiPriority w:val="0"/>
    <w:pPr>
      <w:widowControl/>
      <w:tabs>
        <w:tab w:val="clear" w:pos="425"/>
      </w:tabs>
      <w:spacing w:before="0" w:beforeLines="0" w:line="259" w:lineRule="auto"/>
      <w:ind w:left="0" w:firstLine="0"/>
      <w:outlineLvl w:val="9"/>
    </w:pPr>
    <w:rPr>
      <w:rFonts w:ascii="Calibri Light" w:hAnsi="Calibri Light"/>
      <w:bCs w:val="0"/>
      <w:color w:val="2E74B5"/>
      <w:kern w:val="0"/>
      <w:lang w:val="en-US"/>
    </w:rPr>
  </w:style>
  <w:style w:type="paragraph" w:customStyle="1" w:styleId="356">
    <w:name w:val="xl37"/>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2"/>
      <w:szCs w:val="22"/>
    </w:rPr>
  </w:style>
  <w:style w:type="paragraph" w:customStyle="1" w:styleId="357">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b/>
      <w:bCs/>
      <w:kern w:val="0"/>
      <w:sz w:val="22"/>
      <w:szCs w:val="22"/>
    </w:rPr>
  </w:style>
  <w:style w:type="paragraph" w:customStyle="1" w:styleId="358">
    <w:name w:val="xl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59">
    <w:name w:val="xl45"/>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360">
    <w:name w:val="Table Body"/>
    <w:basedOn w:val="1"/>
    <w:autoRedefine/>
    <w:qFormat/>
    <w:uiPriority w:val="0"/>
    <w:pPr>
      <w:widowControl/>
      <w:jc w:val="center"/>
    </w:pPr>
    <w:rPr>
      <w:rFonts w:ascii="Arial" w:hAnsi="Arial"/>
      <w:snapToGrid w:val="0"/>
      <w:kern w:val="0"/>
      <w:sz w:val="18"/>
      <w:szCs w:val="20"/>
    </w:rPr>
  </w:style>
  <w:style w:type="paragraph" w:customStyle="1" w:styleId="361">
    <w:name w:val="xl79"/>
    <w:basedOn w:val="1"/>
    <w:autoRedefine/>
    <w:qFormat/>
    <w:uiPriority w:val="0"/>
    <w:pPr>
      <w:widowControl/>
      <w:pBdr>
        <w:top w:val="single" w:color="auto" w:sz="4" w:space="0"/>
        <w:bottom w:val="single" w:color="auto" w:sz="4" w:space="0"/>
      </w:pBdr>
      <w:shd w:val="clear" w:color="000000" w:fill="FFFF00"/>
      <w:spacing w:before="100" w:beforeAutospacing="1" w:after="100" w:afterAutospacing="1"/>
      <w:jc w:val="left"/>
    </w:pPr>
    <w:rPr>
      <w:rFonts w:ascii="宋体" w:hAnsi="宋体" w:cs="宋体"/>
      <w:kern w:val="0"/>
      <w:sz w:val="20"/>
      <w:szCs w:val="20"/>
    </w:rPr>
  </w:style>
  <w:style w:type="paragraph" w:customStyle="1" w:styleId="362">
    <w:name w:val="xl2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2"/>
      <w:szCs w:val="22"/>
    </w:rPr>
  </w:style>
  <w:style w:type="paragraph" w:customStyle="1" w:styleId="363">
    <w:name w:val="xl80"/>
    <w:basedOn w:val="1"/>
    <w:autoRedefine/>
    <w:qFormat/>
    <w:uiPriority w:val="0"/>
    <w:pPr>
      <w:widowControl/>
      <w:pBdr>
        <w:top w:val="single" w:color="auto" w:sz="4" w:space="0"/>
        <w:bottom w:val="single" w:color="auto" w:sz="4" w:space="0"/>
        <w:right w:val="single" w:color="auto" w:sz="4" w:space="0"/>
      </w:pBdr>
      <w:shd w:val="clear" w:color="000000" w:fill="FFFF00"/>
      <w:spacing w:before="100" w:beforeAutospacing="1" w:after="100" w:afterAutospacing="1"/>
      <w:jc w:val="left"/>
    </w:pPr>
    <w:rPr>
      <w:rFonts w:ascii="宋体" w:hAnsi="宋体" w:cs="宋体"/>
      <w:kern w:val="0"/>
      <w:sz w:val="20"/>
      <w:szCs w:val="20"/>
    </w:rPr>
  </w:style>
  <w:style w:type="paragraph" w:customStyle="1" w:styleId="364">
    <w:name w:val="xl11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65">
    <w:name w:val="Body text|1"/>
    <w:basedOn w:val="1"/>
    <w:autoRedefine/>
    <w:qFormat/>
    <w:uiPriority w:val="0"/>
    <w:pPr>
      <w:spacing w:line="350" w:lineRule="auto"/>
      <w:ind w:firstLine="400"/>
      <w:jc w:val="left"/>
    </w:pPr>
    <w:rPr>
      <w:rFonts w:ascii="宋体" w:hAnsi="宋体" w:cs="宋体"/>
      <w:kern w:val="0"/>
      <w:sz w:val="30"/>
      <w:szCs w:val="30"/>
    </w:rPr>
  </w:style>
  <w:style w:type="paragraph" w:customStyle="1" w:styleId="366">
    <w:name w:val="彩色列表1"/>
    <w:basedOn w:val="1"/>
    <w:autoRedefine/>
    <w:qFormat/>
    <w:uiPriority w:val="0"/>
    <w:pPr>
      <w:ind w:firstLine="420" w:firstLineChars="200"/>
    </w:pPr>
    <w:rPr>
      <w:rFonts w:ascii="Calibri" w:hAnsi="Calibri"/>
    </w:rPr>
  </w:style>
  <w:style w:type="paragraph" w:customStyle="1" w:styleId="367">
    <w:name w:val="xl2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368">
    <w:name w:val="xl11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69">
    <w:name w:val="xl49"/>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370">
    <w:name w:val="xl30"/>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371">
    <w:name w:val="Table Paragraph"/>
    <w:basedOn w:val="1"/>
    <w:autoRedefine/>
    <w:qFormat/>
    <w:uiPriority w:val="0"/>
    <w:pPr>
      <w:autoSpaceDE w:val="0"/>
      <w:autoSpaceDN w:val="0"/>
      <w:jc w:val="left"/>
    </w:pPr>
    <w:rPr>
      <w:rFonts w:ascii="宋体" w:hAnsi="宋体" w:cs="宋体"/>
      <w:kern w:val="0"/>
      <w:sz w:val="22"/>
      <w:szCs w:val="22"/>
      <w:lang w:val="zh-CN" w:bidi="zh-CN"/>
    </w:rPr>
  </w:style>
  <w:style w:type="paragraph" w:customStyle="1" w:styleId="372">
    <w:name w:val="xl115"/>
    <w:basedOn w:val="1"/>
    <w:autoRedefine/>
    <w:qFormat/>
    <w:uiPriority w:val="0"/>
    <w:pPr>
      <w:widowControl/>
      <w:spacing w:before="100" w:beforeAutospacing="1" w:after="100" w:afterAutospacing="1"/>
      <w:jc w:val="left"/>
      <w:textAlignment w:val="bottom"/>
    </w:pPr>
    <w:rPr>
      <w:rFonts w:ascii="宋体" w:hAnsi="宋体" w:cs="宋体"/>
      <w:kern w:val="0"/>
      <w:sz w:val="24"/>
    </w:rPr>
  </w:style>
  <w:style w:type="paragraph" w:customStyle="1" w:styleId="373">
    <w:name w:val="列出段落21"/>
    <w:basedOn w:val="1"/>
    <w:autoRedefine/>
    <w:qFormat/>
    <w:uiPriority w:val="0"/>
    <w:pPr>
      <w:ind w:firstLine="420" w:firstLineChars="200"/>
    </w:pPr>
    <w:rPr>
      <w:rFonts w:ascii="Calibri" w:hAnsi="Calibri"/>
      <w:szCs w:val="22"/>
    </w:rPr>
  </w:style>
  <w:style w:type="paragraph" w:styleId="374">
    <w:name w:val="No Spacing"/>
    <w:autoRedefine/>
    <w:qFormat/>
    <w:uiPriority w:val="1"/>
    <w:pPr>
      <w:adjustRightInd w:val="0"/>
      <w:snapToGrid w:val="0"/>
      <w:jc w:val="both"/>
    </w:pPr>
    <w:rPr>
      <w:rFonts w:ascii="Tahoma" w:hAnsi="Tahoma" w:eastAsia="微软雅黑" w:cs="Times New Roman"/>
      <w:sz w:val="22"/>
      <w:szCs w:val="22"/>
      <w:lang w:val="en-US" w:eastAsia="zh-CN" w:bidi="ar-SA"/>
    </w:rPr>
  </w:style>
  <w:style w:type="paragraph" w:customStyle="1" w:styleId="375">
    <w:name w:val="xl10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76">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377">
    <w:name w:val="No Spacing1"/>
    <w:autoRedefine/>
    <w:qFormat/>
    <w:uiPriority w:val="0"/>
    <w:pPr>
      <w:adjustRightInd w:val="0"/>
      <w:snapToGrid w:val="0"/>
    </w:pPr>
    <w:rPr>
      <w:rFonts w:ascii="Tahoma" w:hAnsi="Tahoma" w:eastAsia="微软雅黑" w:cs="Times New Roman"/>
      <w:sz w:val="22"/>
      <w:szCs w:val="22"/>
      <w:lang w:val="en-US" w:eastAsia="zh-CN" w:bidi="ar-SA"/>
    </w:rPr>
  </w:style>
  <w:style w:type="paragraph" w:customStyle="1" w:styleId="378">
    <w:name w:val="Char1 Char Char Char Char Char Char"/>
    <w:basedOn w:val="1"/>
    <w:autoRedefine/>
    <w:qFormat/>
    <w:uiPriority w:val="0"/>
    <w:pPr>
      <w:spacing w:line="400" w:lineRule="exact"/>
    </w:pPr>
    <w:rPr>
      <w:rFonts w:ascii="Tahoma" w:hAnsi="Tahoma"/>
      <w:sz w:val="24"/>
    </w:rPr>
  </w:style>
  <w:style w:type="paragraph" w:customStyle="1" w:styleId="379">
    <w:name w:val="样式 小四 行距: 1.5 倍行距 首行缩进:  2 字符"/>
    <w:basedOn w:val="1"/>
    <w:autoRedefine/>
    <w:qFormat/>
    <w:uiPriority w:val="0"/>
    <w:pPr>
      <w:spacing w:line="360" w:lineRule="auto"/>
      <w:ind w:firstLine="480" w:firstLineChars="200"/>
    </w:pPr>
    <w:rPr>
      <w:rFonts w:cs="宋体"/>
      <w:sz w:val="24"/>
      <w:szCs w:val="20"/>
    </w:rPr>
  </w:style>
  <w:style w:type="paragraph" w:customStyle="1" w:styleId="380">
    <w:name w:val="正文样式"/>
    <w:basedOn w:val="1"/>
    <w:autoRedefine/>
    <w:qFormat/>
    <w:uiPriority w:val="0"/>
    <w:pPr>
      <w:tabs>
        <w:tab w:val="left" w:pos="1560"/>
      </w:tabs>
      <w:spacing w:before="163" w:after="163" w:line="300" w:lineRule="auto"/>
      <w:ind w:left="1560" w:hanging="360"/>
    </w:pPr>
    <w:rPr>
      <w:rFonts w:ascii="宋体"/>
      <w:sz w:val="24"/>
    </w:rPr>
  </w:style>
  <w:style w:type="paragraph" w:customStyle="1" w:styleId="381">
    <w:name w:val="xl9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82">
    <w:name w:val="xl46"/>
    <w:basedOn w:val="1"/>
    <w:autoRedefine/>
    <w:qFormat/>
    <w:uiPriority w:val="0"/>
    <w:pPr>
      <w:widowControl/>
      <w:spacing w:before="100" w:beforeAutospacing="1" w:after="100" w:afterAutospacing="1"/>
      <w:jc w:val="left"/>
      <w:textAlignment w:val="center"/>
    </w:pPr>
    <w:rPr>
      <w:rFonts w:ascii="宋体" w:hAnsi="宋体"/>
      <w:kern w:val="0"/>
      <w:sz w:val="22"/>
      <w:szCs w:val="22"/>
    </w:rPr>
  </w:style>
  <w:style w:type="paragraph" w:customStyle="1" w:styleId="383">
    <w:name w:val="xl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84">
    <w:name w:val="xl110"/>
    <w:basedOn w:val="1"/>
    <w:autoRedefine/>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kern w:val="0"/>
      <w:sz w:val="20"/>
      <w:szCs w:val="20"/>
    </w:rPr>
  </w:style>
  <w:style w:type="paragraph" w:customStyle="1" w:styleId="385">
    <w:name w:val="列出段落31"/>
    <w:basedOn w:val="1"/>
    <w:autoRedefine/>
    <w:qFormat/>
    <w:uiPriority w:val="0"/>
    <w:pPr>
      <w:ind w:firstLine="420" w:firstLineChars="200"/>
    </w:pPr>
  </w:style>
  <w:style w:type="paragraph" w:customStyle="1" w:styleId="386">
    <w:name w:val="xl8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87">
    <w:name w:val="font12"/>
    <w:basedOn w:val="1"/>
    <w:autoRedefine/>
    <w:qFormat/>
    <w:uiPriority w:val="0"/>
    <w:pPr>
      <w:widowControl/>
      <w:spacing w:before="100" w:beforeAutospacing="1" w:after="100" w:afterAutospacing="1"/>
      <w:jc w:val="left"/>
    </w:pPr>
    <w:rPr>
      <w:rFonts w:ascii="宋体" w:hAnsi="宋体" w:cs="宋体"/>
      <w:b/>
      <w:bCs/>
      <w:color w:val="000000"/>
      <w:kern w:val="0"/>
      <w:sz w:val="18"/>
      <w:szCs w:val="18"/>
    </w:rPr>
  </w:style>
  <w:style w:type="paragraph" w:customStyle="1" w:styleId="388">
    <w:name w:val="样式2"/>
    <w:basedOn w:val="26"/>
    <w:autoRedefine/>
    <w:qFormat/>
    <w:uiPriority w:val="0"/>
    <w:pPr>
      <w:tabs>
        <w:tab w:val="right" w:leader="dot" w:pos="9458"/>
      </w:tabs>
      <w:ind w:left="420" w:leftChars="0"/>
      <w:jc w:val="left"/>
    </w:pPr>
    <w:rPr>
      <w:rFonts w:ascii="Arial" w:hAnsi="Times New Roman" w:cs="Arial"/>
      <w:i/>
      <w:iCs/>
      <w:szCs w:val="24"/>
    </w:rPr>
  </w:style>
  <w:style w:type="paragraph" w:customStyle="1" w:styleId="389">
    <w:name w:val="Char Char1 Char Char Char Char Char Char Char Char Char Char"/>
    <w:basedOn w:val="1"/>
    <w:autoRedefine/>
    <w:qFormat/>
    <w:uiPriority w:val="0"/>
    <w:pPr>
      <w:widowControl/>
      <w:spacing w:after="160" w:line="240" w:lineRule="exact"/>
      <w:jc w:val="left"/>
    </w:pPr>
    <w:rPr>
      <w:szCs w:val="20"/>
    </w:rPr>
  </w:style>
  <w:style w:type="paragraph" w:customStyle="1" w:styleId="390">
    <w:name w:val="列出段落3"/>
    <w:basedOn w:val="1"/>
    <w:autoRedefine/>
    <w:qFormat/>
    <w:uiPriority w:val="0"/>
    <w:pPr>
      <w:ind w:firstLine="420" w:firstLineChars="200"/>
    </w:pPr>
    <w:rPr>
      <w:rFonts w:ascii="Calibri" w:hAnsi="Calibri"/>
    </w:rPr>
  </w:style>
  <w:style w:type="paragraph" w:customStyle="1" w:styleId="391">
    <w:name w:val="Body text|3"/>
    <w:basedOn w:val="1"/>
    <w:autoRedefine/>
    <w:qFormat/>
    <w:uiPriority w:val="0"/>
    <w:pPr>
      <w:spacing w:after="460"/>
      <w:jc w:val="center"/>
    </w:pPr>
    <w:rPr>
      <w:rFonts w:ascii="宋体" w:hAnsi="宋体" w:cs="宋体"/>
      <w:kern w:val="0"/>
      <w:sz w:val="34"/>
      <w:szCs w:val="34"/>
    </w:rPr>
  </w:style>
  <w:style w:type="paragraph" w:customStyle="1" w:styleId="392">
    <w:name w:val="xl6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93">
    <w:name w:val="unnamed2"/>
    <w:basedOn w:val="1"/>
    <w:autoRedefine/>
    <w:qFormat/>
    <w:uiPriority w:val="0"/>
    <w:pPr>
      <w:widowControl/>
      <w:spacing w:before="60" w:after="60" w:line="300" w:lineRule="atLeast"/>
      <w:ind w:left="15" w:right="15" w:firstLine="400"/>
      <w:jc w:val="left"/>
    </w:pPr>
    <w:rPr>
      <w:rFonts w:ascii="宋体" w:hAnsi="宋体" w:cs="宋体"/>
      <w:color w:val="000000"/>
      <w:kern w:val="0"/>
      <w:szCs w:val="21"/>
    </w:rPr>
  </w:style>
  <w:style w:type="paragraph" w:customStyle="1" w:styleId="394">
    <w:name w:val="xl93"/>
    <w:basedOn w:val="1"/>
    <w:autoRedefine/>
    <w:qFormat/>
    <w:uiPriority w:val="0"/>
    <w:pPr>
      <w:widowControl/>
      <w:pBdr>
        <w:top w:val="single" w:color="auto" w:sz="4" w:space="0"/>
        <w:bottom w:val="single" w:color="auto" w:sz="4" w:space="0"/>
      </w:pBdr>
      <w:shd w:val="clear" w:color="000000" w:fill="92D050"/>
      <w:spacing w:before="100" w:beforeAutospacing="1" w:after="100" w:afterAutospacing="1"/>
      <w:jc w:val="left"/>
    </w:pPr>
    <w:rPr>
      <w:rFonts w:ascii="宋体" w:hAnsi="宋体" w:cs="宋体"/>
      <w:kern w:val="0"/>
      <w:sz w:val="20"/>
      <w:szCs w:val="20"/>
    </w:rPr>
  </w:style>
  <w:style w:type="paragraph" w:customStyle="1" w:styleId="395">
    <w:name w:val="p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96">
    <w:name w:val="样式"/>
    <w:basedOn w:val="1"/>
    <w:next w:val="24"/>
    <w:autoRedefine/>
    <w:qFormat/>
    <w:uiPriority w:val="0"/>
    <w:pPr>
      <w:ind w:left="572" w:right="32" w:firstLine="478"/>
    </w:pPr>
    <w:rPr>
      <w:szCs w:val="21"/>
    </w:rPr>
  </w:style>
  <w:style w:type="paragraph" w:customStyle="1" w:styleId="397">
    <w:name w:val="Char1 Char Char Char Char Char Char1"/>
    <w:basedOn w:val="1"/>
    <w:autoRedefine/>
    <w:qFormat/>
    <w:uiPriority w:val="0"/>
    <w:pPr>
      <w:spacing w:line="400" w:lineRule="exact"/>
    </w:pPr>
    <w:rPr>
      <w:rFonts w:ascii="Tahoma" w:hAnsi="Tahoma"/>
      <w:sz w:val="24"/>
    </w:rPr>
  </w:style>
  <w:style w:type="paragraph" w:customStyle="1" w:styleId="398">
    <w:name w:val="xl108"/>
    <w:basedOn w:val="1"/>
    <w:autoRedefine/>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kern w:val="0"/>
      <w:sz w:val="20"/>
      <w:szCs w:val="20"/>
    </w:rPr>
  </w:style>
  <w:style w:type="paragraph" w:customStyle="1" w:styleId="399">
    <w:name w:val="msolistparagraph"/>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00">
    <w:name w:val="样式3"/>
    <w:basedOn w:val="26"/>
    <w:autoRedefine/>
    <w:qFormat/>
    <w:uiPriority w:val="0"/>
    <w:pPr>
      <w:tabs>
        <w:tab w:val="right" w:leader="dot" w:pos="9458"/>
      </w:tabs>
      <w:ind w:left="420" w:leftChars="0"/>
      <w:jc w:val="left"/>
    </w:pPr>
    <w:rPr>
      <w:rFonts w:ascii="Times New Roman" w:hAnsi="Times New Roman"/>
      <w:i/>
      <w:iCs/>
      <w:szCs w:val="24"/>
    </w:rPr>
  </w:style>
  <w:style w:type="character" w:customStyle="1" w:styleId="401">
    <w:name w:val="ant-input28"/>
    <w:basedOn w:val="52"/>
    <w:autoRedefine/>
    <w:qFormat/>
    <w:uiPriority w:val="0"/>
  </w:style>
  <w:style w:type="character" w:customStyle="1" w:styleId="402">
    <w:name w:val="last-child1"/>
    <w:basedOn w:val="52"/>
    <w:autoRedefine/>
    <w:qFormat/>
    <w:uiPriority w:val="0"/>
  </w:style>
  <w:style w:type="character" w:customStyle="1" w:styleId="403">
    <w:name w:val="ant-table-tbody1"/>
    <w:basedOn w:val="52"/>
    <w:autoRedefine/>
    <w:qFormat/>
    <w:uiPriority w:val="0"/>
  </w:style>
  <w:style w:type="character" w:customStyle="1" w:styleId="404">
    <w:name w:val="ant-input18"/>
    <w:basedOn w:val="52"/>
    <w:autoRedefine/>
    <w:qFormat/>
    <w:uiPriority w:val="0"/>
  </w:style>
  <w:style w:type="character" w:customStyle="1" w:styleId="405">
    <w:name w:val="ant-upload-download"/>
    <w:basedOn w:val="52"/>
    <w:autoRedefine/>
    <w:qFormat/>
    <w:uiPriority w:val="0"/>
  </w:style>
  <w:style w:type="character" w:customStyle="1" w:styleId="406">
    <w:name w:val="nc-lang-cnt7"/>
    <w:basedOn w:val="52"/>
    <w:autoRedefine/>
    <w:qFormat/>
    <w:uiPriority w:val="0"/>
  </w:style>
  <w:style w:type="paragraph" w:customStyle="1" w:styleId="407">
    <w:name w:val="_Style 405"/>
    <w:basedOn w:val="1"/>
    <w:next w:val="1"/>
    <w:autoRedefine/>
    <w:qFormat/>
    <w:uiPriority w:val="0"/>
    <w:pPr>
      <w:pBdr>
        <w:bottom w:val="single" w:color="auto" w:sz="6" w:space="1"/>
      </w:pBdr>
      <w:jc w:val="center"/>
    </w:pPr>
    <w:rPr>
      <w:rFonts w:ascii="Arial"/>
      <w:vanish/>
      <w:sz w:val="16"/>
    </w:rPr>
  </w:style>
  <w:style w:type="paragraph" w:customStyle="1" w:styleId="408">
    <w:name w:val="_Style 406"/>
    <w:basedOn w:val="1"/>
    <w:next w:val="1"/>
    <w:autoRedefine/>
    <w:qFormat/>
    <w:uiPriority w:val="0"/>
    <w:pPr>
      <w:pBdr>
        <w:top w:val="single" w:color="auto" w:sz="6" w:space="1"/>
      </w:pBdr>
      <w:jc w:val="center"/>
    </w:pPr>
    <w:rPr>
      <w:rFonts w:ascii="Arial"/>
      <w:vanish/>
      <w:sz w:val="16"/>
    </w:rPr>
  </w:style>
  <w:style w:type="character" w:customStyle="1" w:styleId="409">
    <w:name w:val="ant-form-item-children1"/>
    <w:basedOn w:val="52"/>
    <w:autoRedefine/>
    <w:qFormat/>
    <w:uiPriority w:val="0"/>
  </w:style>
  <w:style w:type="paragraph" w:customStyle="1" w:styleId="410">
    <w:name w:val="BodyText"/>
    <w:basedOn w:val="1"/>
    <w:next w:val="1"/>
    <w:autoRedefine/>
    <w:qFormat/>
    <w:uiPriority w:val="0"/>
    <w:pPr>
      <w:spacing w:line="380" w:lineRule="exact"/>
    </w:pPr>
    <w:rPr>
      <w:sz w:val="24"/>
    </w:rPr>
  </w:style>
  <w:style w:type="character" w:customStyle="1" w:styleId="411">
    <w:name w:val="font121"/>
    <w:basedOn w:val="52"/>
    <w:autoRedefine/>
    <w:qFormat/>
    <w:uiPriority w:val="0"/>
    <w:rPr>
      <w:rFonts w:hint="eastAsia" w:ascii="宋体" w:hAnsi="宋体" w:eastAsia="宋体" w:cs="宋体"/>
      <w:b/>
      <w:bCs/>
      <w:color w:val="000000"/>
      <w:sz w:val="20"/>
      <w:szCs w:val="20"/>
      <w:u w:val="none"/>
    </w:rPr>
  </w:style>
  <w:style w:type="character" w:customStyle="1" w:styleId="412">
    <w:name w:val="标题 1 字符2"/>
    <w:link w:val="2"/>
    <w:autoRedefine/>
    <w:qFormat/>
    <w:uiPriority w:val="0"/>
    <w:rPr>
      <w:rFonts w:ascii="黑体" w:hAnsi="宋体" w:eastAsia="黑体" w:cs="宋体"/>
      <w:kern w:val="32"/>
      <w:sz w:val="32"/>
      <w:szCs w:val="32"/>
    </w:rPr>
  </w:style>
  <w:style w:type="paragraph" w:customStyle="1" w:styleId="413">
    <w:name w:val="样式45"/>
    <w:basedOn w:val="1"/>
    <w:autoRedefine/>
    <w:qFormat/>
    <w:uiPriority w:val="0"/>
    <w:pPr>
      <w:autoSpaceDE w:val="0"/>
      <w:autoSpaceDN w:val="0"/>
      <w:spacing w:beforeLines="50" w:afterLines="50"/>
    </w:pPr>
    <w:rPr>
      <w:rFonts w:eastAsia="STZhongsong"/>
      <w:b/>
      <w:color w:val="000000"/>
      <w:sz w:val="28"/>
      <w:szCs w:val="28"/>
    </w:rPr>
  </w:style>
  <w:style w:type="character" w:customStyle="1" w:styleId="414">
    <w:name w:val="标题 2 字符2"/>
    <w:link w:val="3"/>
    <w:autoRedefine/>
    <w:qFormat/>
    <w:uiPriority w:val="0"/>
    <w:rPr>
      <w:rFonts w:ascii="Arial" w:hAnsi="Arial" w:eastAsia="黑体"/>
      <w:b/>
      <w:sz w:val="32"/>
    </w:rPr>
  </w:style>
  <w:style w:type="paragraph" w:customStyle="1" w:styleId="415">
    <w:name w:val="p17"/>
    <w:basedOn w:val="1"/>
    <w:autoRedefine/>
    <w:qFormat/>
    <w:uiPriority w:val="0"/>
    <w:pPr>
      <w:widowControl/>
    </w:pPr>
    <w:rPr>
      <w:rFonts w:ascii="宋体" w:hAnsi="宋体" w:cs="宋体"/>
      <w:kern w:val="0"/>
      <w:szCs w:val="21"/>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109</Pages>
  <Words>406</Words>
  <Characters>505</Characters>
  <Lines>583</Lines>
  <Paragraphs>164</Paragraphs>
  <TotalTime>13</TotalTime>
  <ScaleCrop>false</ScaleCrop>
  <LinksUpToDate>false</LinksUpToDate>
  <CharactersWithSpaces>547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2024-05-17T07:03:00Z</dcterms:created>
  <dc:creator>微软用户</dc:creator>
  <cp:lastModifiedBy>Kotonami</cp:lastModifiedBy>
  <cp:lastPrinted>2021-12-13T02:08:00Z</cp:lastPrinted>
  <dcterms:modified xsi:type="dcterms:W3CDTF">2025-07-09T03:40:11Z</dcterms:modified>
  <dc:title>医疗设备采购</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2B27AC16A15C46CCB47B2B2F03F93DD3_13</vt:lpwstr>
  </property>
  <property fmtid="{D5CDD505-2E9C-101B-9397-08002B2CF9AE}" pid="4" name="KSOTemplateDocerSaveRecord">
    <vt:lpwstr>eyJoZGlkIjoiNzdiMWE5MzEwMTU3NmRiNmVmMmNhNWQ1Mzg4NDZhNzIiLCJ1c2VySWQiOiI0MjUyMDE0MjMifQ==</vt:lpwstr>
  </property>
</Properties>
</file>