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2B37">
      <w:pPr>
        <w:pStyle w:val="6"/>
        <w:rPr>
          <w:rFonts w:hint="eastAsia" w:ascii="仿宋" w:hAnsi="仿宋" w:eastAsia="仿宋" w:cs="仿宋"/>
          <w:color w:val="auto"/>
          <w:highlight w:val="none"/>
        </w:rPr>
      </w:pPr>
    </w:p>
    <w:p w14:paraId="1CCEA729">
      <w:pPr>
        <w:spacing w:line="360" w:lineRule="auto"/>
        <w:jc w:val="center"/>
        <w:rPr>
          <w:rFonts w:hint="eastAsia" w:ascii="仿宋" w:hAnsi="仿宋" w:eastAsia="仿宋" w:cs="仿宋"/>
          <w:color w:val="auto"/>
          <w:sz w:val="52"/>
          <w:szCs w:val="52"/>
          <w:highlight w:val="none"/>
        </w:rPr>
      </w:pPr>
    </w:p>
    <w:p w14:paraId="3EEFA2FE">
      <w:pPr>
        <w:pStyle w:val="6"/>
        <w:jc w:val="center"/>
        <w:rPr>
          <w:rFonts w:hint="eastAsia"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广西金证招标代理有限公司</w:t>
      </w:r>
    </w:p>
    <w:p w14:paraId="0A4CAE9D">
      <w:pPr>
        <w:pStyle w:val="6"/>
        <w:tabs>
          <w:tab w:val="left" w:pos="728"/>
          <w:tab w:val="center" w:pos="5162"/>
        </w:tabs>
        <w:jc w:val="left"/>
        <w:rPr>
          <w:rFonts w:hint="eastAsia" w:ascii="仿宋" w:hAnsi="仿宋" w:eastAsia="仿宋" w:cs="仿宋"/>
          <w:color w:val="auto"/>
          <w:spacing w:val="28"/>
          <w:sz w:val="64"/>
          <w:szCs w:val="64"/>
          <w:highlight w:val="none"/>
        </w:rPr>
      </w:pPr>
      <w:r>
        <w:rPr>
          <w:rFonts w:hint="eastAsia" w:ascii="仿宋" w:hAnsi="仿宋" w:eastAsia="仿宋" w:cs="仿宋"/>
          <w:b/>
          <w:color w:val="auto"/>
          <w:spacing w:val="-18"/>
          <w:sz w:val="64"/>
          <w:szCs w:val="64"/>
          <w:highlight w:val="none"/>
        </w:rPr>
        <w:tab/>
      </w:r>
      <w:r>
        <w:rPr>
          <w:rFonts w:hint="eastAsia" w:ascii="仿宋" w:hAnsi="仿宋" w:eastAsia="仿宋" w:cs="仿宋"/>
          <w:color w:val="auto"/>
          <w:spacing w:val="28"/>
          <w:sz w:val="64"/>
          <w:szCs w:val="64"/>
          <w:highlight w:val="none"/>
        </w:rPr>
        <w:tab/>
      </w:r>
    </w:p>
    <w:p w14:paraId="3AD36353">
      <w:pPr>
        <w:snapToGrid w:val="0"/>
        <w:spacing w:before="120" w:beforeLines="50"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120"/>
          <w:szCs w:val="120"/>
          <w:highlight w:val="none"/>
        </w:rPr>
        <w:t>招 标 文 件</w:t>
      </w:r>
    </w:p>
    <w:p w14:paraId="5A963A06">
      <w:pPr>
        <w:pStyle w:val="6"/>
        <w:snapToGrid w:val="0"/>
        <w:spacing w:line="360" w:lineRule="auto"/>
        <w:ind w:firstLine="1977" w:firstLineChars="691"/>
        <w:rPr>
          <w:rFonts w:hint="eastAsia" w:ascii="仿宋" w:hAnsi="仿宋" w:eastAsia="仿宋" w:cs="仿宋"/>
          <w:b/>
          <w:bCs/>
          <w:color w:val="auto"/>
          <w:w w:val="95"/>
          <w:sz w:val="30"/>
          <w:szCs w:val="30"/>
          <w:highlight w:val="none"/>
        </w:rPr>
      </w:pPr>
    </w:p>
    <w:p w14:paraId="503CCDF9">
      <w:pPr>
        <w:pStyle w:val="6"/>
        <w:snapToGrid w:val="0"/>
        <w:spacing w:line="360" w:lineRule="auto"/>
        <w:rPr>
          <w:rFonts w:hint="eastAsia" w:ascii="仿宋" w:hAnsi="仿宋" w:eastAsia="仿宋" w:cs="仿宋"/>
          <w:b/>
          <w:bCs/>
          <w:color w:val="auto"/>
          <w:sz w:val="30"/>
          <w:szCs w:val="30"/>
          <w:highlight w:val="none"/>
        </w:rPr>
      </w:pPr>
    </w:p>
    <w:p w14:paraId="47B6A279">
      <w:pPr>
        <w:pStyle w:val="6"/>
        <w:snapToGrid w:val="0"/>
        <w:spacing w:line="360" w:lineRule="auto"/>
        <w:ind w:left="2997" w:leftChars="710" w:hanging="1506" w:hanging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项目名称：桂林市第二技工学校2024年区级高技能人才培训基地建设项目新能源汽车检测与维修专业设备采购项目</w:t>
      </w:r>
    </w:p>
    <w:p w14:paraId="4483CDB4">
      <w:pPr>
        <w:pStyle w:val="6"/>
        <w:snapToGrid w:val="0"/>
        <w:spacing w:line="36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项目编号：GLZC2025-G1-990447-JZZB</w:t>
      </w:r>
    </w:p>
    <w:p w14:paraId="0F7752C0">
      <w:pPr>
        <w:pStyle w:val="6"/>
        <w:snapToGrid w:val="0"/>
        <w:spacing w:line="360" w:lineRule="auto"/>
        <w:ind w:firstLine="1977" w:firstLineChars="691"/>
        <w:rPr>
          <w:rFonts w:hint="eastAsia" w:ascii="仿宋" w:hAnsi="仿宋" w:eastAsia="仿宋" w:cs="仿宋"/>
          <w:b/>
          <w:bCs/>
          <w:color w:val="auto"/>
          <w:w w:val="95"/>
          <w:sz w:val="30"/>
          <w:szCs w:val="30"/>
          <w:highlight w:val="none"/>
        </w:rPr>
      </w:pPr>
    </w:p>
    <w:p w14:paraId="6FAE59DA">
      <w:pPr>
        <w:pStyle w:val="6"/>
        <w:snapToGrid w:val="0"/>
        <w:spacing w:line="360" w:lineRule="auto"/>
        <w:jc w:val="center"/>
        <w:rPr>
          <w:rFonts w:hint="eastAsia" w:ascii="仿宋" w:hAnsi="仿宋" w:eastAsia="仿宋" w:cs="仿宋"/>
          <w:b/>
          <w:bCs/>
          <w:color w:val="auto"/>
          <w:w w:val="95"/>
          <w:sz w:val="30"/>
          <w:szCs w:val="30"/>
          <w:highlight w:val="none"/>
        </w:rPr>
      </w:pPr>
    </w:p>
    <w:p w14:paraId="0EB9F2B0">
      <w:pPr>
        <w:pStyle w:val="6"/>
        <w:snapToGrid w:val="0"/>
        <w:spacing w:line="360" w:lineRule="auto"/>
        <w:jc w:val="center"/>
        <w:rPr>
          <w:rFonts w:hint="eastAsia" w:ascii="仿宋" w:hAnsi="仿宋" w:eastAsia="仿宋" w:cs="仿宋"/>
          <w:b/>
          <w:bCs/>
          <w:color w:val="auto"/>
          <w:w w:val="95"/>
          <w:sz w:val="30"/>
          <w:szCs w:val="30"/>
          <w:highlight w:val="none"/>
        </w:rPr>
      </w:pPr>
    </w:p>
    <w:p w14:paraId="0EA01266">
      <w:pPr>
        <w:pStyle w:val="6"/>
        <w:snapToGrid w:val="0"/>
        <w:spacing w:line="360" w:lineRule="auto"/>
        <w:jc w:val="center"/>
        <w:rPr>
          <w:rFonts w:hint="eastAsia" w:ascii="仿宋" w:hAnsi="仿宋" w:eastAsia="仿宋" w:cs="仿宋"/>
          <w:b/>
          <w:bCs/>
          <w:color w:val="auto"/>
          <w:w w:val="95"/>
          <w:sz w:val="30"/>
          <w:szCs w:val="30"/>
          <w:highlight w:val="none"/>
        </w:rPr>
      </w:pPr>
    </w:p>
    <w:p w14:paraId="2DEE78F8">
      <w:pPr>
        <w:pStyle w:val="6"/>
        <w:snapToGrid w:val="0"/>
        <w:spacing w:line="360" w:lineRule="auto"/>
        <w:jc w:val="center"/>
        <w:rPr>
          <w:rFonts w:hint="eastAsia" w:ascii="仿宋" w:hAnsi="仿宋" w:eastAsia="仿宋" w:cs="仿宋"/>
          <w:b/>
          <w:bCs/>
          <w:color w:val="auto"/>
          <w:w w:val="95"/>
          <w:sz w:val="30"/>
          <w:szCs w:val="30"/>
          <w:highlight w:val="none"/>
        </w:rPr>
      </w:pPr>
    </w:p>
    <w:p w14:paraId="30A3987D">
      <w:pPr>
        <w:pStyle w:val="6"/>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采购人：桂林市第二技工学校</w:t>
      </w:r>
    </w:p>
    <w:p w14:paraId="0F1DB773">
      <w:pPr>
        <w:pStyle w:val="6"/>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采购代理机构：广西金证招标代理有限公司</w:t>
      </w:r>
    </w:p>
    <w:p w14:paraId="0213678F">
      <w:pPr>
        <w:pStyle w:val="6"/>
        <w:snapToGrid w:val="0"/>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sz w:val="30"/>
          <w:szCs w:val="30"/>
          <w:highlight w:val="none"/>
        </w:rPr>
        <w:t xml:space="preserve"> 2025年9月</w:t>
      </w:r>
    </w:p>
    <w:p w14:paraId="3D7895F1">
      <w:pPr>
        <w:pStyle w:val="4"/>
        <w:jc w:val="center"/>
        <w:rPr>
          <w:rFonts w:hint="eastAsia" w:ascii="仿宋" w:hAnsi="仿宋" w:eastAsia="仿宋" w:cs="仿宋"/>
          <w:color w:val="auto"/>
          <w:highlight w:val="none"/>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14:paraId="561D12D9">
      <w:pPr>
        <w:pStyle w:val="6"/>
        <w:spacing w:line="440" w:lineRule="exact"/>
        <w:jc w:val="center"/>
        <w:rPr>
          <w:rFonts w:hint="eastAsia" w:ascii="仿宋" w:hAnsi="仿宋" w:eastAsia="仿宋" w:cs="仿宋"/>
          <w:color w:val="auto"/>
          <w:sz w:val="44"/>
          <w:highlight w:val="none"/>
        </w:rPr>
      </w:pPr>
    </w:p>
    <w:p w14:paraId="3468E693">
      <w:pPr>
        <w:pStyle w:val="6"/>
        <w:spacing w:line="440" w:lineRule="exact"/>
        <w:jc w:val="center"/>
        <w:rPr>
          <w:rFonts w:hint="eastAsia" w:ascii="仿宋" w:hAnsi="仿宋" w:eastAsia="仿宋" w:cs="仿宋"/>
          <w:color w:val="auto"/>
          <w:sz w:val="44"/>
          <w:highlight w:val="none"/>
        </w:rPr>
      </w:pPr>
    </w:p>
    <w:p w14:paraId="376263C7">
      <w:pPr>
        <w:pStyle w:val="6"/>
        <w:spacing w:line="44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14:paraId="549AA2FB">
      <w:pPr>
        <w:pStyle w:val="6"/>
        <w:jc w:val="center"/>
        <w:rPr>
          <w:rFonts w:hint="eastAsia" w:ascii="仿宋" w:hAnsi="仿宋" w:eastAsia="仿宋" w:cs="仿宋"/>
          <w:color w:val="auto"/>
          <w:highlight w:val="none"/>
        </w:rPr>
      </w:pPr>
    </w:p>
    <w:p w14:paraId="4B6B6148">
      <w:pPr>
        <w:ind w:firstLine="2730" w:firstLineChars="1300"/>
        <w:rPr>
          <w:rFonts w:hint="eastAsia" w:ascii="仿宋" w:hAnsi="仿宋" w:eastAsia="仿宋" w:cs="仿宋"/>
          <w:color w:val="auto"/>
          <w:szCs w:val="21"/>
          <w:highlight w:val="none"/>
        </w:rPr>
      </w:pPr>
    </w:p>
    <w:p w14:paraId="717FE8C9">
      <w:pPr>
        <w:pStyle w:val="9"/>
        <w:ind w:firstLine="281"/>
        <w:rPr>
          <w:rFonts w:hint="eastAsia" w:ascii="仿宋" w:hAnsi="仿宋" w:eastAsia="仿宋" w:cs="仿宋"/>
          <w:caps w:val="0"/>
          <w:color w:val="auto"/>
          <w:sz w:val="28"/>
          <w:szCs w:val="28"/>
          <w:highlight w:val="none"/>
        </w:rPr>
      </w:pPr>
      <w:r>
        <w:rPr>
          <w:rFonts w:hint="eastAsia" w:ascii="仿宋" w:hAnsi="仿宋" w:eastAsia="仿宋" w:cs="仿宋"/>
          <w:caps w:val="0"/>
          <w:color w:val="auto"/>
          <w:sz w:val="28"/>
          <w:szCs w:val="28"/>
          <w:highlight w:val="none"/>
        </w:rPr>
        <w:fldChar w:fldCharType="begin"/>
      </w:r>
      <w:r>
        <w:rPr>
          <w:rFonts w:hint="eastAsia" w:ascii="仿宋" w:hAnsi="仿宋" w:eastAsia="仿宋" w:cs="仿宋"/>
          <w:caps w:val="0"/>
          <w:color w:val="auto"/>
          <w:sz w:val="28"/>
          <w:szCs w:val="28"/>
          <w:highlight w:val="none"/>
        </w:rPr>
        <w:instrText xml:space="preserve"> TOC \o "1-1" \h \z \u </w:instrText>
      </w:r>
      <w:r>
        <w:rPr>
          <w:rFonts w:hint="eastAsia" w:ascii="仿宋" w:hAnsi="仿宋" w:eastAsia="仿宋" w:cs="仿宋"/>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"_Toc153888697" </w:instrText>
      </w:r>
      <w:r>
        <w:rPr>
          <w:color w:val="auto"/>
          <w:highlight w:val="none"/>
        </w:rPr>
        <w:fldChar w:fldCharType="separate"/>
      </w:r>
      <w:r>
        <w:rPr>
          <w:rStyle w:val="14"/>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_Toc153888697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3125ADC">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"_Toc153888698" </w:instrText>
      </w:r>
      <w:r>
        <w:rPr>
          <w:color w:val="auto"/>
          <w:highlight w:val="none"/>
        </w:rPr>
        <w:fldChar w:fldCharType="separate"/>
      </w:r>
      <w:r>
        <w:rPr>
          <w:rStyle w:val="14"/>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5</w:t>
      </w:r>
    </w:p>
    <w:p w14:paraId="02347CDF">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"_Toc153888699" </w:instrText>
      </w:r>
      <w:r>
        <w:rPr>
          <w:color w:val="auto"/>
          <w:highlight w:val="none"/>
        </w:rPr>
        <w:fldChar w:fldCharType="separate"/>
      </w:r>
      <w:r>
        <w:rPr>
          <w:rStyle w:val="14"/>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27</w:t>
      </w:r>
    </w:p>
    <w:p w14:paraId="32A72D69">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"_Toc153888700" </w:instrText>
      </w:r>
      <w:r>
        <w:rPr>
          <w:color w:val="auto"/>
          <w:highlight w:val="none"/>
        </w:rPr>
        <w:fldChar w:fldCharType="separate"/>
      </w:r>
      <w:r>
        <w:rPr>
          <w:rStyle w:val="14"/>
          <w:rFonts w:hint="eastAsia" w:ascii="仿宋" w:hAnsi="仿宋" w:eastAsia="仿宋" w:cs="仿宋"/>
          <w:color w:val="auto"/>
          <w:sz w:val="28"/>
          <w:szCs w:val="28"/>
          <w:highlight w:val="none"/>
        </w:rPr>
        <w:t>第四章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63</w:t>
      </w:r>
    </w:p>
    <w:p w14:paraId="5285EA0A">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"_Toc153888703" </w:instrText>
      </w:r>
      <w:r>
        <w:rPr>
          <w:color w:val="auto"/>
          <w:highlight w:val="none"/>
        </w:rPr>
        <w:fldChar w:fldCharType="separate"/>
      </w:r>
      <w:r>
        <w:rPr>
          <w:rStyle w:val="14"/>
          <w:rFonts w:hint="eastAsia" w:ascii="仿宋" w:hAnsi="仿宋" w:eastAsia="仿宋" w:cs="仿宋"/>
          <w:color w:val="auto"/>
          <w:sz w:val="28"/>
          <w:szCs w:val="28"/>
          <w:highlight w:val="none"/>
        </w:rPr>
        <w:t>第五章  政府采购合同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67</w:t>
      </w:r>
    </w:p>
    <w:p w14:paraId="76706AC1">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"_Toc153888704" </w:instrText>
      </w:r>
      <w:r>
        <w:rPr>
          <w:color w:val="auto"/>
          <w:highlight w:val="none"/>
        </w:rPr>
        <w:fldChar w:fldCharType="separate"/>
      </w:r>
      <w:r>
        <w:rPr>
          <w:rStyle w:val="14"/>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78</w:t>
      </w:r>
    </w:p>
    <w:p w14:paraId="51BC683F">
      <w:pPr>
        <w:ind w:firstLine="3654" w:firstLineChars="1300"/>
        <w:rPr>
          <w:rFonts w:hint="eastAsia" w:ascii="仿宋" w:hAnsi="仿宋" w:eastAsia="仿宋" w:cs="仿宋"/>
          <w:b/>
          <w:bCs/>
          <w:color w:val="auto"/>
          <w:sz w:val="22"/>
          <w:szCs w:val="22"/>
          <w:highlight w:val="none"/>
        </w:rPr>
      </w:pPr>
      <w:r>
        <w:rPr>
          <w:rFonts w:hint="eastAsia" w:ascii="仿宋" w:hAnsi="仿宋" w:eastAsia="仿宋" w:cs="仿宋"/>
          <w:b/>
          <w:bCs/>
          <w:caps/>
          <w:color w:val="auto"/>
          <w:sz w:val="28"/>
          <w:szCs w:val="28"/>
          <w:highlight w:val="none"/>
        </w:rPr>
        <w:fldChar w:fldCharType="end"/>
      </w:r>
    </w:p>
    <w:p w14:paraId="43F815B9">
      <w:pPr>
        <w:ind w:firstLine="2730" w:firstLineChars="1300"/>
        <w:rPr>
          <w:rFonts w:hint="eastAsia" w:ascii="仿宋" w:hAnsi="仿宋" w:eastAsia="仿宋" w:cs="仿宋"/>
          <w:color w:val="auto"/>
          <w:szCs w:val="21"/>
          <w:highlight w:val="none"/>
        </w:rPr>
      </w:pPr>
    </w:p>
    <w:p w14:paraId="1F663612">
      <w:pPr>
        <w:ind w:firstLine="2730" w:firstLineChars="1300"/>
        <w:rPr>
          <w:rFonts w:hint="eastAsia" w:ascii="仿宋" w:hAnsi="仿宋" w:eastAsia="仿宋" w:cs="仿宋"/>
          <w:color w:val="auto"/>
          <w:szCs w:val="21"/>
          <w:highlight w:val="none"/>
        </w:rPr>
      </w:pPr>
    </w:p>
    <w:p w14:paraId="2F351E8A">
      <w:pPr>
        <w:ind w:firstLine="2730" w:firstLineChars="1300"/>
        <w:rPr>
          <w:rFonts w:hint="eastAsia" w:ascii="仿宋" w:hAnsi="仿宋" w:eastAsia="仿宋" w:cs="仿宋"/>
          <w:color w:val="auto"/>
          <w:szCs w:val="21"/>
          <w:highlight w:val="none"/>
        </w:rPr>
      </w:pPr>
    </w:p>
    <w:p w14:paraId="23E17158">
      <w:pPr>
        <w:ind w:firstLine="2730" w:firstLineChars="1300"/>
        <w:rPr>
          <w:rFonts w:hint="eastAsia" w:ascii="仿宋" w:hAnsi="仿宋" w:eastAsia="仿宋" w:cs="仿宋"/>
          <w:color w:val="auto"/>
          <w:szCs w:val="21"/>
          <w:highlight w:val="none"/>
        </w:rPr>
      </w:pPr>
    </w:p>
    <w:p w14:paraId="1AC61550">
      <w:pPr>
        <w:ind w:firstLine="2730" w:firstLineChars="1300"/>
        <w:rPr>
          <w:rFonts w:hint="eastAsia" w:ascii="仿宋" w:hAnsi="仿宋" w:eastAsia="仿宋" w:cs="仿宋"/>
          <w:color w:val="auto"/>
          <w:szCs w:val="21"/>
          <w:highlight w:val="none"/>
        </w:rPr>
      </w:pPr>
    </w:p>
    <w:p w14:paraId="3C2C5775">
      <w:pPr>
        <w:ind w:firstLine="2730" w:firstLineChars="1300"/>
        <w:rPr>
          <w:rFonts w:hint="eastAsia" w:ascii="仿宋" w:hAnsi="仿宋" w:eastAsia="仿宋" w:cs="仿宋"/>
          <w:color w:val="auto"/>
          <w:szCs w:val="21"/>
          <w:highlight w:val="none"/>
        </w:rPr>
      </w:pPr>
    </w:p>
    <w:p w14:paraId="0C240297">
      <w:pPr>
        <w:ind w:firstLine="2730" w:firstLineChars="1300"/>
        <w:rPr>
          <w:rFonts w:hint="eastAsia" w:ascii="仿宋" w:hAnsi="仿宋" w:eastAsia="仿宋" w:cs="仿宋"/>
          <w:color w:val="auto"/>
          <w:szCs w:val="21"/>
          <w:highlight w:val="none"/>
        </w:rPr>
      </w:pPr>
    </w:p>
    <w:p w14:paraId="5C842196">
      <w:pPr>
        <w:ind w:firstLine="2730" w:firstLineChars="1300"/>
        <w:rPr>
          <w:rFonts w:hint="eastAsia" w:ascii="仿宋" w:hAnsi="仿宋" w:eastAsia="仿宋" w:cs="仿宋"/>
          <w:color w:val="auto"/>
          <w:szCs w:val="21"/>
          <w:highlight w:val="none"/>
        </w:rPr>
      </w:pPr>
    </w:p>
    <w:p w14:paraId="54096350">
      <w:pPr>
        <w:ind w:firstLine="2730" w:firstLineChars="1300"/>
        <w:rPr>
          <w:rFonts w:hint="eastAsia" w:ascii="仿宋" w:hAnsi="仿宋" w:eastAsia="仿宋" w:cs="仿宋"/>
          <w:color w:val="auto"/>
          <w:szCs w:val="21"/>
          <w:highlight w:val="none"/>
        </w:rPr>
      </w:pPr>
    </w:p>
    <w:p w14:paraId="0733DC84">
      <w:pPr>
        <w:ind w:firstLine="2730" w:firstLineChars="1300"/>
        <w:rPr>
          <w:rFonts w:hint="eastAsia" w:ascii="仿宋" w:hAnsi="仿宋" w:eastAsia="仿宋" w:cs="仿宋"/>
          <w:color w:val="auto"/>
          <w:szCs w:val="21"/>
          <w:highlight w:val="none"/>
        </w:rPr>
      </w:pPr>
    </w:p>
    <w:p w14:paraId="6B9F6F5E">
      <w:pPr>
        <w:ind w:firstLine="2730" w:firstLineChars="1300"/>
        <w:rPr>
          <w:rFonts w:hint="eastAsia" w:ascii="仿宋" w:hAnsi="仿宋" w:eastAsia="仿宋" w:cs="仿宋"/>
          <w:color w:val="auto"/>
          <w:szCs w:val="21"/>
          <w:highlight w:val="none"/>
        </w:rPr>
      </w:pPr>
    </w:p>
    <w:p w14:paraId="5E806AEC">
      <w:pPr>
        <w:ind w:firstLine="2730" w:firstLineChars="1300"/>
        <w:rPr>
          <w:rFonts w:hint="eastAsia" w:ascii="仿宋" w:hAnsi="仿宋" w:eastAsia="仿宋" w:cs="仿宋"/>
          <w:color w:val="auto"/>
          <w:szCs w:val="21"/>
          <w:highlight w:val="none"/>
        </w:rPr>
      </w:pPr>
    </w:p>
    <w:p w14:paraId="7F92D0A6">
      <w:pPr>
        <w:ind w:firstLine="2730" w:firstLineChars="1300"/>
        <w:rPr>
          <w:rFonts w:hint="eastAsia" w:ascii="仿宋" w:hAnsi="仿宋" w:eastAsia="仿宋" w:cs="仿宋"/>
          <w:color w:val="auto"/>
          <w:szCs w:val="21"/>
          <w:highlight w:val="none"/>
        </w:rPr>
      </w:pPr>
    </w:p>
    <w:p w14:paraId="3E5B663E">
      <w:pPr>
        <w:ind w:firstLine="2730" w:firstLineChars="1300"/>
        <w:rPr>
          <w:rFonts w:hint="eastAsia" w:ascii="仿宋" w:hAnsi="仿宋" w:eastAsia="仿宋" w:cs="仿宋"/>
          <w:color w:val="auto"/>
          <w:szCs w:val="21"/>
          <w:highlight w:val="none"/>
        </w:rPr>
      </w:pPr>
    </w:p>
    <w:p w14:paraId="536E2EC4">
      <w:pPr>
        <w:ind w:firstLine="2730" w:firstLineChars="1300"/>
        <w:rPr>
          <w:rFonts w:hint="eastAsia" w:ascii="仿宋" w:hAnsi="仿宋" w:eastAsia="仿宋" w:cs="仿宋"/>
          <w:color w:val="auto"/>
          <w:szCs w:val="21"/>
          <w:highlight w:val="none"/>
        </w:rPr>
      </w:pPr>
    </w:p>
    <w:p w14:paraId="4504F1AA">
      <w:pPr>
        <w:jc w:val="center"/>
        <w:rPr>
          <w:rFonts w:hint="eastAsia" w:ascii="仿宋" w:hAnsi="仿宋" w:eastAsia="仿宋" w:cs="仿宋"/>
          <w:b/>
          <w:color w:val="auto"/>
          <w:sz w:val="32"/>
          <w:szCs w:val="32"/>
          <w:highlight w:val="none"/>
        </w:rPr>
      </w:pPr>
    </w:p>
    <w:p w14:paraId="69B7E624">
      <w:pPr>
        <w:jc w:val="center"/>
        <w:rPr>
          <w:rFonts w:hint="eastAsia" w:ascii="仿宋" w:hAnsi="仿宋" w:eastAsia="仿宋" w:cs="仿宋"/>
          <w:b/>
          <w:color w:val="auto"/>
          <w:sz w:val="32"/>
          <w:szCs w:val="32"/>
          <w:highlight w:val="none"/>
        </w:rPr>
      </w:pPr>
    </w:p>
    <w:p w14:paraId="4F04D5AF">
      <w:pPr>
        <w:jc w:val="center"/>
        <w:rPr>
          <w:rFonts w:hint="eastAsia" w:ascii="仿宋" w:hAnsi="仿宋" w:eastAsia="仿宋" w:cs="仿宋"/>
          <w:b/>
          <w:color w:val="auto"/>
          <w:sz w:val="32"/>
          <w:szCs w:val="32"/>
          <w:highlight w:val="none"/>
        </w:rPr>
      </w:pPr>
    </w:p>
    <w:p w14:paraId="078675EA">
      <w:pPr>
        <w:jc w:val="center"/>
        <w:rPr>
          <w:rFonts w:hint="eastAsia" w:ascii="仿宋" w:hAnsi="仿宋" w:eastAsia="仿宋" w:cs="仿宋"/>
          <w:b/>
          <w:color w:val="auto"/>
          <w:sz w:val="32"/>
          <w:szCs w:val="32"/>
          <w:highlight w:val="none"/>
        </w:rPr>
      </w:pPr>
    </w:p>
    <w:p w14:paraId="4C665598">
      <w:pPr>
        <w:jc w:val="center"/>
        <w:rPr>
          <w:rFonts w:hint="eastAsia" w:ascii="仿宋" w:hAnsi="仿宋" w:eastAsia="仿宋" w:cs="仿宋"/>
          <w:b/>
          <w:color w:val="auto"/>
          <w:sz w:val="32"/>
          <w:szCs w:val="32"/>
          <w:highlight w:val="none"/>
        </w:rPr>
      </w:pPr>
    </w:p>
    <w:p w14:paraId="341495BA">
      <w:pPr>
        <w:pStyle w:val="2"/>
        <w:spacing w:line="500" w:lineRule="exact"/>
        <w:jc w:val="center"/>
        <w:rPr>
          <w:rFonts w:hint="eastAsia" w:ascii="仿宋" w:hAnsi="仿宋" w:eastAsia="仿宋" w:cs="仿宋"/>
          <w:color w:val="auto"/>
          <w:highlight w:val="none"/>
        </w:rPr>
      </w:pPr>
      <w:bookmarkStart w:id="0" w:name="_Toc146525428"/>
      <w:r>
        <w:rPr>
          <w:rFonts w:hint="eastAsia" w:ascii="仿宋" w:hAnsi="仿宋" w:eastAsia="仿宋" w:cs="仿宋"/>
          <w:color w:val="auto"/>
          <w:highlight w:val="none"/>
        </w:rPr>
        <w:br w:type="page"/>
      </w:r>
      <w:bookmarkStart w:id="1" w:name="_Toc153888697"/>
      <w:r>
        <w:rPr>
          <w:rFonts w:hint="eastAsia" w:ascii="仿宋" w:hAnsi="仿宋" w:eastAsia="仿宋" w:cs="仿宋"/>
          <w:color w:val="auto"/>
          <w:highlight w:val="none"/>
        </w:rPr>
        <w:t>第一章  招标公告</w:t>
      </w:r>
      <w:bookmarkEnd w:id="0"/>
      <w:bookmarkEnd w:id="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73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14C0D29F">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445CCD44">
            <w:pPr>
              <w:spacing w:line="500" w:lineRule="exact"/>
              <w:ind w:firstLine="525" w:firstLineChars="250"/>
              <w:jc w:val="left"/>
              <w:rPr>
                <w:rFonts w:hint="eastAsia" w:ascii="仿宋" w:hAnsi="仿宋" w:eastAsia="仿宋" w:cs="仿宋"/>
                <w:color w:val="auto"/>
                <w:highlight w:val="none"/>
              </w:rPr>
            </w:pPr>
            <w:r>
              <w:rPr>
                <w:rFonts w:hint="eastAsia" w:ascii="仿宋" w:hAnsi="仿宋" w:eastAsia="仿宋" w:cs="仿宋"/>
                <w:color w:val="auto"/>
                <w:szCs w:val="21"/>
                <w:highlight w:val="none"/>
              </w:rPr>
              <w:t>桂林市第二技工学校2024年区级高技能人才培训基地建设项目新能源汽车检测与维修专业设备采购项目招标项目的潜在投标人应在广西政府采购云平台线上获取招标文件，并于</w:t>
            </w:r>
            <w:bookmarkStart w:id="2" w:name="OLE_LINK20"/>
            <w:r>
              <w:rPr>
                <w:rFonts w:hint="eastAsia" w:ascii="仿宋" w:hAnsi="仿宋" w:eastAsia="仿宋" w:cs="仿宋"/>
                <w:color w:val="auto"/>
                <w:szCs w:val="21"/>
                <w:highlight w:val="none"/>
              </w:rPr>
              <w:t xml:space="preserve"> 2025年</w:t>
            </w:r>
            <w:bookmarkEnd w:id="2"/>
            <w:r>
              <w:rPr>
                <w:rFonts w:hint="eastAsia" w:ascii="仿宋" w:hAnsi="仿宋" w:eastAsia="仿宋" w:cs="仿宋"/>
                <w:color w:val="auto"/>
                <w:szCs w:val="21"/>
                <w:highlight w:val="none"/>
                <w:lang w:eastAsia="zh-CN"/>
              </w:rPr>
              <w:t>10月20日</w:t>
            </w:r>
            <w:r>
              <w:rPr>
                <w:rFonts w:hint="eastAsia" w:ascii="仿宋" w:hAnsi="仿宋" w:eastAsia="仿宋" w:cs="仿宋"/>
                <w:color w:val="auto"/>
                <w:szCs w:val="21"/>
                <w:highlight w:val="none"/>
              </w:rPr>
              <w:t xml:space="preserve"> 09:30（北京时间）前递交投标文件。</w:t>
            </w:r>
          </w:p>
        </w:tc>
      </w:tr>
    </w:tbl>
    <w:p w14:paraId="021DF291">
      <w:pPr>
        <w:spacing w:line="500" w:lineRule="exact"/>
        <w:ind w:firstLine="422" w:firstLineChars="200"/>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一、项目基本情况</w:t>
      </w:r>
    </w:p>
    <w:p w14:paraId="51EF5F0B">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项目编号：GLZC2025-G1-990447-JZZB</w:t>
      </w:r>
    </w:p>
    <w:p w14:paraId="671E15F1">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rPr>
        <w:t>：</w:t>
      </w:r>
      <w:bookmarkStart w:id="3" w:name="OLE_LINK41"/>
      <w:r>
        <w:rPr>
          <w:rFonts w:hint="eastAsia" w:ascii="仿宋" w:hAnsi="仿宋" w:eastAsia="仿宋" w:cs="仿宋"/>
          <w:bCs/>
          <w:color w:val="auto"/>
          <w:szCs w:val="21"/>
          <w:highlight w:val="none"/>
        </w:rPr>
        <w:t xml:space="preserve">桂林市第二技工学校2024年区级高技能人才培训基地建设项目新能源汽车检测与维修专业设备采购项目 </w:t>
      </w:r>
      <w:bookmarkEnd w:id="3"/>
    </w:p>
    <w:p w14:paraId="083CB371">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w:t>
      </w:r>
      <w:r>
        <w:rPr>
          <w:rFonts w:hint="eastAsia" w:ascii="仿宋" w:hAnsi="仿宋" w:eastAsia="仿宋" w:cs="仿宋"/>
          <w:bCs/>
          <w:color w:val="auto"/>
          <w:szCs w:val="21"/>
          <w:highlight w:val="none"/>
        </w:rPr>
        <w:t>额（元）：1000000.00</w:t>
      </w:r>
    </w:p>
    <w:p w14:paraId="1BBCB751">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14:paraId="31D159EC">
      <w:pPr>
        <w:spacing w:line="50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标项名称：</w:t>
      </w:r>
      <w:r>
        <w:rPr>
          <w:rFonts w:hint="eastAsia" w:ascii="仿宋" w:hAnsi="仿宋" w:eastAsia="仿宋" w:cs="仿宋"/>
          <w:bCs/>
          <w:color w:val="auto"/>
          <w:szCs w:val="21"/>
          <w:highlight w:val="none"/>
        </w:rPr>
        <w:t>桂林市第二技工学校2024年区级高技能人才培训基地建设项目新能源汽车检测与维修专业设备采购项目</w:t>
      </w:r>
    </w:p>
    <w:p w14:paraId="47736EC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数量：1批</w:t>
      </w:r>
    </w:p>
    <w:p w14:paraId="326CA88C">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预算金额（元）：1000000.00</w:t>
      </w:r>
    </w:p>
    <w:p w14:paraId="0D8AD2D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bookmarkStart w:id="4" w:name="OLE_LINK46"/>
      <w:r>
        <w:rPr>
          <w:rFonts w:hint="eastAsia" w:ascii="仿宋" w:hAnsi="仿宋" w:eastAsia="仿宋" w:cs="仿宋"/>
          <w:bCs/>
          <w:color w:val="auto"/>
          <w:szCs w:val="21"/>
          <w:highlight w:val="none"/>
        </w:rPr>
        <w:t>桂林市第二技工学校2024年区级高技能人才培训基地建设项目新能源汽车检测与维修专业设备一批</w:t>
      </w:r>
      <w:r>
        <w:rPr>
          <w:rFonts w:hint="eastAsia" w:ascii="仿宋" w:hAnsi="仿宋" w:eastAsia="仿宋" w:cs="仿宋"/>
          <w:color w:val="auto"/>
          <w:szCs w:val="21"/>
          <w:highlight w:val="none"/>
        </w:rPr>
        <w:t>具体内容详见招标文件。</w:t>
      </w:r>
      <w:bookmarkEnd w:id="4"/>
    </w:p>
    <w:p w14:paraId="21C621C6">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最高限价（如有）：1000000.00</w:t>
      </w:r>
    </w:p>
    <w:p w14:paraId="490A62D9">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自签订合同之日起60个日历天，完成交付实训设备。</w:t>
      </w:r>
    </w:p>
    <w:p w14:paraId="2E7F0855">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本项目（否）接受联合体投标。</w:t>
      </w:r>
    </w:p>
    <w:p w14:paraId="5A6F752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00ED3B13">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二、申请人的资格要求：</w:t>
      </w:r>
    </w:p>
    <w:p w14:paraId="27FFF15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20DA5B3E">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2.落实政府采购政策需满足的资格要求：无；</w:t>
      </w:r>
    </w:p>
    <w:p w14:paraId="73EB272F">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3.本项目的特定资格要求：无</w:t>
      </w:r>
    </w:p>
    <w:p w14:paraId="1F4B2D7A">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w:t>
      </w:r>
    </w:p>
    <w:p w14:paraId="221C52B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时间：公告发布时间至</w:t>
      </w:r>
      <w:r>
        <w:rPr>
          <w:rFonts w:hint="eastAsia" w:ascii="仿宋" w:hAnsi="仿宋" w:eastAsia="仿宋" w:cs="仿宋"/>
          <w:color w:val="auto"/>
          <w:szCs w:val="21"/>
          <w:highlight w:val="none"/>
          <w:lang w:eastAsia="zh-CN"/>
        </w:rPr>
        <w:t>2025年10月20日</w:t>
      </w:r>
      <w:r>
        <w:rPr>
          <w:rFonts w:hint="eastAsia" w:ascii="仿宋" w:hAnsi="仿宋" w:eastAsia="仿宋" w:cs="仿宋"/>
          <w:color w:val="auto"/>
          <w:szCs w:val="21"/>
          <w:highlight w:val="none"/>
        </w:rPr>
        <w:t>，每天上午00:00至12:00，下午12:01至23:59（北京时间，法定节假日除外）</w:t>
      </w:r>
    </w:p>
    <w:p w14:paraId="339D6B6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地点（网址）：广西政府采购云平台线上获取。</w:t>
      </w:r>
    </w:p>
    <w:p w14:paraId="392E281C">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方式：供应商登录广西政府采购云平台https://www.gcy.zfcg.gxzf.gov.cn/在线申请获取采购文件（进入“项目采购”应用，在获取采购文件菜单中选择项目，申请获取采购文件）。</w:t>
      </w:r>
    </w:p>
    <w:p w14:paraId="3AC57DE8">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售价（元）：0 </w:t>
      </w:r>
    </w:p>
    <w:p w14:paraId="457C0EEA">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4354F47C">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提交投标文件截止时间：</w:t>
      </w:r>
      <w:r>
        <w:rPr>
          <w:rFonts w:hint="eastAsia" w:ascii="仿宋" w:hAnsi="仿宋" w:eastAsia="仿宋" w:cs="仿宋"/>
          <w:color w:val="auto"/>
          <w:szCs w:val="21"/>
          <w:highlight w:val="none"/>
          <w:lang w:eastAsia="zh-CN"/>
        </w:rPr>
        <w:t>2025年10月20日</w:t>
      </w:r>
      <w:r>
        <w:rPr>
          <w:rFonts w:hint="eastAsia" w:ascii="仿宋" w:hAnsi="仿宋" w:eastAsia="仿宋" w:cs="仿宋"/>
          <w:bCs/>
          <w:color w:val="auto"/>
          <w:szCs w:val="21"/>
          <w:highlight w:val="none"/>
        </w:rPr>
        <w:t>上午09:30（北京时间）</w:t>
      </w:r>
    </w:p>
    <w:p w14:paraId="2D340BD8">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投标地点：</w:t>
      </w:r>
      <w:bookmarkStart w:id="5" w:name="OLE_LINK47"/>
      <w:r>
        <w:rPr>
          <w:rFonts w:hint="eastAsia" w:ascii="仿宋" w:hAnsi="仿宋" w:eastAsia="仿宋" w:cs="仿宋"/>
          <w:bCs/>
          <w:color w:val="auto"/>
          <w:szCs w:val="21"/>
          <w:highlight w:val="none"/>
        </w:rPr>
        <w:t>通过“广西政府采购云平台”在线投标。</w:t>
      </w:r>
      <w:bookmarkEnd w:id="5"/>
    </w:p>
    <w:p w14:paraId="40B72C4B">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开标时间：</w:t>
      </w:r>
      <w:r>
        <w:rPr>
          <w:rFonts w:hint="eastAsia" w:ascii="仿宋" w:hAnsi="仿宋" w:eastAsia="仿宋" w:cs="仿宋"/>
          <w:color w:val="auto"/>
          <w:szCs w:val="21"/>
          <w:highlight w:val="none"/>
          <w:lang w:eastAsia="zh-CN"/>
        </w:rPr>
        <w:t>2025年10月20日</w:t>
      </w:r>
      <w:r>
        <w:rPr>
          <w:rFonts w:hint="eastAsia" w:ascii="仿宋" w:hAnsi="仿宋" w:eastAsia="仿宋" w:cs="仿宋"/>
          <w:bCs/>
          <w:color w:val="auto"/>
          <w:szCs w:val="21"/>
          <w:highlight w:val="none"/>
        </w:rPr>
        <w:t>上午09:30</w:t>
      </w:r>
    </w:p>
    <w:p w14:paraId="4E2B1662">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开标地点：</w:t>
      </w:r>
      <w:r>
        <w:rPr>
          <w:rFonts w:hint="eastAsia" w:ascii="仿宋" w:hAnsi="仿宋" w:eastAsia="仿宋" w:cs="仿宋"/>
          <w:color w:val="auto"/>
          <w:szCs w:val="21"/>
          <w:highlight w:val="none"/>
        </w:rPr>
        <w:t>广西政府采购云平台（网址：http://www.gcy.zfcg.gxzf.gov.cn/）在线</w:t>
      </w:r>
      <w:r>
        <w:rPr>
          <w:rFonts w:hint="eastAsia" w:ascii="仿宋" w:hAnsi="仿宋" w:eastAsia="仿宋" w:cs="仿宋"/>
          <w:color w:val="auto"/>
          <w:szCs w:val="21"/>
          <w:highlight w:val="none"/>
          <w:lang w:bidi="ar"/>
        </w:rPr>
        <w:t>开启投标文件</w:t>
      </w:r>
      <w:r>
        <w:rPr>
          <w:rFonts w:hint="eastAsia" w:ascii="仿宋" w:hAnsi="仿宋" w:eastAsia="仿宋" w:cs="仿宋"/>
          <w:bCs/>
          <w:color w:val="auto"/>
          <w:szCs w:val="21"/>
          <w:highlight w:val="none"/>
        </w:rPr>
        <w:t>。</w:t>
      </w:r>
    </w:p>
    <w:p w14:paraId="66067EF9">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14:paraId="2241FA57">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自本公告发布之日起5个工作日。</w:t>
      </w:r>
    </w:p>
    <w:p w14:paraId="582D93F3">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六、其他补充事宜</w:t>
      </w:r>
    </w:p>
    <w:p w14:paraId="6791C1E4">
      <w:pPr>
        <w:spacing w:line="500" w:lineRule="exact"/>
        <w:ind w:firstLine="420" w:firstLineChars="200"/>
        <w:rPr>
          <w:rFonts w:hint="eastAsia" w:ascii="仿宋" w:hAnsi="仿宋" w:eastAsia="仿宋" w:cs="仿宋"/>
          <w:bCs/>
          <w:color w:val="auto"/>
          <w:szCs w:val="21"/>
          <w:highlight w:val="none"/>
        </w:rPr>
      </w:pPr>
      <w:bookmarkStart w:id="6" w:name="OLE_LINK48"/>
      <w:r>
        <w:rPr>
          <w:rFonts w:hint="eastAsia" w:ascii="仿宋" w:hAnsi="仿宋" w:eastAsia="仿宋" w:cs="仿宋"/>
          <w:bCs/>
          <w:color w:val="auto"/>
          <w:szCs w:val="21"/>
          <w:highlight w:val="none"/>
        </w:rPr>
        <w:t>1.信息公告发布媒体：中国政府采购网（http://www.ccgp.gov.cn）、广西壮族自治区政府采购网（</w:t>
      </w:r>
      <w:r>
        <w:rPr>
          <w:rFonts w:hint="eastAsia" w:ascii="仿宋" w:hAnsi="仿宋" w:eastAsia="仿宋" w:cs="仿宋"/>
          <w:color w:val="auto"/>
          <w:szCs w:val="21"/>
          <w:highlight w:val="none"/>
        </w:rPr>
        <w:t>http://zfcg.gxzf.gov.cn/</w:t>
      </w:r>
      <w:r>
        <w:rPr>
          <w:rFonts w:hint="eastAsia" w:ascii="仿宋" w:hAnsi="仿宋" w:eastAsia="仿宋" w:cs="仿宋"/>
          <w:bCs/>
          <w:color w:val="auto"/>
          <w:szCs w:val="21"/>
          <w:highlight w:val="none"/>
        </w:rPr>
        <w:t>）、桂林市政府采购网（http://zfcg.czj.guilin.gov.cn/）。</w:t>
      </w:r>
    </w:p>
    <w:p w14:paraId="5DC84841">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color w:val="auto"/>
          <w:szCs w:val="21"/>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6788CC3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3.本项目需要落实的政府采购政策</w:t>
      </w:r>
    </w:p>
    <w:p w14:paraId="060E40D5">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（1）政府采购促进中小企业发展。</w:t>
      </w:r>
    </w:p>
    <w:p w14:paraId="6BD9D45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（2）政府采购支持监狱企业发展。</w:t>
      </w:r>
    </w:p>
    <w:p w14:paraId="1EB4DB5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（3）政府采购促进残疾人就业政策。</w:t>
      </w:r>
    </w:p>
    <w:p w14:paraId="1B4F4D48">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（4）优先采购节能产品、环境标志产品。</w:t>
      </w:r>
    </w:p>
    <w:p w14:paraId="4C54913B">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（5）政府采购支持采用本国产品的政策。</w:t>
      </w:r>
    </w:p>
    <w:p w14:paraId="6354689C">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4.本项目非专门面向中小企业采购。</w:t>
      </w:r>
    </w:p>
    <w:p w14:paraId="5481DF58">
      <w:pPr>
        <w:spacing w:line="500" w:lineRule="exact"/>
        <w:ind w:firstLine="420" w:firstLineChars="2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5、本项目所属行业：工业</w:t>
      </w:r>
    </w:p>
    <w:p w14:paraId="383E2341">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.资格条件特别说明：</w:t>
      </w:r>
    </w:p>
    <w:p w14:paraId="42DB54BF">
      <w:pPr>
        <w:spacing w:line="5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4EFEF2">
      <w:pPr>
        <w:spacing w:line="5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14:paraId="389788C5">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rPr>
        <w:t>.“广西政府采购云平台”平台电子投标相关事宜说明：</w:t>
      </w:r>
    </w:p>
    <w:p w14:paraId="2866B4FA">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07399245">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（2）电子投标具体操作流程参考《政府采购项目电子交易管理操作指南-供应商》（详见桂林市政府采购网—采购资讯—重要通知）；如遇平台技术问题详询95763。</w:t>
      </w:r>
    </w:p>
    <w:p w14:paraId="46AD246D">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（3）电子投标文件的制作、加密、提交、解密等相关事宜详见第二章 “投标人须知”。</w:t>
      </w:r>
    </w:p>
    <w:p w14:paraId="7B5B4EBF">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8</w:t>
      </w:r>
      <w:r>
        <w:rPr>
          <w:rFonts w:hint="eastAsia" w:ascii="仿宋" w:hAnsi="仿宋" w:eastAsia="仿宋" w:cs="仿宋"/>
          <w:bCs/>
          <w:color w:val="auto"/>
          <w:szCs w:val="21"/>
          <w:highlight w:val="none"/>
        </w:rPr>
        <w:t>.本项目采购代理服务费按招标文件“投标人须知”第36条规定收取，</w:t>
      </w:r>
      <w:r>
        <w:rPr>
          <w:rFonts w:hint="eastAsia" w:ascii="仿宋" w:hAnsi="仿宋" w:eastAsia="仿宋" w:cs="仿宋"/>
          <w:color w:val="auto"/>
          <w:szCs w:val="21"/>
          <w:highlight w:val="none"/>
        </w:rPr>
        <w:t>中标通知书发出之日起5个工作日内，中标人向采购代理机构一次性付清采购代理服务费</w:t>
      </w:r>
      <w:r>
        <w:rPr>
          <w:rFonts w:hint="eastAsia" w:ascii="仿宋" w:hAnsi="仿宋" w:eastAsia="仿宋" w:cs="仿宋"/>
          <w:bCs/>
          <w:color w:val="auto"/>
          <w:szCs w:val="21"/>
          <w:highlight w:val="none"/>
        </w:rPr>
        <w:t>。</w:t>
      </w:r>
    </w:p>
    <w:bookmarkEnd w:id="6"/>
    <w:p w14:paraId="78E8FDD4">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七、本次投标联系事项：</w:t>
      </w:r>
    </w:p>
    <w:p w14:paraId="1D5EA561">
      <w:pPr>
        <w:widowControl/>
        <w:spacing w:line="5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1.采购人信息</w:t>
      </w:r>
    </w:p>
    <w:p w14:paraId="1E804CE2">
      <w:pPr>
        <w:spacing w:line="5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名   称：桂林市第二技工学校</w:t>
      </w:r>
      <w:r>
        <w:rPr>
          <w:rFonts w:hint="eastAsia" w:ascii="仿宋" w:hAnsi="仿宋" w:eastAsia="仿宋" w:cs="仿宋"/>
          <w:color w:val="auto"/>
          <w:szCs w:val="21"/>
          <w:highlight w:val="none"/>
          <w:lang w:val="en-US" w:eastAsia="zh-CN"/>
        </w:rPr>
        <w:t xml:space="preserve">       </w:t>
      </w:r>
    </w:p>
    <w:p w14:paraId="0B20BF9E">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地   址：桂林市象山区象塘路266号</w:t>
      </w:r>
    </w:p>
    <w:p w14:paraId="0263D4AA">
      <w:pPr>
        <w:spacing w:line="500"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采购人联系人：温老师</w:t>
      </w:r>
    </w:p>
    <w:p w14:paraId="4AE21D14">
      <w:pPr>
        <w:spacing w:line="500" w:lineRule="exact"/>
        <w:ind w:firstLine="525" w:firstLineChars="2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eastAsia="zh-CN"/>
        </w:rPr>
        <w:t>19167567097</w:t>
      </w:r>
    </w:p>
    <w:p w14:paraId="5F825F42">
      <w:pPr>
        <w:spacing w:line="500" w:lineRule="exact"/>
        <w:ind w:firstLine="525" w:firstLineChars="2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278D5366">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称：广西金证招标代理有限公司</w:t>
      </w:r>
    </w:p>
    <w:p w14:paraId="73C54386">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址：南宁市青秀区东葛路118号青秀万达广场甲2栋2501</w:t>
      </w:r>
    </w:p>
    <w:p w14:paraId="71BC52DA">
      <w:pPr>
        <w:pStyle w:val="6"/>
        <w:spacing w:line="500" w:lineRule="exact"/>
        <w:ind w:firstLine="567" w:firstLineChars="27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项目联系人：黄勇华</w:t>
      </w:r>
    </w:p>
    <w:p w14:paraId="60C37A0B">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联系方式：0773-2221123    </w:t>
      </w:r>
    </w:p>
    <w:p w14:paraId="462DD3C8">
      <w:pPr>
        <w:spacing w:line="500" w:lineRule="exact"/>
        <w:ind w:firstLine="567" w:firstLineChars="270"/>
        <w:rPr>
          <w:color w:val="auto"/>
          <w:highlight w:val="none"/>
        </w:rPr>
      </w:pPr>
      <w:r>
        <w:rPr>
          <w:rFonts w:hint="eastAsia" w:ascii="仿宋" w:hAnsi="仿宋" w:eastAsia="仿宋" w:cs="仿宋"/>
          <w:color w:val="auto"/>
          <w:szCs w:val="21"/>
          <w:highlight w:val="none"/>
        </w:rPr>
        <w:t xml:space="preserve">    </w:t>
      </w:r>
    </w:p>
    <w:p w14:paraId="67228D0D">
      <w:pPr>
        <w:spacing w:line="500" w:lineRule="exact"/>
        <w:ind w:firstLine="630" w:firstLineChars="300"/>
        <w:rPr>
          <w:rFonts w:hint="eastAsia" w:ascii="仿宋" w:hAnsi="仿宋" w:eastAsia="仿宋" w:cs="仿宋"/>
          <w:color w:val="auto"/>
          <w:szCs w:val="21"/>
          <w:highlight w:val="none"/>
        </w:rPr>
      </w:pPr>
    </w:p>
    <w:p w14:paraId="338A0D0E">
      <w:pPr>
        <w:spacing w:line="300" w:lineRule="exact"/>
        <w:ind w:firstLine="630" w:firstLineChars="300"/>
        <w:rPr>
          <w:rFonts w:hint="eastAsia" w:ascii="仿宋" w:hAnsi="仿宋" w:eastAsia="仿宋" w:cs="仿宋"/>
          <w:color w:val="auto"/>
          <w:szCs w:val="21"/>
          <w:highlight w:val="none"/>
        </w:rPr>
      </w:pPr>
    </w:p>
    <w:p w14:paraId="5223AA0D">
      <w:pPr>
        <w:pStyle w:val="2"/>
        <w:jc w:val="center"/>
        <w:rPr>
          <w:rFonts w:hint="eastAsia" w:ascii="仿宋" w:hAnsi="仿宋" w:eastAsia="仿宋" w:cs="仿宋"/>
          <w:color w:val="auto"/>
          <w:highlight w:val="none"/>
        </w:rPr>
      </w:pPr>
      <w:bookmarkStart w:id="7" w:name="_Toc146525429"/>
      <w:r>
        <w:rPr>
          <w:rFonts w:hint="eastAsia" w:ascii="仿宋" w:hAnsi="仿宋" w:eastAsia="仿宋" w:cs="仿宋"/>
          <w:color w:val="auto"/>
          <w:highlight w:val="none"/>
        </w:rPr>
        <w:br w:type="page"/>
      </w:r>
      <w:bookmarkStart w:id="8" w:name="_Toc153888698"/>
      <w:r>
        <w:rPr>
          <w:rFonts w:hint="eastAsia" w:ascii="仿宋" w:hAnsi="仿宋" w:eastAsia="仿宋" w:cs="仿宋"/>
          <w:color w:val="auto"/>
          <w:highlight w:val="none"/>
        </w:rPr>
        <w:t>第二章  投标人须知</w:t>
      </w:r>
      <w:bookmarkEnd w:id="7"/>
      <w:bookmarkEnd w:id="8"/>
    </w:p>
    <w:p w14:paraId="3D3F9801">
      <w:pPr>
        <w:tabs>
          <w:tab w:val="left" w:pos="1065"/>
          <w:tab w:val="center" w:pos="4411"/>
        </w:tabs>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投标人须知前附表</w:t>
      </w:r>
    </w:p>
    <w:tbl>
      <w:tblPr>
        <w:tblStyle w:val="1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14:paraId="5619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4" w:type="dxa"/>
            <w:vAlign w:val="center"/>
          </w:tcPr>
          <w:p w14:paraId="4BB72BB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850" w:type="dxa"/>
            <w:vAlign w:val="center"/>
          </w:tcPr>
          <w:p w14:paraId="4D13EA29">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1418" w:type="dxa"/>
            <w:vAlign w:val="center"/>
          </w:tcPr>
          <w:p w14:paraId="100AFDF7">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条款名称</w:t>
            </w:r>
          </w:p>
        </w:tc>
        <w:tc>
          <w:tcPr>
            <w:tcW w:w="7229" w:type="dxa"/>
            <w:vAlign w:val="center"/>
          </w:tcPr>
          <w:p w14:paraId="10BDA2C2">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内容、要求</w:t>
            </w:r>
          </w:p>
        </w:tc>
      </w:tr>
      <w:tr w14:paraId="4D83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14:paraId="2FE387C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50" w:type="dxa"/>
            <w:vAlign w:val="center"/>
          </w:tcPr>
          <w:p w14:paraId="46DC6B87">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18" w:type="dxa"/>
            <w:vAlign w:val="center"/>
          </w:tcPr>
          <w:p w14:paraId="1116078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项目名称及项目编号</w:t>
            </w:r>
          </w:p>
        </w:tc>
        <w:tc>
          <w:tcPr>
            <w:tcW w:w="7229" w:type="dxa"/>
            <w:vAlign w:val="center"/>
          </w:tcPr>
          <w:p w14:paraId="152B14E5">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rPr>
              <w:t xml:space="preserve">桂林市第二技工学校2024年区级高技能人才培训基地建设项目新能源汽车检测与维修专业设备采购项目 </w:t>
            </w:r>
            <w:r>
              <w:rPr>
                <w:rFonts w:hint="eastAsia" w:ascii="仿宋" w:hAnsi="仿宋" w:eastAsia="仿宋" w:cs="仿宋"/>
                <w:color w:val="auto"/>
                <w:szCs w:val="21"/>
                <w:highlight w:val="none"/>
              </w:rPr>
              <w:t xml:space="preserve"> </w:t>
            </w:r>
          </w:p>
          <w:p w14:paraId="30CD42AD">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项目编号：GLZC2025-G1-990447-JZZB</w:t>
            </w:r>
          </w:p>
        </w:tc>
      </w:tr>
      <w:tr w14:paraId="4945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14:paraId="4E3CC2E2">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50" w:type="dxa"/>
            <w:vAlign w:val="center"/>
          </w:tcPr>
          <w:p w14:paraId="0C0D2EB9">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1418" w:type="dxa"/>
            <w:vAlign w:val="center"/>
          </w:tcPr>
          <w:p w14:paraId="70C621C8">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法定代表人、负责人、自然人</w:t>
            </w:r>
          </w:p>
        </w:tc>
        <w:tc>
          <w:tcPr>
            <w:tcW w:w="7229" w:type="dxa"/>
            <w:vAlign w:val="center"/>
          </w:tcPr>
          <w:p w14:paraId="7C0AE6CB">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14:paraId="4B65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4" w:type="dxa"/>
            <w:vAlign w:val="center"/>
          </w:tcPr>
          <w:p w14:paraId="77D39E66">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50" w:type="dxa"/>
            <w:vAlign w:val="center"/>
          </w:tcPr>
          <w:p w14:paraId="0C70A3CC">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1418" w:type="dxa"/>
            <w:vAlign w:val="center"/>
          </w:tcPr>
          <w:p w14:paraId="58487C9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投标人资格</w:t>
            </w:r>
          </w:p>
        </w:tc>
        <w:tc>
          <w:tcPr>
            <w:tcW w:w="7229" w:type="dxa"/>
            <w:vAlign w:val="center"/>
          </w:tcPr>
          <w:p w14:paraId="6FE05829">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0CA31CA7">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2.落实政府采购政策需满足的资格要求：分标：无；</w:t>
            </w:r>
          </w:p>
          <w:p w14:paraId="688EDA9A">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3.本项目的特定资格要求：无</w:t>
            </w:r>
          </w:p>
        </w:tc>
      </w:tr>
      <w:tr w14:paraId="4D06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062FDDC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50" w:type="dxa"/>
            <w:vAlign w:val="center"/>
          </w:tcPr>
          <w:p w14:paraId="755B6318">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18" w:type="dxa"/>
            <w:vAlign w:val="center"/>
          </w:tcPr>
          <w:p w14:paraId="4DF58714">
            <w:pPr>
              <w:spacing w:line="330" w:lineRule="exact"/>
              <w:jc w:val="center"/>
              <w:rPr>
                <w:rFonts w:hint="eastAsia" w:ascii="仿宋" w:hAnsi="仿宋" w:eastAsia="仿宋" w:cs="仿宋"/>
                <w:color w:val="auto"/>
                <w:position w:val="-2"/>
                <w:szCs w:val="21"/>
                <w:highlight w:val="none"/>
              </w:rPr>
            </w:pPr>
            <w:r>
              <w:rPr>
                <w:rFonts w:hint="eastAsia" w:ascii="仿宋" w:hAnsi="仿宋" w:eastAsia="仿宋" w:cs="仿宋"/>
                <w:color w:val="auto"/>
                <w:kern w:val="0"/>
                <w:szCs w:val="21"/>
                <w:highlight w:val="none"/>
              </w:rPr>
              <w:t>参与电子投标的准备工作</w:t>
            </w:r>
          </w:p>
        </w:tc>
        <w:tc>
          <w:tcPr>
            <w:tcW w:w="7229" w:type="dxa"/>
            <w:vAlign w:val="center"/>
          </w:tcPr>
          <w:p w14:paraId="5F4BF1BD">
            <w:pPr>
              <w:spacing w:line="33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6.1</w:t>
            </w:r>
            <w:r>
              <w:rPr>
                <w:rFonts w:hint="eastAsia" w:ascii="仿宋" w:hAnsi="仿宋" w:eastAsia="仿宋" w:cs="仿宋"/>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color w:val="auto"/>
                <w:kern w:val="0"/>
                <w:szCs w:val="21"/>
                <w:highlight w:val="none"/>
              </w:rPr>
              <w:t>。</w:t>
            </w:r>
          </w:p>
          <w:p w14:paraId="7F85D9F1">
            <w:pPr>
              <w:spacing w:line="33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6.2电子投标具体操作流程参考《政府采购项目电子交易管理操作指南-供应商》（详见桂林市政府采购网—采购资讯—重要通知）；如遇平台技术问题详询95763。</w:t>
            </w:r>
          </w:p>
        </w:tc>
      </w:tr>
      <w:tr w14:paraId="235D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B5FCD1C">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850" w:type="dxa"/>
            <w:vAlign w:val="center"/>
          </w:tcPr>
          <w:p w14:paraId="454C62C5">
            <w:pPr>
              <w:spacing w:line="330" w:lineRule="exact"/>
              <w:jc w:val="center"/>
              <w:rPr>
                <w:rFonts w:hint="eastAsia" w:ascii="仿宋" w:hAnsi="仿宋" w:eastAsia="仿宋" w:cs="仿宋"/>
                <w:color w:val="auto"/>
                <w:position w:val="-2"/>
                <w:szCs w:val="21"/>
                <w:highlight w:val="none"/>
              </w:rPr>
            </w:pPr>
            <w:r>
              <w:rPr>
                <w:rFonts w:hint="eastAsia" w:ascii="仿宋" w:hAnsi="仿宋" w:eastAsia="仿宋" w:cs="仿宋"/>
                <w:color w:val="auto"/>
                <w:position w:val="-2"/>
                <w:szCs w:val="21"/>
                <w:highlight w:val="none"/>
              </w:rPr>
              <w:t>15</w:t>
            </w:r>
          </w:p>
        </w:tc>
        <w:tc>
          <w:tcPr>
            <w:tcW w:w="1418" w:type="dxa"/>
            <w:vAlign w:val="center"/>
          </w:tcPr>
          <w:p w14:paraId="1E75F0DE">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tc>
        <w:tc>
          <w:tcPr>
            <w:tcW w:w="7229" w:type="dxa"/>
            <w:vAlign w:val="center"/>
          </w:tcPr>
          <w:p w14:paraId="2DA62B33">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15.1投标报价必须按招标文件中第六章“投标文件（格式）”填写。</w:t>
            </w:r>
          </w:p>
          <w:p w14:paraId="5AD3FFFE">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15.2本项目政府采购预算</w:t>
            </w:r>
            <w:r>
              <w:rPr>
                <w:rFonts w:hint="eastAsia" w:ascii="仿宋" w:hAnsi="仿宋" w:eastAsia="仿宋" w:cs="仿宋"/>
                <w:color w:val="auto"/>
                <w:highlight w:val="none"/>
              </w:rPr>
              <w:t>100.00</w:t>
            </w:r>
            <w:r>
              <w:rPr>
                <w:rFonts w:hint="eastAsia" w:ascii="仿宋" w:hAnsi="仿宋" w:eastAsia="仿宋" w:cs="仿宋"/>
                <w:color w:val="auto"/>
                <w:szCs w:val="21"/>
                <w:highlight w:val="none"/>
              </w:rPr>
              <w:t>万元</w:t>
            </w:r>
            <w:r>
              <w:rPr>
                <w:rFonts w:hint="eastAsia" w:ascii="仿宋" w:hAnsi="仿宋" w:eastAsia="仿宋" w:cs="仿宋"/>
                <w:color w:val="auto"/>
                <w:highlight w:val="none"/>
              </w:rPr>
              <w:t>；</w:t>
            </w:r>
            <w:r>
              <w:rPr>
                <w:rFonts w:hint="eastAsia" w:ascii="仿宋" w:hAnsi="仿宋" w:eastAsia="仿宋" w:cs="仿宋"/>
                <w:color w:val="auto"/>
                <w:szCs w:val="21"/>
                <w:highlight w:val="none"/>
              </w:rPr>
              <w:t>投标人报价超出采购预算金额的，投标文件作无效处理。</w:t>
            </w:r>
          </w:p>
          <w:p w14:paraId="1210A385">
            <w:pPr>
              <w:spacing w:line="33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15.3投标人必须就“采购需求”中的所有内容作完整唯一报价，否则，其投标将被拒绝；投标文件只允许有一个报价方案，有选择的或有条件的报价将不予接受。</w:t>
            </w:r>
          </w:p>
        </w:tc>
      </w:tr>
      <w:tr w14:paraId="0F65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4" w:type="dxa"/>
            <w:vAlign w:val="center"/>
          </w:tcPr>
          <w:p w14:paraId="62E26EF3">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850" w:type="dxa"/>
            <w:vAlign w:val="center"/>
          </w:tcPr>
          <w:p w14:paraId="23C751CC">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w:t>
            </w:r>
          </w:p>
        </w:tc>
        <w:tc>
          <w:tcPr>
            <w:tcW w:w="1418" w:type="dxa"/>
            <w:vAlign w:val="center"/>
          </w:tcPr>
          <w:p w14:paraId="3099B9B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7229" w:type="dxa"/>
            <w:vAlign w:val="center"/>
          </w:tcPr>
          <w:p w14:paraId="147609E2">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投标截止时间之日起90天。</w:t>
            </w:r>
          </w:p>
        </w:tc>
      </w:tr>
      <w:tr w14:paraId="2191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4FA6ABCB">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850" w:type="dxa"/>
            <w:vAlign w:val="center"/>
          </w:tcPr>
          <w:p w14:paraId="48196137">
            <w:pPr>
              <w:spacing w:line="330" w:lineRule="exact"/>
              <w:jc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rPr>
              <w:t>18</w:t>
            </w:r>
          </w:p>
        </w:tc>
        <w:tc>
          <w:tcPr>
            <w:tcW w:w="1418" w:type="dxa"/>
            <w:vAlign w:val="center"/>
          </w:tcPr>
          <w:p w14:paraId="10B345FD">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电子投标文件的制作、加密要求</w:t>
            </w:r>
          </w:p>
        </w:tc>
        <w:tc>
          <w:tcPr>
            <w:tcW w:w="7229" w:type="dxa"/>
            <w:vAlign w:val="center"/>
          </w:tcPr>
          <w:p w14:paraId="4890A791">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18.1投标人制作电子投标文件前，应登录“广西政府采购云平台”进行“申请获取采购文件”操作，否则，有可能导致无法在线编制投标文件并参与投标，其不利后果由投标人自行承担。</w:t>
            </w:r>
          </w:p>
          <w:p w14:paraId="70794967">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14:paraId="7801EB8D">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7CB6793A">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14:paraId="7F55B3C2">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18.6供应商公章、签字、电子签章、电子签名</w:t>
            </w:r>
          </w:p>
          <w:p w14:paraId="15DE05E7">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01951C1B">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5063D93A">
            <w:pPr>
              <w:pStyle w:val="6"/>
              <w:snapToGrid w:val="0"/>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14:paraId="1F37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612A8A01">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850" w:type="dxa"/>
            <w:vAlign w:val="center"/>
          </w:tcPr>
          <w:p w14:paraId="37FD2760">
            <w:pPr>
              <w:spacing w:line="33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8" w:type="dxa"/>
            <w:vAlign w:val="center"/>
          </w:tcPr>
          <w:p w14:paraId="05DC4DA5">
            <w:pPr>
              <w:spacing w:line="33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投标文件的递交</w:t>
            </w:r>
          </w:p>
        </w:tc>
        <w:tc>
          <w:tcPr>
            <w:tcW w:w="7229" w:type="dxa"/>
            <w:vAlign w:val="center"/>
          </w:tcPr>
          <w:p w14:paraId="6F9B5628">
            <w:pPr>
              <w:tabs>
                <w:tab w:val="left" w:pos="7200"/>
              </w:tabs>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19.1投标文件递交要求：</w:t>
            </w:r>
          </w:p>
          <w:p w14:paraId="3545249C">
            <w:pPr>
              <w:tabs>
                <w:tab w:val="left" w:pos="7200"/>
              </w:tabs>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w:t>
            </w:r>
            <w:r>
              <w:rPr>
                <w:rFonts w:hint="eastAsia" w:ascii="仿宋" w:hAnsi="仿宋" w:eastAsia="仿宋" w:cs="仿宋"/>
                <w:color w:val="auto"/>
                <w:szCs w:val="21"/>
                <w:highlight w:val="none"/>
                <w:lang w:eastAsia="zh-CN"/>
              </w:rPr>
              <w:t>2025年10月20日</w:t>
            </w:r>
            <w:r>
              <w:rPr>
                <w:rFonts w:hint="eastAsia" w:ascii="仿宋" w:hAnsi="仿宋" w:eastAsia="仿宋" w:cs="仿宋"/>
                <w:color w:val="auto"/>
                <w:szCs w:val="21"/>
                <w:highlight w:val="none"/>
              </w:rPr>
              <w:t>上午9时30分。</w:t>
            </w:r>
          </w:p>
          <w:p w14:paraId="389A33B0">
            <w:pPr>
              <w:tabs>
                <w:tab w:val="left" w:pos="7200"/>
              </w:tabs>
              <w:spacing w:line="33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投标文件递交地点：通过“广西政府采购云平台”在线提交</w:t>
            </w:r>
            <w:r>
              <w:rPr>
                <w:rFonts w:hint="eastAsia" w:ascii="仿宋" w:hAnsi="仿宋" w:eastAsia="仿宋" w:cs="仿宋"/>
                <w:color w:val="auto"/>
                <w:highlight w:val="none"/>
              </w:rPr>
              <w:t>，逾期递交的投标文件将予以拒收。投标文件递交成功后，投标人在</w:t>
            </w:r>
            <w:r>
              <w:rPr>
                <w:rFonts w:hint="eastAsia" w:ascii="仿宋" w:hAnsi="仿宋" w:eastAsia="仿宋" w:cs="仿宋"/>
                <w:color w:val="auto"/>
                <w:szCs w:val="21"/>
                <w:highlight w:val="none"/>
              </w:rPr>
              <w:t>“广西政府采购云平台”自行下载投标回执。</w:t>
            </w:r>
          </w:p>
          <w:p w14:paraId="0EBDB790">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szCs w:val="21"/>
                <w:highlight w:val="none"/>
              </w:rPr>
              <w:t>19.2除招标文件另有规定外，投标人所递交的投标文件不予退还。</w:t>
            </w:r>
          </w:p>
        </w:tc>
      </w:tr>
      <w:tr w14:paraId="6167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3BC7F392">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850" w:type="dxa"/>
            <w:vAlign w:val="center"/>
          </w:tcPr>
          <w:p w14:paraId="00D7EE8D">
            <w:pPr>
              <w:spacing w:line="330" w:lineRule="exact"/>
              <w:jc w:val="center"/>
              <w:rPr>
                <w:rFonts w:hint="eastAsia" w:ascii="仿宋" w:hAnsi="仿宋" w:eastAsia="仿宋" w:cs="仿宋"/>
                <w:color w:val="auto"/>
                <w:position w:val="10"/>
                <w:szCs w:val="21"/>
                <w:highlight w:val="none"/>
              </w:rPr>
            </w:pPr>
            <w:r>
              <w:rPr>
                <w:rFonts w:hint="eastAsia" w:ascii="仿宋" w:hAnsi="仿宋" w:eastAsia="仿宋" w:cs="仿宋"/>
                <w:color w:val="auto"/>
                <w:szCs w:val="21"/>
                <w:highlight w:val="none"/>
              </w:rPr>
              <w:t>20</w:t>
            </w:r>
          </w:p>
        </w:tc>
        <w:tc>
          <w:tcPr>
            <w:tcW w:w="1418" w:type="dxa"/>
            <w:vAlign w:val="center"/>
          </w:tcPr>
          <w:p w14:paraId="76E747C6">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投标文件的补充、修改和撤回</w:t>
            </w:r>
          </w:p>
        </w:tc>
        <w:tc>
          <w:tcPr>
            <w:tcW w:w="7229" w:type="dxa"/>
            <w:vAlign w:val="center"/>
          </w:tcPr>
          <w:p w14:paraId="21B96BBF">
            <w:pPr>
              <w:adjustRightInd w:val="0"/>
              <w:snapToGrid w:val="0"/>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投标人在投标截止时间前，可以</w:t>
            </w:r>
            <w:r>
              <w:rPr>
                <w:rFonts w:hint="eastAsia" w:ascii="仿宋" w:hAnsi="仿宋" w:eastAsia="仿宋" w:cs="仿宋"/>
                <w:color w:val="auto"/>
                <w:szCs w:val="21"/>
                <w:highlight w:val="none"/>
              </w:rPr>
              <w:t>通过“广西政府采购云平台”在线</w:t>
            </w:r>
            <w:r>
              <w:rPr>
                <w:rFonts w:hint="eastAsia" w:ascii="仿宋" w:hAnsi="仿宋" w:eastAsia="仿宋" w:cs="仿宋"/>
                <w:color w:val="auto"/>
                <w:highlight w:val="none"/>
              </w:rPr>
              <w:t>对所递交的投标文件进行补充、修改或者撤回，并书面通知采购代理机构。</w:t>
            </w:r>
            <w:r>
              <w:rPr>
                <w:rFonts w:hint="eastAsia" w:ascii="仿宋" w:hAnsi="仿宋" w:eastAsia="仿宋" w:cs="仿宋"/>
                <w:bCs/>
                <w:color w:val="auto"/>
                <w:szCs w:val="21"/>
                <w:highlight w:val="none"/>
              </w:rPr>
              <w:t>补充、修改电子投标文件的，应当先行撤回原文件，补充、修改的内容</w:t>
            </w:r>
            <w:r>
              <w:rPr>
                <w:rFonts w:hint="eastAsia" w:ascii="仿宋" w:hAnsi="仿宋" w:eastAsia="仿宋" w:cs="仿宋"/>
                <w:color w:val="auto"/>
                <w:highlight w:val="none"/>
              </w:rPr>
              <w:t>按照招标文件要求签署、盖章后</w:t>
            </w:r>
            <w:r>
              <w:rPr>
                <w:rFonts w:hint="eastAsia" w:ascii="仿宋" w:hAnsi="仿宋" w:eastAsia="仿宋" w:cs="仿宋"/>
                <w:bCs/>
                <w:color w:val="auto"/>
                <w:szCs w:val="21"/>
                <w:highlight w:val="none"/>
              </w:rPr>
              <w:t>重新传输提交至</w:t>
            </w:r>
            <w:r>
              <w:rPr>
                <w:rFonts w:hint="eastAsia" w:ascii="仿宋" w:hAnsi="仿宋" w:eastAsia="仿宋" w:cs="仿宋"/>
                <w:color w:val="auto"/>
                <w:szCs w:val="21"/>
                <w:highlight w:val="none"/>
              </w:rPr>
              <w:t>“广西政府采购云平台”</w:t>
            </w:r>
            <w:r>
              <w:rPr>
                <w:rFonts w:hint="eastAsia" w:ascii="仿宋" w:hAnsi="仿宋" w:eastAsia="仿宋" w:cs="仿宋"/>
                <w:color w:val="auto"/>
                <w:highlight w:val="none"/>
              </w:rPr>
              <w:t>，作为投标文件的组成部分。</w:t>
            </w:r>
            <w:r>
              <w:rPr>
                <w:rFonts w:hint="eastAsia" w:ascii="仿宋" w:hAnsi="仿宋" w:eastAsia="仿宋" w:cs="仿宋"/>
                <w:bCs/>
                <w:color w:val="auto"/>
                <w:szCs w:val="21"/>
                <w:highlight w:val="none"/>
              </w:rPr>
              <w:t>在投标文件递交截止时间后的投标文件有效期内，投标人不得撤回其投标文件。</w:t>
            </w:r>
          </w:p>
        </w:tc>
      </w:tr>
      <w:tr w14:paraId="42F1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1B3DD2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850" w:type="dxa"/>
            <w:vAlign w:val="center"/>
          </w:tcPr>
          <w:p w14:paraId="7C379D7E">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21 </w:t>
            </w:r>
          </w:p>
        </w:tc>
        <w:tc>
          <w:tcPr>
            <w:tcW w:w="1418" w:type="dxa"/>
            <w:vAlign w:val="center"/>
          </w:tcPr>
          <w:p w14:paraId="7CA1EECB">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开标时间及地点</w:t>
            </w:r>
          </w:p>
        </w:tc>
        <w:tc>
          <w:tcPr>
            <w:tcW w:w="7229" w:type="dxa"/>
            <w:vAlign w:val="center"/>
          </w:tcPr>
          <w:p w14:paraId="6B52E40B">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21.1开标时间及地点：</w:t>
            </w:r>
          </w:p>
          <w:p w14:paraId="66037567">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szCs w:val="21"/>
                <w:highlight w:val="none"/>
                <w:lang w:eastAsia="zh-CN"/>
              </w:rPr>
              <w:t>2025年10月20日</w:t>
            </w:r>
            <w:r>
              <w:rPr>
                <w:rFonts w:hint="eastAsia" w:ascii="仿宋" w:hAnsi="仿宋" w:eastAsia="仿宋" w:cs="仿宋"/>
                <w:color w:val="auto"/>
                <w:highlight w:val="none"/>
              </w:rPr>
              <w:t>上午9时30分；</w:t>
            </w:r>
          </w:p>
          <w:p w14:paraId="2DBBD08D">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开标地点：通过“广西政府采购云平台”在线解密、开标。</w:t>
            </w:r>
          </w:p>
          <w:p w14:paraId="193C8CCA">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21.2投标人不足3家的，不得开标，采购人或者采购代理机构应当重新组织采购。</w:t>
            </w:r>
          </w:p>
        </w:tc>
      </w:tr>
      <w:tr w14:paraId="044C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24C0FEC">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50" w:type="dxa"/>
            <w:vAlign w:val="center"/>
          </w:tcPr>
          <w:p w14:paraId="4B0BA793">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418" w:type="dxa"/>
            <w:vAlign w:val="center"/>
          </w:tcPr>
          <w:p w14:paraId="1928A04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开标程序</w:t>
            </w:r>
          </w:p>
        </w:tc>
        <w:tc>
          <w:tcPr>
            <w:tcW w:w="7229" w:type="dxa"/>
            <w:vAlign w:val="center"/>
          </w:tcPr>
          <w:p w14:paraId="469875AA">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61E6E05C">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color w:val="auto"/>
                <w:highlight w:val="none"/>
              </w:rPr>
              <w:t>若投标人在规定时间内无法解密或解密失败，视为投标人放弃投标。</w:t>
            </w:r>
          </w:p>
          <w:p w14:paraId="713A0EF2">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22.3投标文件解密结束后，开标活动组织人员在线开启投标文件。</w:t>
            </w:r>
          </w:p>
          <w:p w14:paraId="5B5C5ED6">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22.4开启投标人报价文件，电子开标大厅记录显示并记录投标人投标报价表的投标报价等。</w:t>
            </w:r>
          </w:p>
          <w:p w14:paraId="01AF1A94">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22.5投标人线上确认投标报价。</w:t>
            </w:r>
          </w:p>
          <w:p w14:paraId="359B4348">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22.6如发现开标结果与所提交的报价文件不一致的，由评标委员会根据报价文件内容进行修正。</w:t>
            </w:r>
          </w:p>
          <w:p w14:paraId="2070FEBF">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9E9AAD9">
            <w:pPr>
              <w:adjustRightInd w:val="0"/>
              <w:snapToGrid w:val="0"/>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22.8特别说明：如遇“广西政府采购云平台”电子化开标或评审程序调整的，按调整后程序执行。</w:t>
            </w:r>
          </w:p>
        </w:tc>
      </w:tr>
      <w:tr w14:paraId="7A1B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vAlign w:val="center"/>
          </w:tcPr>
          <w:p w14:paraId="73FF0126">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850" w:type="dxa"/>
            <w:vAlign w:val="center"/>
          </w:tcPr>
          <w:p w14:paraId="18DC109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w:t>
            </w:r>
          </w:p>
        </w:tc>
        <w:tc>
          <w:tcPr>
            <w:tcW w:w="1418" w:type="dxa"/>
            <w:vAlign w:val="center"/>
          </w:tcPr>
          <w:p w14:paraId="4D74EEAF">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评标委员会组成</w:t>
            </w:r>
          </w:p>
        </w:tc>
        <w:tc>
          <w:tcPr>
            <w:tcW w:w="7229" w:type="dxa"/>
            <w:vAlign w:val="center"/>
          </w:tcPr>
          <w:p w14:paraId="19F57F27">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评标委员会由采购人代表和评审专家组成，成员人数共5人。</w:t>
            </w:r>
          </w:p>
        </w:tc>
      </w:tr>
      <w:tr w14:paraId="326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4" w:type="dxa"/>
            <w:vAlign w:val="center"/>
          </w:tcPr>
          <w:p w14:paraId="1278081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850" w:type="dxa"/>
            <w:vAlign w:val="center"/>
          </w:tcPr>
          <w:p w14:paraId="21DACEE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w:t>
            </w:r>
          </w:p>
        </w:tc>
        <w:tc>
          <w:tcPr>
            <w:tcW w:w="1418" w:type="dxa"/>
            <w:vAlign w:val="center"/>
          </w:tcPr>
          <w:p w14:paraId="623FE2AF">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评标办法</w:t>
            </w:r>
          </w:p>
        </w:tc>
        <w:tc>
          <w:tcPr>
            <w:tcW w:w="7229" w:type="dxa"/>
            <w:vAlign w:val="center"/>
          </w:tcPr>
          <w:p w14:paraId="47E835F4">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综合评分法，具体评标内容及标准详见第四章。</w:t>
            </w:r>
          </w:p>
        </w:tc>
      </w:tr>
      <w:tr w14:paraId="383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44189EA3">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850" w:type="dxa"/>
            <w:vAlign w:val="center"/>
          </w:tcPr>
          <w:p w14:paraId="7F8AA5C8">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w:t>
            </w:r>
          </w:p>
        </w:tc>
        <w:tc>
          <w:tcPr>
            <w:tcW w:w="1418" w:type="dxa"/>
            <w:vAlign w:val="center"/>
          </w:tcPr>
          <w:p w14:paraId="0506F04E">
            <w:pPr>
              <w:tabs>
                <w:tab w:val="left" w:pos="1140"/>
              </w:tabs>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w:t>
            </w:r>
          </w:p>
        </w:tc>
        <w:tc>
          <w:tcPr>
            <w:tcW w:w="7229" w:type="dxa"/>
            <w:vAlign w:val="center"/>
          </w:tcPr>
          <w:p w14:paraId="763DA38B">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14:paraId="35B80914">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⑴查询渠道：“信用中国”网站(http://www.creditchina.gov.cn)、中国政府采购网（http://www.ccgp.gov.cn）等；</w:t>
            </w:r>
          </w:p>
          <w:p w14:paraId="70410839">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⑵查询截止时间：中标通知书发出前；</w:t>
            </w:r>
          </w:p>
          <w:p w14:paraId="09E5693F">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⑶信用信息查询记录和证据留存方式：在查询网站中直接打印查询记录，打印材料作为采购活动资料保存；</w:t>
            </w:r>
          </w:p>
          <w:p w14:paraId="41035726">
            <w:pPr>
              <w:pStyle w:val="16"/>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tc>
      </w:tr>
      <w:tr w14:paraId="5E1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E91EBC7">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850" w:type="dxa"/>
            <w:vAlign w:val="center"/>
          </w:tcPr>
          <w:p w14:paraId="5F0EF7B9">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1418" w:type="dxa"/>
            <w:vAlign w:val="center"/>
          </w:tcPr>
          <w:p w14:paraId="5C426A8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中标公告及中标通知书</w:t>
            </w:r>
          </w:p>
        </w:tc>
        <w:tc>
          <w:tcPr>
            <w:tcW w:w="7229" w:type="dxa"/>
            <w:vAlign w:val="center"/>
          </w:tcPr>
          <w:p w14:paraId="7AFD42E2">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60FBDEBF">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399D2EF6">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33.3中标公告发布同时，采购代理机构通过政采云平台在线向中标人发出中标通知书，中标人应自行关注政采云平台信息，确保及时查收中标通知书。</w:t>
            </w:r>
          </w:p>
        </w:tc>
      </w:tr>
      <w:tr w14:paraId="3A3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4" w:type="dxa"/>
            <w:vAlign w:val="center"/>
          </w:tcPr>
          <w:p w14:paraId="7648C073">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850" w:type="dxa"/>
            <w:vAlign w:val="center"/>
          </w:tcPr>
          <w:p w14:paraId="600BF25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1418" w:type="dxa"/>
            <w:vAlign w:val="center"/>
          </w:tcPr>
          <w:p w14:paraId="455BCEB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w:t>
            </w:r>
          </w:p>
        </w:tc>
        <w:tc>
          <w:tcPr>
            <w:tcW w:w="7229" w:type="dxa"/>
            <w:vAlign w:val="center"/>
          </w:tcPr>
          <w:p w14:paraId="6E1517CB">
            <w:pPr>
              <w:pStyle w:val="6"/>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w:t>
            </w:r>
          </w:p>
        </w:tc>
      </w:tr>
      <w:tr w14:paraId="476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10EB1D8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850" w:type="dxa"/>
            <w:vAlign w:val="center"/>
          </w:tcPr>
          <w:p w14:paraId="26D7680E">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w:t>
            </w:r>
          </w:p>
        </w:tc>
        <w:tc>
          <w:tcPr>
            <w:tcW w:w="1418" w:type="dxa"/>
            <w:vAlign w:val="center"/>
          </w:tcPr>
          <w:p w14:paraId="30BFAF8A">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签订合同时间</w:t>
            </w:r>
          </w:p>
        </w:tc>
        <w:tc>
          <w:tcPr>
            <w:tcW w:w="7229" w:type="dxa"/>
            <w:vAlign w:val="center"/>
          </w:tcPr>
          <w:p w14:paraId="44BDFB6D">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中标通知书发出之日起8个工作日内。中标人应按规定与采购人签订合同。</w:t>
            </w:r>
          </w:p>
        </w:tc>
      </w:tr>
      <w:tr w14:paraId="5E8A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44" w:type="dxa"/>
            <w:vAlign w:val="center"/>
          </w:tcPr>
          <w:p w14:paraId="4BFC6B68">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850" w:type="dxa"/>
            <w:vAlign w:val="center"/>
          </w:tcPr>
          <w:p w14:paraId="2DB1651A">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35.3</w:t>
            </w:r>
          </w:p>
        </w:tc>
        <w:tc>
          <w:tcPr>
            <w:tcW w:w="1418" w:type="dxa"/>
            <w:vAlign w:val="center"/>
          </w:tcPr>
          <w:p w14:paraId="098054A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合同公告</w:t>
            </w:r>
          </w:p>
        </w:tc>
        <w:tc>
          <w:tcPr>
            <w:tcW w:w="7229" w:type="dxa"/>
            <w:vAlign w:val="center"/>
          </w:tcPr>
          <w:p w14:paraId="1B3BC1EA">
            <w:pPr>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政府采购合同双方自签订之日起2个工作日内在省级以上人民政府财政部门指定媒体上公告。</w:t>
            </w:r>
          </w:p>
        </w:tc>
      </w:tr>
      <w:tr w14:paraId="6807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4" w:type="dxa"/>
            <w:vAlign w:val="center"/>
          </w:tcPr>
          <w:p w14:paraId="1493DA3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850" w:type="dxa"/>
            <w:vAlign w:val="center"/>
          </w:tcPr>
          <w:p w14:paraId="0726EA2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36.1</w:t>
            </w:r>
          </w:p>
        </w:tc>
        <w:tc>
          <w:tcPr>
            <w:tcW w:w="1418" w:type="dxa"/>
            <w:vAlign w:val="center"/>
          </w:tcPr>
          <w:p w14:paraId="7AF1141B">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采购代理服务费</w:t>
            </w:r>
          </w:p>
        </w:tc>
        <w:tc>
          <w:tcPr>
            <w:tcW w:w="7229" w:type="dxa"/>
            <w:vAlign w:val="center"/>
          </w:tcPr>
          <w:p w14:paraId="0D9D5662">
            <w:pPr>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本项目的招标代理服务收费标准按计价格[2002]1980号《招标代理服务收费管理暂行办法》货物类收费标准向中标供应商收取。</w:t>
            </w:r>
          </w:p>
        </w:tc>
      </w:tr>
      <w:tr w14:paraId="24A5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4" w:type="dxa"/>
            <w:vAlign w:val="center"/>
          </w:tcPr>
          <w:p w14:paraId="0908BEF0">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850" w:type="dxa"/>
            <w:vAlign w:val="center"/>
          </w:tcPr>
          <w:p w14:paraId="2F91C4E5">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39</w:t>
            </w:r>
          </w:p>
        </w:tc>
        <w:tc>
          <w:tcPr>
            <w:tcW w:w="1418" w:type="dxa"/>
            <w:vAlign w:val="center"/>
          </w:tcPr>
          <w:p w14:paraId="063B5884">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解释权</w:t>
            </w:r>
          </w:p>
        </w:tc>
        <w:tc>
          <w:tcPr>
            <w:tcW w:w="7229" w:type="dxa"/>
            <w:vAlign w:val="center"/>
          </w:tcPr>
          <w:p w14:paraId="2DBF72D5">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本招标文件是根据《中华人民共和国政府采购法》、《中华人民共和国政府采购法实施条例》及</w:t>
            </w:r>
            <w:r>
              <w:rPr>
                <w:rFonts w:hint="eastAsia" w:ascii="仿宋" w:hAnsi="仿宋" w:eastAsia="仿宋" w:cs="仿宋"/>
                <w:bCs/>
                <w:color w:val="auto"/>
                <w:szCs w:val="21"/>
                <w:highlight w:val="none"/>
              </w:rPr>
              <w:t>财政部令第87号</w:t>
            </w:r>
            <w:r>
              <w:rPr>
                <w:rFonts w:hint="eastAsia" w:ascii="仿宋" w:hAnsi="仿宋" w:eastAsia="仿宋" w:cs="仿宋"/>
                <w:color w:val="auto"/>
                <w:szCs w:val="21"/>
                <w:highlight w:val="none"/>
              </w:rPr>
              <w:t>《政府采购货物和服务招标投标管理办法》和政府采购管理有关规定编制，本招标文件的解释权属于采购代理机构。</w:t>
            </w:r>
          </w:p>
        </w:tc>
      </w:tr>
      <w:tr w14:paraId="78D1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4" w:type="dxa"/>
            <w:vAlign w:val="center"/>
          </w:tcPr>
          <w:p w14:paraId="6C3D151D">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850" w:type="dxa"/>
            <w:vAlign w:val="center"/>
          </w:tcPr>
          <w:p w14:paraId="7E5FEB1F">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w:t>
            </w:r>
          </w:p>
        </w:tc>
        <w:tc>
          <w:tcPr>
            <w:tcW w:w="1418" w:type="dxa"/>
            <w:vAlign w:val="center"/>
          </w:tcPr>
          <w:p w14:paraId="40CC128D">
            <w:pPr>
              <w:spacing w:line="330" w:lineRule="exact"/>
              <w:jc w:val="center"/>
              <w:rPr>
                <w:rFonts w:hint="eastAsia" w:ascii="仿宋" w:hAnsi="仿宋" w:eastAsia="仿宋" w:cs="仿宋"/>
                <w:color w:val="auto"/>
                <w:position w:val="10"/>
                <w:szCs w:val="21"/>
                <w:highlight w:val="none"/>
              </w:rPr>
            </w:pPr>
            <w:r>
              <w:rPr>
                <w:rFonts w:hint="eastAsia" w:ascii="仿宋" w:hAnsi="仿宋" w:eastAsia="仿宋" w:cs="仿宋"/>
                <w:color w:val="auto"/>
                <w:szCs w:val="21"/>
                <w:highlight w:val="none"/>
              </w:rPr>
              <w:t>监督管理机构</w:t>
            </w:r>
          </w:p>
        </w:tc>
        <w:tc>
          <w:tcPr>
            <w:tcW w:w="7229" w:type="dxa"/>
            <w:vAlign w:val="center"/>
          </w:tcPr>
          <w:p w14:paraId="6FF082A9">
            <w:pPr>
              <w:spacing w:line="33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桂林市财政局；联系电话：0773-2829504</w:t>
            </w:r>
          </w:p>
        </w:tc>
      </w:tr>
    </w:tbl>
    <w:p w14:paraId="1A0C9A16">
      <w:pPr>
        <w:spacing w:line="400" w:lineRule="exact"/>
        <w:jc w:val="center"/>
        <w:rPr>
          <w:rFonts w:hint="eastAsia" w:ascii="仿宋" w:hAnsi="仿宋" w:eastAsia="仿宋" w:cs="仿宋"/>
          <w:b/>
          <w:color w:val="auto"/>
          <w:sz w:val="28"/>
          <w:szCs w:val="28"/>
          <w:highlight w:val="none"/>
        </w:rPr>
      </w:pPr>
    </w:p>
    <w:p w14:paraId="70800E3D">
      <w:pPr>
        <w:spacing w:line="400" w:lineRule="exact"/>
        <w:jc w:val="center"/>
        <w:rPr>
          <w:rFonts w:hint="eastAsia" w:ascii="仿宋" w:hAnsi="仿宋" w:eastAsia="仿宋" w:cs="仿宋"/>
          <w:b/>
          <w:color w:val="auto"/>
          <w:sz w:val="28"/>
          <w:szCs w:val="28"/>
          <w:highlight w:val="none"/>
        </w:rPr>
      </w:pPr>
    </w:p>
    <w:p w14:paraId="7BAF289A">
      <w:pPr>
        <w:spacing w:line="400" w:lineRule="exact"/>
        <w:jc w:val="center"/>
        <w:rPr>
          <w:rFonts w:hint="eastAsia" w:ascii="仿宋" w:hAnsi="仿宋" w:eastAsia="仿宋" w:cs="仿宋"/>
          <w:b/>
          <w:color w:val="auto"/>
          <w:sz w:val="28"/>
          <w:szCs w:val="28"/>
          <w:highlight w:val="none"/>
        </w:rPr>
      </w:pPr>
    </w:p>
    <w:p w14:paraId="09B59243">
      <w:pPr>
        <w:spacing w:line="400" w:lineRule="exact"/>
        <w:jc w:val="center"/>
        <w:rPr>
          <w:rFonts w:hint="eastAsia" w:ascii="仿宋" w:hAnsi="仿宋" w:eastAsia="仿宋" w:cs="仿宋"/>
          <w:b/>
          <w:color w:val="auto"/>
          <w:sz w:val="28"/>
          <w:szCs w:val="28"/>
          <w:highlight w:val="none"/>
        </w:rPr>
      </w:pPr>
    </w:p>
    <w:p w14:paraId="15B8C0A0">
      <w:pPr>
        <w:spacing w:line="3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一、总则</w:t>
      </w:r>
    </w:p>
    <w:p w14:paraId="6BC27B03">
      <w:pPr>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项目名称及项目编号</w:t>
      </w:r>
    </w:p>
    <w:p w14:paraId="1EF60778">
      <w:pPr>
        <w:spacing w:line="360" w:lineRule="exact"/>
        <w:ind w:firstLine="720" w:firstLineChars="343"/>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rPr>
        <w:t xml:space="preserve">桂林市第二技工学校2024年区级高技能人才培训基地建设项目新能源汽车检测与维修专业设备采购项目 </w:t>
      </w:r>
    </w:p>
    <w:p w14:paraId="5F89574A">
      <w:pPr>
        <w:spacing w:line="360" w:lineRule="exact"/>
        <w:ind w:firstLine="720" w:firstLineChars="343"/>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项目编号：GLZC2025-G1-990447-JZZB</w:t>
      </w:r>
    </w:p>
    <w:p w14:paraId="32E6A3C6">
      <w:pPr>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适应范围</w:t>
      </w:r>
    </w:p>
    <w:p w14:paraId="5525C05D">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本招标文件适用本招标采购项目的招标、投标、评标、合同履约、验收、付款等行为（法律、法规另有规定的，从其规定）。</w:t>
      </w:r>
    </w:p>
    <w:p w14:paraId="24519D08">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 定义</w:t>
      </w:r>
    </w:p>
    <w:p w14:paraId="6A020F4D">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3.1“投标人”是指响应招标、参加投标竞争的法人、其他组织或者自然人。</w:t>
      </w:r>
    </w:p>
    <w:p w14:paraId="6C11DD2E">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3.2“货物”系指按招标文件规定，投标人须向采购人提供的一切设备、保险、税金、备品备件、工具、手册及其他有关技术资料和材料。</w:t>
      </w:r>
    </w:p>
    <w:p w14:paraId="045F103F">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3.3“服务”系指按招标文件规定，投标人须承担的安装、调试、技术协助、校准、培训、技术指导以及其他类似的义务。</w:t>
      </w:r>
    </w:p>
    <w:p w14:paraId="4DFEEEF8">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3.4“项目”系指投标人按招标文件规定向采购人提供的货物和服务。</w:t>
      </w:r>
    </w:p>
    <w:p w14:paraId="48226EC5">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3.5“书面形式”包括信函、传真、电报。</w:t>
      </w:r>
    </w:p>
    <w:p w14:paraId="6C004AC3">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411AD1">
      <w:pPr>
        <w:spacing w:line="360" w:lineRule="exact"/>
        <w:ind w:firstLine="435"/>
        <w:rPr>
          <w:rFonts w:hint="eastAsia" w:ascii="仿宋" w:hAnsi="仿宋" w:eastAsia="仿宋" w:cs="仿宋"/>
          <w:color w:val="auto"/>
          <w:highlight w:val="none"/>
        </w:rPr>
      </w:pPr>
      <w:r>
        <w:rPr>
          <w:rFonts w:hint="eastAsia" w:ascii="仿宋" w:hAnsi="仿宋" w:eastAsia="仿宋" w:cs="仿宋"/>
          <w:b/>
          <w:color w:val="auto"/>
          <w:szCs w:val="21"/>
          <w:highlight w:val="none"/>
        </w:rPr>
        <w:t>3.7</w:t>
      </w:r>
      <w:r>
        <w:rPr>
          <w:rFonts w:hint="eastAsia" w:ascii="仿宋" w:hAnsi="仿宋" w:eastAsia="仿宋" w:cs="仿宋"/>
          <w:color w:val="auto"/>
          <w:highlight w:val="none"/>
        </w:rPr>
        <w:t>“正偏离”，是指投标文件对招标文件“采购需求”中有关条款作出的响应优于条款基本要求并有利于采购人的情形。</w:t>
      </w:r>
    </w:p>
    <w:p w14:paraId="76AEA70E">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3.8</w:t>
      </w:r>
      <w:r>
        <w:rPr>
          <w:rFonts w:hint="eastAsia" w:ascii="仿宋" w:hAnsi="仿宋" w:eastAsia="仿宋" w:cs="仿宋"/>
          <w:color w:val="auto"/>
          <w:szCs w:val="21"/>
          <w:highlight w:val="none"/>
        </w:rPr>
        <w:t>“负偏离”是指投标文件对招标文件“采购需求”中有关条款作出的响应不满足条款要求，导致采购人要求不能得到满足的情形。</w:t>
      </w:r>
    </w:p>
    <w:p w14:paraId="254BA9D7">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3.9实质性要求：“采购需求”中标注★号项的条款以及招标文件中要求“必须提供”的条款均为实质性要求，投标人对实质性要求若有任意一项不满足，投标文件按无效处理。</w:t>
      </w:r>
    </w:p>
    <w:p w14:paraId="62BF6A5B">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 招标方式、评分办法</w:t>
      </w:r>
    </w:p>
    <w:p w14:paraId="64600950">
      <w:pPr>
        <w:spacing w:line="360" w:lineRule="exact"/>
        <w:ind w:firstLine="749" w:firstLineChars="357"/>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公开招标、综合评分法</w:t>
      </w:r>
    </w:p>
    <w:p w14:paraId="53521D40">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 投标人资格及资格条件特别说明：</w:t>
      </w:r>
    </w:p>
    <w:p w14:paraId="1038FC44">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5.1投标人资格</w:t>
      </w:r>
    </w:p>
    <w:p w14:paraId="75327246">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（1）满足《中华人民共和国政府采购法》第二十二条规定；</w:t>
      </w:r>
    </w:p>
    <w:p w14:paraId="2B56E2C3">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（2）落实政府采购政策需满足的资格要求：分标：无；</w:t>
      </w:r>
    </w:p>
    <w:p w14:paraId="3F462C14">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（3）本项目的特定资格要求：无</w:t>
      </w:r>
    </w:p>
    <w:p w14:paraId="0215E1EC">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5.2资格条件特别说明：</w:t>
      </w:r>
    </w:p>
    <w:p w14:paraId="1C88C85E">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7B8961">
      <w:pPr>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14:paraId="0C5226CF">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 参与电子投标的准备工作</w:t>
      </w:r>
    </w:p>
    <w:p w14:paraId="46A77B23">
      <w:pPr>
        <w:tabs>
          <w:tab w:val="left" w:pos="1635"/>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6.1</w:t>
      </w:r>
      <w:r>
        <w:rPr>
          <w:rFonts w:hint="eastAsia" w:ascii="仿宋" w:hAnsi="仿宋" w:eastAsia="仿宋" w:cs="仿宋"/>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color w:val="auto"/>
          <w:kern w:val="0"/>
          <w:szCs w:val="21"/>
          <w:highlight w:val="none"/>
        </w:rPr>
        <w:t>。</w:t>
      </w:r>
    </w:p>
    <w:p w14:paraId="222BC070">
      <w:pPr>
        <w:tabs>
          <w:tab w:val="left" w:pos="1635"/>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6.2电子投标具体操作流程参考《政府采购项目电子交易管理操作指南-供应商》（详见桂林市政府采购网—采购资讯—重要通知）；如遇平台技术问题详询95763。</w:t>
      </w:r>
    </w:p>
    <w:p w14:paraId="0382508C">
      <w:pPr>
        <w:tabs>
          <w:tab w:val="left" w:pos="1635"/>
        </w:tabs>
        <w:spacing w:line="360" w:lineRule="exact"/>
        <w:ind w:firstLine="435"/>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6.3</w:t>
      </w:r>
      <w:r>
        <w:rPr>
          <w:rFonts w:hint="eastAsia" w:ascii="仿宋" w:hAnsi="仿宋" w:eastAsia="仿宋" w:cs="仿宋"/>
          <w:b/>
          <w:bCs/>
          <w:color w:val="auto"/>
          <w:szCs w:val="21"/>
          <w:highlight w:val="none"/>
        </w:rPr>
        <w:t>本项目资格审查及评审过程中，资格审查人员或评审委员会需要投标人进行澄清（</w:t>
      </w:r>
      <w:r>
        <w:rPr>
          <w:rFonts w:hint="eastAsia" w:ascii="仿宋" w:hAnsi="仿宋" w:eastAsia="仿宋" w:cs="仿宋"/>
          <w:b/>
          <w:color w:val="auto"/>
          <w:szCs w:val="21"/>
          <w:highlight w:val="none"/>
        </w:rPr>
        <w:t>说明、更正</w:t>
      </w:r>
      <w:r>
        <w:rPr>
          <w:rFonts w:hint="eastAsia" w:ascii="仿宋" w:hAnsi="仿宋" w:eastAsia="仿宋" w:cs="仿宋"/>
          <w:b/>
          <w:bCs/>
          <w:color w:val="auto"/>
          <w:szCs w:val="21"/>
          <w:highlight w:val="none"/>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14:paraId="3958C5C1">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 联合体投标要求</w:t>
      </w:r>
    </w:p>
    <w:p w14:paraId="1DA74E1D">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本项目不接受联合体投标。</w:t>
      </w:r>
    </w:p>
    <w:p w14:paraId="366C6F93">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转包与分包</w:t>
      </w:r>
    </w:p>
    <w:p w14:paraId="7901275A">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8.1本项目不允许转包。</w:t>
      </w:r>
    </w:p>
    <w:p w14:paraId="3C4F9671">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8.2本项目不接受分包。</w:t>
      </w:r>
    </w:p>
    <w:p w14:paraId="544B3282">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 特别说明</w:t>
      </w:r>
    </w:p>
    <w:p w14:paraId="63DD8DAD">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459107A1">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非单一产品采购项目，多家投标人提供的核心产品品牌相同的，按前款规定处理。</w:t>
      </w:r>
    </w:p>
    <w:p w14:paraId="67DE86E6">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9.2关联供应商不得参加同一合同项下政府采购活动，否则投标文件将被视为无效：</w:t>
      </w:r>
    </w:p>
    <w:p w14:paraId="5EEA1678">
      <w:pPr>
        <w:tabs>
          <w:tab w:val="left" w:pos="163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（1）单位负责人为同一人或者存在直接控股、管理关系的不同供应商，不得参加同一合同项下的政府采购活动。</w:t>
      </w:r>
    </w:p>
    <w:p w14:paraId="556CEF88">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（2）为本采购项目提供整体设计、规范编制或者项目管理、监理、检测等服务的供应商，不得再参加本次采购活动。</w:t>
      </w:r>
    </w:p>
    <w:p w14:paraId="4F2E0A80">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（3）生产厂商授权给供应商后自己不得参加同一合同项下的政府采购活动。</w:t>
      </w:r>
    </w:p>
    <w:p w14:paraId="34559F07">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9.3投标人必须仔细阅读招标文件的所有内容，按照招标文件的要求提交投标文件，并对所提供的全部资料的真实性承担法律责任。</w:t>
      </w:r>
    </w:p>
    <w:p w14:paraId="53C290CE">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9.4投标人在投标活动中提供任何虚假材料，其投标无效，并报监管部门查处；中标后发现的，中标人须依照《中华人民共和国消费者权益保护法》规定赔偿采购人，且民事赔偿并不免除违法投标人的行政与刑事责任。</w:t>
      </w:r>
    </w:p>
    <w:p w14:paraId="6A3A10B1">
      <w:pPr>
        <w:tabs>
          <w:tab w:val="left" w:pos="2190"/>
        </w:tabs>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质疑和投诉</w:t>
      </w:r>
      <w:r>
        <w:rPr>
          <w:rFonts w:hint="eastAsia" w:ascii="仿宋" w:hAnsi="仿宋" w:eastAsia="仿宋" w:cs="仿宋"/>
          <w:b/>
          <w:color w:val="auto"/>
          <w:szCs w:val="21"/>
          <w:highlight w:val="none"/>
        </w:rPr>
        <w:tab/>
      </w:r>
    </w:p>
    <w:p w14:paraId="509F38AE">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仿宋" w:hAnsi="仿宋" w:eastAsia="仿宋" w:cs="仿宋"/>
          <w:b/>
          <w:color w:val="auto"/>
          <w:szCs w:val="21"/>
          <w:highlight w:val="none"/>
        </w:rPr>
        <w:t>（“质疑函”格式见附表1）</w:t>
      </w:r>
      <w:r>
        <w:rPr>
          <w:rFonts w:hint="eastAsia" w:ascii="仿宋" w:hAnsi="仿宋" w:eastAsia="仿宋" w:cs="仿宋"/>
          <w:color w:val="auto"/>
          <w:szCs w:val="21"/>
          <w:highlight w:val="none"/>
        </w:rPr>
        <w:t>。否则，采购代理机构有权拒收。</w:t>
      </w:r>
    </w:p>
    <w:p w14:paraId="074E5803">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39314AC">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1C8D036C">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10.2投标人对采购代理机构的答复不满意或者采购代理机构未在规定的时间内作出答复的，可以在答复期满后十五个工作日内向桂林市财政局投诉</w:t>
      </w:r>
      <w:r>
        <w:rPr>
          <w:rFonts w:hint="eastAsia" w:ascii="仿宋" w:hAnsi="仿宋" w:eastAsia="仿宋" w:cs="仿宋"/>
          <w:b/>
          <w:color w:val="auto"/>
          <w:szCs w:val="21"/>
          <w:highlight w:val="none"/>
        </w:rPr>
        <w:t>（“投诉书”格式见附表2）</w:t>
      </w:r>
      <w:r>
        <w:rPr>
          <w:rFonts w:hint="eastAsia" w:ascii="仿宋" w:hAnsi="仿宋" w:eastAsia="仿宋" w:cs="仿宋"/>
          <w:color w:val="auto"/>
          <w:szCs w:val="21"/>
          <w:highlight w:val="none"/>
        </w:rPr>
        <w:t>。</w:t>
      </w:r>
    </w:p>
    <w:p w14:paraId="68C90027">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0217C1AC">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投标人提出质疑应当提交质疑函和必要的证明材料，针对同一采购程序环节的质疑必须在法定质疑期内一次性提出。质疑函应当包括下列内容：</w:t>
      </w:r>
    </w:p>
    <w:p w14:paraId="646D8D5E">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（1）供应商的姓名或者名称、地址、邮编、联系人及联系电话；</w:t>
      </w:r>
    </w:p>
    <w:p w14:paraId="59D53D98">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（2）质疑项目的名称、编号；</w:t>
      </w:r>
    </w:p>
    <w:p w14:paraId="64A8D705">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（3）具体、明确的质疑事项和与质疑事项相关的请求；</w:t>
      </w:r>
    </w:p>
    <w:p w14:paraId="3C4DBCC0">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（4）事实依据；</w:t>
      </w:r>
    </w:p>
    <w:p w14:paraId="0D4ED4BD">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（5）必要的法律依据；</w:t>
      </w:r>
    </w:p>
    <w:p w14:paraId="244418F9">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（6）提出质疑的日期。</w:t>
      </w:r>
    </w:p>
    <w:p w14:paraId="637ED8C7">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供应商为自然人的，应当由本人签字；供应商为法人或者其他组织的，应当由法定代表人、主要负责人，或者其授权代表签字或者盖章，并加盖公章。</w:t>
      </w:r>
    </w:p>
    <w:p w14:paraId="144F3FB5">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14:paraId="3F4BCE6F">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质疑联系部门及联系方式：广西金证招标代理有限公司桂林分公司，联系人：</w:t>
      </w:r>
      <w:r>
        <w:rPr>
          <w:rFonts w:hint="eastAsia" w:ascii="仿宋" w:hAnsi="仿宋" w:eastAsia="仿宋" w:cs="仿宋"/>
          <w:color w:val="auto"/>
          <w:highlight w:val="none"/>
        </w:rPr>
        <w:t>黄勇华</w:t>
      </w:r>
      <w:r>
        <w:rPr>
          <w:rFonts w:hint="eastAsia" w:ascii="仿宋" w:hAnsi="仿宋" w:eastAsia="仿宋" w:cs="仿宋"/>
          <w:color w:val="auto"/>
          <w:szCs w:val="21"/>
          <w:highlight w:val="none"/>
        </w:rPr>
        <w:t>，联系电话：0773-2221123。</w:t>
      </w:r>
    </w:p>
    <w:p w14:paraId="5A3B3D55">
      <w:pPr>
        <w:tabs>
          <w:tab w:val="left" w:pos="2190"/>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通讯地址：南宁市青秀区东葛路118号青秀万达广场甲2栋2501。</w:t>
      </w:r>
    </w:p>
    <w:p w14:paraId="2DACCAE2">
      <w:pPr>
        <w:tabs>
          <w:tab w:val="left" w:pos="2190"/>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业务时间：工作日每日上午8时00分到12时00分，下午15时00分到18时00分。业务时间以外、双休日和法定节假日不办理业务。</w:t>
      </w:r>
    </w:p>
    <w:p w14:paraId="58F0143F">
      <w:pPr>
        <w:tabs>
          <w:tab w:val="left" w:pos="2190"/>
        </w:tabs>
        <w:spacing w:line="360" w:lineRule="exact"/>
        <w:ind w:firstLine="435"/>
        <w:jc w:val="center"/>
        <w:rPr>
          <w:rFonts w:hint="eastAsia" w:ascii="仿宋" w:hAnsi="仿宋" w:eastAsia="仿宋" w:cs="仿宋"/>
          <w:b/>
          <w:color w:val="auto"/>
          <w:sz w:val="28"/>
          <w:szCs w:val="28"/>
          <w:highlight w:val="none"/>
        </w:rPr>
      </w:pPr>
    </w:p>
    <w:p w14:paraId="0D458E0E">
      <w:pPr>
        <w:tabs>
          <w:tab w:val="left" w:pos="2190"/>
        </w:tabs>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二、招标文件</w:t>
      </w:r>
    </w:p>
    <w:p w14:paraId="40676868">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招标文件的构成</w:t>
      </w:r>
    </w:p>
    <w:p w14:paraId="5A1D35E5">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（1）招标公告；</w:t>
      </w:r>
    </w:p>
    <w:p w14:paraId="2DA98369">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（2）投标人须知；</w:t>
      </w:r>
    </w:p>
    <w:p w14:paraId="5B23183A">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14:paraId="6C65550A">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（4）评标办法；</w:t>
      </w:r>
    </w:p>
    <w:p w14:paraId="067C5706">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（5）政府采购合同；</w:t>
      </w:r>
    </w:p>
    <w:p w14:paraId="6B23345A">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（6）投标文件（格式）。</w:t>
      </w:r>
    </w:p>
    <w:p w14:paraId="409C6338">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 招标文件的澄清与修改</w:t>
      </w:r>
    </w:p>
    <w:p w14:paraId="4A97455E">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12.1投标人必须认真阅读招标文件，发现其中有误或有不合理要求的，投标人必须在在本项目公告期限届满之日起七个工作日内以书面形式要求采购代理机构澄清。</w:t>
      </w:r>
    </w:p>
    <w:p w14:paraId="284D01D0">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14:paraId="2D4B5A29">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3ECEA951">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12.4必要的澄清、修改的内容为招标文件的组成部分。当澄清、修改通知就同一内容的表述不一致时，以最后发出的书面文件为准。</w:t>
      </w:r>
    </w:p>
    <w:p w14:paraId="19425AC6">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12.5招标文件的澄清、修改都应该通过采购代理机构以法定形式发布，采购人非通过本机构，不得擅自澄清、修改招标文件。</w:t>
      </w:r>
    </w:p>
    <w:p w14:paraId="21A1294F">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12.6采购人或者采购代理机构</w:t>
      </w:r>
      <w:r>
        <w:rPr>
          <w:rFonts w:hint="eastAsia" w:ascii="仿宋" w:hAnsi="仿宋" w:eastAsia="仿宋" w:cs="仿宋"/>
          <w:color w:val="auto"/>
          <w:highlight w:val="none"/>
        </w:rPr>
        <w:t>可以视采购具体情况，延长投标截止时间和开标时间，并在</w:t>
      </w:r>
      <w:r>
        <w:rPr>
          <w:rFonts w:hint="eastAsia" w:ascii="仿宋" w:hAnsi="仿宋" w:eastAsia="仿宋" w:cs="仿宋"/>
          <w:color w:val="auto"/>
          <w:szCs w:val="21"/>
          <w:highlight w:val="none"/>
        </w:rPr>
        <w:t>本项目招标公告发布的同一媒体上发布变更公告。</w:t>
      </w:r>
    </w:p>
    <w:p w14:paraId="3EBA8B33">
      <w:pPr>
        <w:tabs>
          <w:tab w:val="left" w:pos="2190"/>
        </w:tabs>
        <w:spacing w:line="360" w:lineRule="exact"/>
        <w:ind w:firstLine="435"/>
        <w:rPr>
          <w:rFonts w:hint="eastAsia" w:ascii="仿宋" w:hAnsi="仿宋" w:eastAsia="仿宋" w:cs="仿宋"/>
          <w:color w:val="auto"/>
          <w:szCs w:val="21"/>
          <w:highlight w:val="none"/>
        </w:rPr>
      </w:pPr>
    </w:p>
    <w:p w14:paraId="157AF2A8">
      <w:pPr>
        <w:tabs>
          <w:tab w:val="left" w:pos="2190"/>
        </w:tabs>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p>
    <w:p w14:paraId="28BBC351">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 投标文件的组成及要求</w:t>
      </w:r>
    </w:p>
    <w:p w14:paraId="4640BB50">
      <w:pPr>
        <w:tabs>
          <w:tab w:val="left" w:pos="2190"/>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13.1投标文件组成【格式见第六章“投标文件（格式）”】</w:t>
      </w:r>
    </w:p>
    <w:p w14:paraId="3C5ED171">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13.1.1资格性响应证明材料：</w:t>
      </w:r>
    </w:p>
    <w:p w14:paraId="1C95ACAD">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w:t>
      </w:r>
      <w:bookmarkStart w:id="9" w:name="OLE_LINK52"/>
      <w:r>
        <w:rPr>
          <w:rFonts w:hint="eastAsia" w:ascii="仿宋" w:hAnsi="仿宋" w:eastAsia="仿宋" w:cs="仿宋"/>
          <w:color w:val="auto"/>
          <w:szCs w:val="21"/>
          <w:highlight w:val="none"/>
        </w:rPr>
        <w:t>投标人相应的法定代表人身份证正反面复印件</w:t>
      </w:r>
      <w:bookmarkEnd w:id="9"/>
      <w:r>
        <w:rPr>
          <w:rFonts w:hint="eastAsia" w:ascii="仿宋" w:hAnsi="仿宋" w:eastAsia="仿宋" w:cs="仿宋"/>
          <w:b/>
          <w:color w:val="auto"/>
          <w:szCs w:val="21"/>
          <w:highlight w:val="none"/>
        </w:rPr>
        <w:t>（必须提供）；</w:t>
      </w:r>
    </w:p>
    <w:p w14:paraId="350E2D68">
      <w:pPr>
        <w:tabs>
          <w:tab w:val="left" w:pos="1305"/>
        </w:tabs>
        <w:spacing w:line="360" w:lineRule="exact"/>
        <w:ind w:firstLine="420" w:firstLineChars="200"/>
        <w:rPr>
          <w:rFonts w:hint="eastAsia" w:ascii="仿宋" w:hAnsi="仿宋" w:eastAsia="仿宋" w:cs="仿宋"/>
          <w:b/>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highlight w:val="none"/>
        </w:rPr>
        <w:t>投标人的授权委托书、委托代理人身份证正反面复印件以及由县级以上（含县级）社会保险经办机构出具的投标人为委托代理人交纳的2025年以来近三个月社保证明复印件</w:t>
      </w:r>
      <w:r>
        <w:rPr>
          <w:rFonts w:hint="eastAsia" w:ascii="仿宋" w:hAnsi="仿宋" w:eastAsia="仿宋" w:cs="仿宋"/>
          <w:b/>
          <w:color w:val="auto"/>
          <w:highlight w:val="none"/>
        </w:rPr>
        <w:t>（委托代理时，必须提供）；</w:t>
      </w:r>
    </w:p>
    <w:p w14:paraId="7BF0D056">
      <w:pPr>
        <w:autoSpaceDE w:val="0"/>
        <w:autoSpaceDN w:val="0"/>
        <w:snapToGrid w:val="0"/>
        <w:spacing w:line="360" w:lineRule="exact"/>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r>
        <w:rPr>
          <w:rFonts w:hint="eastAsia" w:ascii="仿宋" w:hAnsi="仿宋" w:eastAsia="仿宋" w:cs="仿宋"/>
          <w:b/>
          <w:color w:val="auto"/>
          <w:highlight w:val="none"/>
        </w:rPr>
        <w:t>。</w:t>
      </w:r>
    </w:p>
    <w:p w14:paraId="6075601D">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（3）投标人的法人或者其他组织营业执照等证明文件复印件</w:t>
      </w:r>
      <w:r>
        <w:rPr>
          <w:rFonts w:hint="eastAsia" w:ascii="仿宋" w:hAnsi="仿宋" w:eastAsia="仿宋" w:cs="仿宋"/>
          <w:b/>
          <w:color w:val="auto"/>
          <w:szCs w:val="21"/>
          <w:highlight w:val="none"/>
        </w:rPr>
        <w:t>（必须提供，自然人除外）；</w:t>
      </w:r>
    </w:p>
    <w:p w14:paraId="11F50F88">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14:paraId="01618377">
      <w:pPr>
        <w:tabs>
          <w:tab w:val="left" w:pos="1305"/>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szCs w:val="21"/>
          <w:highlight w:val="none"/>
        </w:rPr>
        <w:t>投标人2023年度以来任意一个年度内的财务状况报告</w:t>
      </w:r>
      <w:r>
        <w:rPr>
          <w:rFonts w:hint="eastAsia" w:ascii="仿宋" w:hAnsi="仿宋" w:eastAsia="仿宋" w:cs="仿宋"/>
          <w:b/>
          <w:color w:val="auto"/>
          <w:highlight w:val="none"/>
        </w:rPr>
        <w:t>（必须提供）；</w:t>
      </w:r>
    </w:p>
    <w:p w14:paraId="14FD2268">
      <w:pPr>
        <w:tabs>
          <w:tab w:val="left" w:pos="1305"/>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szCs w:val="21"/>
          <w:highlight w:val="none"/>
        </w:rPr>
        <w:t>）</w:t>
      </w:r>
      <w:r>
        <w:rPr>
          <w:rFonts w:hint="eastAsia" w:ascii="仿宋" w:hAnsi="仿宋" w:eastAsia="仿宋" w:cs="仿宋"/>
          <w:color w:val="auto"/>
          <w:highlight w:val="none"/>
        </w:rPr>
        <w:t>投标人2025年以来近三个月依法缴纳税收的相关材料复印件</w:t>
      </w:r>
      <w:r>
        <w:rPr>
          <w:rFonts w:hint="eastAsia" w:ascii="仿宋" w:hAnsi="仿宋" w:eastAsia="仿宋" w:cs="仿宋"/>
          <w:b/>
          <w:color w:val="auto"/>
          <w:highlight w:val="none"/>
        </w:rPr>
        <w:t>（必须提供）；</w:t>
      </w:r>
    </w:p>
    <w:p w14:paraId="4E1DAFC5">
      <w:pPr>
        <w:snapToGrid w:val="0"/>
        <w:spacing w:line="360" w:lineRule="exact"/>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highlight w:val="none"/>
        </w:rPr>
        <w:t>（6</w:t>
      </w:r>
      <w:r>
        <w:rPr>
          <w:rFonts w:hint="eastAsia" w:ascii="仿宋" w:hAnsi="仿宋" w:eastAsia="仿宋" w:cs="仿宋"/>
          <w:color w:val="auto"/>
          <w:szCs w:val="21"/>
          <w:highlight w:val="none"/>
        </w:rPr>
        <w:t>）投标人参加政府采购活动前3年内在经营活动中没有重大违法记录及有关信用信息的书面声明</w:t>
      </w:r>
      <w:r>
        <w:rPr>
          <w:rFonts w:hint="eastAsia" w:ascii="仿宋" w:hAnsi="仿宋" w:eastAsia="仿宋" w:cs="仿宋"/>
          <w:b/>
          <w:color w:val="auto"/>
          <w:szCs w:val="21"/>
          <w:highlight w:val="none"/>
        </w:rPr>
        <w:t>（必须提供）；</w:t>
      </w:r>
    </w:p>
    <w:p w14:paraId="63ED028D">
      <w:pPr>
        <w:snapToGrid w:val="0"/>
        <w:spacing w:line="360" w:lineRule="exact"/>
        <w:ind w:firstLine="415" w:firstLineChars="198"/>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（7）投标人参加本项目无围标串标行为的承诺函</w:t>
      </w:r>
      <w:r>
        <w:rPr>
          <w:rFonts w:hint="eastAsia" w:ascii="仿宋" w:hAnsi="仿宋" w:eastAsia="仿宋" w:cs="仿宋"/>
          <w:b/>
          <w:color w:val="auto"/>
          <w:szCs w:val="21"/>
          <w:highlight w:val="none"/>
        </w:rPr>
        <w:t>（必须提供）。</w:t>
      </w:r>
    </w:p>
    <w:p w14:paraId="1687C5A0">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13.1.2商务、技术性响应证明材料：</w:t>
      </w:r>
    </w:p>
    <w:p w14:paraId="71B53BE7">
      <w:pPr>
        <w:tabs>
          <w:tab w:val="left" w:pos="1305"/>
        </w:tabs>
        <w:spacing w:line="360" w:lineRule="exact"/>
        <w:ind w:lef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bookmarkStart w:id="10" w:name="OLE_LINK53"/>
      <w:r>
        <w:rPr>
          <w:rFonts w:hint="eastAsia" w:ascii="仿宋" w:hAnsi="仿宋" w:eastAsia="仿宋" w:cs="仿宋"/>
          <w:color w:val="auto"/>
          <w:szCs w:val="21"/>
          <w:highlight w:val="none"/>
        </w:rPr>
        <w:t>投标函</w:t>
      </w:r>
      <w:r>
        <w:rPr>
          <w:rFonts w:hint="eastAsia" w:ascii="仿宋" w:hAnsi="仿宋" w:eastAsia="仿宋" w:cs="仿宋"/>
          <w:b/>
          <w:color w:val="auto"/>
          <w:szCs w:val="21"/>
          <w:highlight w:val="none"/>
        </w:rPr>
        <w:t>（必须提供）</w:t>
      </w:r>
    </w:p>
    <w:bookmarkEnd w:id="10"/>
    <w:p w14:paraId="50C7F046">
      <w:pPr>
        <w:tabs>
          <w:tab w:val="left" w:pos="1305"/>
        </w:tabs>
        <w:spacing w:line="360" w:lineRule="exact"/>
        <w:ind w:left="42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（2）投标报价表</w:t>
      </w:r>
      <w:r>
        <w:rPr>
          <w:rFonts w:hint="eastAsia" w:ascii="仿宋" w:hAnsi="仿宋" w:eastAsia="仿宋" w:cs="仿宋"/>
          <w:b/>
          <w:color w:val="auto"/>
          <w:szCs w:val="21"/>
          <w:highlight w:val="none"/>
        </w:rPr>
        <w:t>（必须提供）；</w:t>
      </w:r>
    </w:p>
    <w:p w14:paraId="215981E0">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（3）技术偏离表</w:t>
      </w:r>
      <w:r>
        <w:rPr>
          <w:rFonts w:hint="eastAsia" w:ascii="仿宋" w:hAnsi="仿宋" w:eastAsia="仿宋" w:cs="仿宋"/>
          <w:b/>
          <w:color w:val="auto"/>
          <w:szCs w:val="21"/>
          <w:highlight w:val="none"/>
        </w:rPr>
        <w:t>（必须提供）；</w:t>
      </w:r>
    </w:p>
    <w:p w14:paraId="01D83D0E">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（4）商务响应表</w:t>
      </w:r>
      <w:r>
        <w:rPr>
          <w:rFonts w:hint="eastAsia" w:ascii="仿宋" w:hAnsi="仿宋" w:eastAsia="仿宋" w:cs="仿宋"/>
          <w:b/>
          <w:color w:val="auto"/>
          <w:szCs w:val="21"/>
          <w:highlight w:val="none"/>
        </w:rPr>
        <w:t>（必须提供）；</w:t>
      </w:r>
    </w:p>
    <w:p w14:paraId="5FAAEAEC">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（5）技术保障措施</w:t>
      </w:r>
      <w:r>
        <w:rPr>
          <w:rFonts w:hint="eastAsia" w:ascii="仿宋" w:hAnsi="仿宋" w:eastAsia="仿宋" w:cs="仿宋"/>
          <w:b/>
          <w:color w:val="auto"/>
          <w:szCs w:val="21"/>
          <w:highlight w:val="none"/>
        </w:rPr>
        <w:t>（如有，请提供）；</w:t>
      </w:r>
    </w:p>
    <w:p w14:paraId="3B03395A">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Cs/>
          <w:color w:val="auto"/>
          <w:szCs w:val="21"/>
          <w:highlight w:val="none"/>
        </w:rPr>
        <w:t>售后服务实施方案</w:t>
      </w:r>
      <w:r>
        <w:rPr>
          <w:rFonts w:hint="eastAsia" w:ascii="仿宋" w:hAnsi="仿宋" w:eastAsia="仿宋" w:cs="仿宋"/>
          <w:b/>
          <w:color w:val="auto"/>
          <w:szCs w:val="21"/>
          <w:highlight w:val="none"/>
        </w:rPr>
        <w:t>（如有，请提供）；</w:t>
      </w:r>
    </w:p>
    <w:p w14:paraId="05BC0578">
      <w:pPr>
        <w:snapToGrid w:val="0"/>
        <w:spacing w:line="360" w:lineRule="exact"/>
        <w:ind w:firstLine="420" w:firstLineChars="200"/>
        <w:outlineLvl w:val="4"/>
        <w:rPr>
          <w:rFonts w:hint="eastAsia" w:ascii="仿宋" w:hAnsi="仿宋" w:eastAsia="仿宋" w:cs="仿宋"/>
          <w:b/>
          <w:color w:val="auto"/>
          <w:szCs w:val="21"/>
          <w:highlight w:val="none"/>
        </w:rPr>
      </w:pPr>
      <w:r>
        <w:rPr>
          <w:rFonts w:hint="eastAsia" w:ascii="仿宋" w:hAnsi="仿宋" w:eastAsia="仿宋" w:cs="仿宋"/>
          <w:color w:val="auto"/>
          <w:szCs w:val="20"/>
          <w:highlight w:val="none"/>
        </w:rPr>
        <w:t>（7）对应采购需求要求提供的其他文件资料（如有，请提供）</w:t>
      </w:r>
      <w:r>
        <w:rPr>
          <w:rFonts w:hint="eastAsia" w:ascii="仿宋" w:hAnsi="仿宋" w:eastAsia="仿宋" w:cs="仿宋"/>
          <w:b/>
          <w:color w:val="auto"/>
          <w:szCs w:val="21"/>
          <w:highlight w:val="none"/>
        </w:rPr>
        <w:t>；</w:t>
      </w:r>
    </w:p>
    <w:p w14:paraId="192A82EB">
      <w:pPr>
        <w:spacing w:line="360" w:lineRule="exact"/>
        <w:ind w:firstLine="420" w:firstLineChars="200"/>
        <w:rPr>
          <w:rFonts w:hint="eastAsia" w:ascii="仿宋" w:hAnsi="仿宋" w:eastAsia="仿宋" w:cs="仿宋"/>
          <w:b/>
          <w:color w:val="auto"/>
          <w:highlight w:val="none"/>
        </w:rPr>
      </w:pPr>
      <w:r>
        <w:rPr>
          <w:rFonts w:hint="eastAsia" w:ascii="仿宋" w:hAnsi="仿宋" w:eastAsia="仿宋" w:cs="仿宋"/>
          <w:color w:val="auto"/>
          <w:highlight w:val="none"/>
        </w:rPr>
        <w:t>（8）</w:t>
      </w:r>
      <w:r>
        <w:rPr>
          <w:rFonts w:hint="eastAsia" w:ascii="仿宋" w:hAnsi="仿宋" w:eastAsia="仿宋" w:cs="仿宋"/>
          <w:bCs/>
          <w:color w:val="auto"/>
          <w:szCs w:val="21"/>
          <w:highlight w:val="none"/>
        </w:rPr>
        <w:t>投标人提供的货物全部由符合政策要求中小企业制造，投标文件中提供《中小企业声明函》</w:t>
      </w:r>
      <w:r>
        <w:rPr>
          <w:rFonts w:hint="eastAsia" w:ascii="仿宋" w:hAnsi="仿宋" w:eastAsia="仿宋" w:cs="仿宋"/>
          <w:color w:val="auto"/>
          <w:highlight w:val="none"/>
        </w:rPr>
        <w:t>；属于监狱企业的，提供由省级以上监狱管理局、戒毒管理局(含新疆生产建设兵团)出具的属于监狱企业的证明文件</w:t>
      </w:r>
      <w:r>
        <w:rPr>
          <w:rFonts w:hint="eastAsia" w:ascii="仿宋" w:hAnsi="仿宋" w:eastAsia="仿宋" w:cs="仿宋"/>
          <w:b/>
          <w:color w:val="auto"/>
          <w:highlight w:val="none"/>
        </w:rPr>
        <w:t>（如有，请提供）；</w:t>
      </w:r>
    </w:p>
    <w:p w14:paraId="0EED3F4D">
      <w:pPr>
        <w:tabs>
          <w:tab w:val="left" w:pos="1305"/>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（9）符合条件的残疾人福利性单位在参加政府采购活动时，提供《残疾人福利性单位声明函》，并对声明的真实性负责</w:t>
      </w:r>
      <w:r>
        <w:rPr>
          <w:rFonts w:hint="eastAsia" w:ascii="仿宋" w:hAnsi="仿宋" w:eastAsia="仿宋" w:cs="仿宋"/>
          <w:b/>
          <w:color w:val="auto"/>
          <w:highlight w:val="none"/>
        </w:rPr>
        <w:t>（如有，请提供）；</w:t>
      </w:r>
    </w:p>
    <w:p w14:paraId="3EA21CDA">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（10）</w:t>
      </w:r>
      <w:r>
        <w:rPr>
          <w:rFonts w:hint="eastAsia" w:ascii="仿宋" w:hAnsi="仿宋" w:eastAsia="仿宋" w:cs="仿宋"/>
          <w:color w:val="auto"/>
          <w:szCs w:val="21"/>
          <w:highlight w:val="none"/>
        </w:rPr>
        <w:t>投标人可结合本项目的评标办法视自身情况自行提交相关证明材料</w:t>
      </w:r>
      <w:r>
        <w:rPr>
          <w:rFonts w:hint="eastAsia" w:ascii="仿宋" w:hAnsi="仿宋" w:eastAsia="仿宋" w:cs="仿宋"/>
          <w:b/>
          <w:color w:val="auto"/>
          <w:highlight w:val="none"/>
        </w:rPr>
        <w:t>（如有，请提供）</w:t>
      </w:r>
      <w:r>
        <w:rPr>
          <w:rFonts w:hint="eastAsia" w:ascii="仿宋" w:hAnsi="仿宋" w:eastAsia="仿宋" w:cs="仿宋"/>
          <w:color w:val="auto"/>
          <w:szCs w:val="21"/>
          <w:highlight w:val="none"/>
        </w:rPr>
        <w:t>。</w:t>
      </w:r>
    </w:p>
    <w:p w14:paraId="6C39B3A8">
      <w:pPr>
        <w:pStyle w:val="6"/>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eastAsia" w:ascii="仿宋" w:hAnsi="仿宋" w:eastAsia="仿宋" w:cs="仿宋"/>
          <w:b/>
          <w:bCs/>
          <w:color w:val="auto"/>
          <w:szCs w:val="21"/>
          <w:highlight w:val="none"/>
        </w:rPr>
        <w:t>或者电子签名</w:t>
      </w:r>
      <w:r>
        <w:rPr>
          <w:rFonts w:hint="eastAsia" w:ascii="仿宋" w:hAnsi="仿宋" w:eastAsia="仿宋" w:cs="仿宋"/>
          <w:b/>
          <w:color w:val="auto"/>
          <w:szCs w:val="21"/>
          <w:highlight w:val="none"/>
        </w:rPr>
        <w:t>）的，必须由法定代表人或委托代理人签字</w:t>
      </w:r>
      <w:r>
        <w:rPr>
          <w:rFonts w:hint="eastAsia" w:ascii="仿宋" w:hAnsi="仿宋" w:eastAsia="仿宋" w:cs="仿宋"/>
          <w:b/>
          <w:bCs/>
          <w:color w:val="auto"/>
          <w:szCs w:val="21"/>
          <w:highlight w:val="none"/>
        </w:rPr>
        <w:t>（或者电子签名）</w:t>
      </w:r>
      <w:r>
        <w:rPr>
          <w:rFonts w:hint="eastAsia" w:ascii="仿宋" w:hAnsi="仿宋" w:eastAsia="仿宋" w:cs="仿宋"/>
          <w:b/>
          <w:color w:val="auto"/>
          <w:szCs w:val="21"/>
          <w:highlight w:val="none"/>
        </w:rPr>
        <w:t>，否则，投标文件按无效处理。</w:t>
      </w:r>
    </w:p>
    <w:p w14:paraId="7CAE1369">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13.2</w:t>
      </w:r>
      <w:r>
        <w:rPr>
          <w:rFonts w:hint="eastAsia" w:ascii="仿宋" w:hAnsi="仿宋" w:eastAsia="仿宋" w:cs="仿宋"/>
          <w:color w:val="auto"/>
          <w:highlight w:val="none"/>
        </w:rPr>
        <w:t>投标人必须按招标文件第六章“投标文件（格式）”编制投标文件。</w:t>
      </w:r>
    </w:p>
    <w:p w14:paraId="3D2BAC30">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13.3投标文件必须对招标文件提出的要求和条件作出明确响应。</w:t>
      </w:r>
    </w:p>
    <w:p w14:paraId="4F798FD1">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14. 投标文件的语言及计量</w:t>
      </w:r>
    </w:p>
    <w:p w14:paraId="058F31BA">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61735627">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20BD0F1B">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15.投标报价</w:t>
      </w:r>
    </w:p>
    <w:p w14:paraId="0FF938BB">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15.1投标报价必须按招标文件中第六章“投标文件（格式）”填写。</w:t>
      </w:r>
    </w:p>
    <w:p w14:paraId="67022111">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15.2本项目政府采购预算</w:t>
      </w:r>
      <w:r>
        <w:rPr>
          <w:rFonts w:hint="eastAsia" w:ascii="仿宋" w:hAnsi="仿宋" w:eastAsia="仿宋" w:cs="仿宋"/>
          <w:color w:val="auto"/>
          <w:highlight w:val="none"/>
        </w:rPr>
        <w:t>：100.00万元；</w:t>
      </w:r>
      <w:r>
        <w:rPr>
          <w:rFonts w:hint="eastAsia" w:ascii="仿宋" w:hAnsi="仿宋" w:eastAsia="仿宋" w:cs="仿宋"/>
          <w:color w:val="auto"/>
          <w:szCs w:val="21"/>
          <w:highlight w:val="none"/>
        </w:rPr>
        <w:t>投标人报价超出采购预算金额的，投标文件作无效处理。</w:t>
      </w:r>
    </w:p>
    <w:p w14:paraId="57BB7FC9">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15.3投标人必须就“采购需求”中的所有内容作完整唯一报价，否则，其投标将被拒绝；投标文件只允许有一个报价方案，有选择的或有条件的报价将不予接受。</w:t>
      </w:r>
    </w:p>
    <w:p w14:paraId="4F223077">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15.4投标报价：投标报价包括标的价款、标的随配标准附件、包装、运输、装卸、保险、税金、货到位以及安装、安装所需辅材、调试、检验、售后服务、培训、保修、验收费用及其他所有成本费用的总和，投标人应综合考虑在报价中。</w:t>
      </w:r>
    </w:p>
    <w:p w14:paraId="6DAA1507">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16. 投标有效期</w:t>
      </w:r>
    </w:p>
    <w:p w14:paraId="30F5988B">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w:t>
      </w:r>
      <w:r>
        <w:rPr>
          <w:rFonts w:hint="eastAsia" w:ascii="仿宋" w:hAnsi="仿宋" w:eastAsia="仿宋" w:cs="仿宋"/>
          <w:b/>
          <w:color w:val="auto"/>
          <w:szCs w:val="21"/>
          <w:highlight w:val="none"/>
        </w:rPr>
        <w:t>投标有效期：投标截止时间之日起90天。</w:t>
      </w:r>
    </w:p>
    <w:p w14:paraId="58E9CEA8">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16.2出现特殊情况下，需要延长投标有效期的，采购代理机构以书面形式通知投标人延长投标有效期。投标人同意延长的，不能修改投标文件。</w:t>
      </w:r>
    </w:p>
    <w:p w14:paraId="1CA9EBC9">
      <w:pPr>
        <w:spacing w:line="360" w:lineRule="exact"/>
        <w:ind w:firstLine="413" w:firstLineChars="196"/>
        <w:outlineLvl w:val="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17. 投标保证金</w:t>
      </w:r>
    </w:p>
    <w:p w14:paraId="3DC72EF3">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本项目无需缴纳投标保证金。</w:t>
      </w:r>
    </w:p>
    <w:p w14:paraId="1D60EB35">
      <w:pPr>
        <w:tabs>
          <w:tab w:val="left" w:pos="1305"/>
        </w:tabs>
        <w:spacing w:line="360" w:lineRule="exact"/>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18.电子投标文件的制作、加密要求</w:t>
      </w:r>
    </w:p>
    <w:p w14:paraId="2A2C1C4F">
      <w:pPr>
        <w:snapToGrid w:val="0"/>
        <w:spacing w:line="36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color w:val="auto"/>
          <w:highlight w:val="none"/>
        </w:rPr>
        <w:t>18.1投标人制作电子投标文件前，</w:t>
      </w:r>
      <w:r>
        <w:rPr>
          <w:rFonts w:hint="eastAsia" w:ascii="仿宋" w:hAnsi="仿宋" w:eastAsia="仿宋" w:cs="仿宋"/>
          <w:bCs/>
          <w:color w:val="auto"/>
          <w:szCs w:val="21"/>
          <w:highlight w:val="none"/>
        </w:rPr>
        <w:t>应登录“广西政府采购云平台”进行“申请获取采购文件”操作，否则，有可能导致无法在线编制投标文件并参与投标，其不利后果由投标人自行承担。</w:t>
      </w:r>
    </w:p>
    <w:p w14:paraId="7946C42F">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18.2投标人下载或获取招标文件后，登录“政采云电子投标客户端”，按照本招标文件规定的投标文件格式、顺序以及“广西政府采购云平台”的要求，通过“政采云电子投标客户端”编制电子投标文件。</w:t>
      </w:r>
    </w:p>
    <w:p w14:paraId="2AE135D6">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1CDB28D6">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14:paraId="1EBA6845">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18.5投标人编制、生成电子投标文件后应当加密投标文件。投标人未按规定编制并加密的投标文件，“广西政府采购云平台”将予以拒收。</w:t>
      </w:r>
    </w:p>
    <w:p w14:paraId="703EE054">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18.6供应商公章、签字、电子签章、电子签名</w:t>
      </w:r>
    </w:p>
    <w:p w14:paraId="3730D85F">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67E9970A">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0754555E">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14:paraId="495BBEDB">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19. 投标文件的递交</w:t>
      </w:r>
    </w:p>
    <w:p w14:paraId="5FB5AAE1">
      <w:pPr>
        <w:tabs>
          <w:tab w:val="left" w:pos="720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19.1投标文件递交要求：</w:t>
      </w:r>
    </w:p>
    <w:p w14:paraId="576952FA">
      <w:pPr>
        <w:tabs>
          <w:tab w:val="left" w:pos="720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w:t>
      </w:r>
      <w:r>
        <w:rPr>
          <w:rFonts w:hint="eastAsia" w:ascii="仿宋" w:hAnsi="仿宋" w:eastAsia="仿宋" w:cs="仿宋"/>
          <w:color w:val="auto"/>
          <w:szCs w:val="21"/>
          <w:highlight w:val="none"/>
          <w:lang w:eastAsia="zh-CN"/>
        </w:rPr>
        <w:t>2025年10月20日</w:t>
      </w:r>
      <w:r>
        <w:rPr>
          <w:rFonts w:hint="eastAsia" w:ascii="仿宋" w:hAnsi="仿宋" w:eastAsia="仿宋" w:cs="仿宋"/>
          <w:color w:val="auto"/>
          <w:szCs w:val="21"/>
          <w:highlight w:val="none"/>
        </w:rPr>
        <w:t>上午9时30分。</w:t>
      </w:r>
    </w:p>
    <w:p w14:paraId="7EA12778">
      <w:pPr>
        <w:tabs>
          <w:tab w:val="left" w:pos="7200"/>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投标文件递交地点：通过“广西政府采购云平台”在线提交</w:t>
      </w:r>
      <w:r>
        <w:rPr>
          <w:rFonts w:hint="eastAsia" w:ascii="仿宋" w:hAnsi="仿宋" w:eastAsia="仿宋" w:cs="仿宋"/>
          <w:color w:val="auto"/>
          <w:highlight w:val="none"/>
        </w:rPr>
        <w:t>，逾期递交的投标文件将予以拒收。投标文件递交成功后，投标人在</w:t>
      </w:r>
      <w:r>
        <w:rPr>
          <w:rFonts w:hint="eastAsia" w:ascii="仿宋" w:hAnsi="仿宋" w:eastAsia="仿宋" w:cs="仿宋"/>
          <w:color w:val="auto"/>
          <w:szCs w:val="21"/>
          <w:highlight w:val="none"/>
        </w:rPr>
        <w:t>“广西政府采购云平台”自行下载投标回执。</w:t>
      </w:r>
    </w:p>
    <w:p w14:paraId="077420F5">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19.2除招标文件另有规定外，投标人所递交的投标文件不予退还。</w:t>
      </w:r>
    </w:p>
    <w:p w14:paraId="0D20FBF2">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投标文件的补充、修改和撤回</w:t>
      </w:r>
    </w:p>
    <w:p w14:paraId="456E3B72">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14:paraId="30EB57A9">
      <w:pPr>
        <w:pStyle w:val="7"/>
        <w:spacing w:line="360" w:lineRule="exact"/>
        <w:rPr>
          <w:rFonts w:hint="eastAsia" w:ascii="仿宋" w:hAnsi="仿宋" w:eastAsia="仿宋" w:cs="仿宋"/>
          <w:color w:val="auto"/>
          <w:highlight w:val="none"/>
        </w:rPr>
      </w:pPr>
    </w:p>
    <w:p w14:paraId="4F8EC0AA">
      <w:pPr>
        <w:spacing w:line="360" w:lineRule="exact"/>
        <w:ind w:firstLine="435"/>
        <w:jc w:val="center"/>
        <w:rPr>
          <w:rFonts w:hint="eastAsia" w:ascii="仿宋" w:hAnsi="仿宋" w:eastAsia="仿宋" w:cs="仿宋"/>
          <w:b/>
          <w:color w:val="auto"/>
          <w:sz w:val="28"/>
          <w:szCs w:val="28"/>
          <w:highlight w:val="none"/>
        </w:rPr>
      </w:pPr>
    </w:p>
    <w:p w14:paraId="32822488">
      <w:pPr>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w:t>
      </w:r>
    </w:p>
    <w:p w14:paraId="45C04907">
      <w:pPr>
        <w:spacing w:line="360" w:lineRule="exact"/>
        <w:ind w:firstLine="435"/>
        <w:rPr>
          <w:rFonts w:hint="eastAsia" w:ascii="仿宋" w:hAnsi="仿宋" w:eastAsia="仿宋" w:cs="仿宋"/>
          <w:b/>
          <w:color w:val="auto"/>
          <w:highlight w:val="none"/>
        </w:rPr>
      </w:pPr>
      <w:r>
        <w:rPr>
          <w:rFonts w:hint="eastAsia" w:ascii="仿宋" w:hAnsi="仿宋" w:eastAsia="仿宋" w:cs="仿宋"/>
          <w:b/>
          <w:color w:val="auto"/>
          <w:highlight w:val="none"/>
        </w:rPr>
        <w:t>21. 开标时间及地点</w:t>
      </w:r>
    </w:p>
    <w:p w14:paraId="7CBE604A">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21.1开标时间及地点：</w:t>
      </w:r>
    </w:p>
    <w:p w14:paraId="2E80F36A">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szCs w:val="21"/>
          <w:highlight w:val="none"/>
          <w:lang w:eastAsia="zh-CN"/>
        </w:rPr>
        <w:t>2025年10月20日</w:t>
      </w:r>
      <w:r>
        <w:rPr>
          <w:rFonts w:hint="eastAsia" w:ascii="仿宋" w:hAnsi="仿宋" w:eastAsia="仿宋" w:cs="仿宋"/>
          <w:color w:val="auto"/>
          <w:highlight w:val="none"/>
        </w:rPr>
        <w:t>上午9时30分；</w:t>
      </w:r>
    </w:p>
    <w:p w14:paraId="2406FF27">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开标地点：通过“广西政府采购云平台”在线解密、开标。</w:t>
      </w:r>
    </w:p>
    <w:p w14:paraId="3B77463F">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21.2投标人不足3家的，不得开标，采购人或者采购代理机构应当重新组织采购。</w:t>
      </w:r>
    </w:p>
    <w:p w14:paraId="69CEB8E0">
      <w:pPr>
        <w:spacing w:line="360" w:lineRule="exact"/>
        <w:ind w:firstLine="435"/>
        <w:rPr>
          <w:rFonts w:hint="eastAsia" w:ascii="仿宋" w:hAnsi="仿宋" w:eastAsia="仿宋" w:cs="仿宋"/>
          <w:b/>
          <w:color w:val="auto"/>
          <w:highlight w:val="none"/>
        </w:rPr>
      </w:pPr>
      <w:r>
        <w:rPr>
          <w:rFonts w:hint="eastAsia" w:ascii="仿宋" w:hAnsi="仿宋" w:eastAsia="仿宋" w:cs="仿宋"/>
          <w:b/>
          <w:color w:val="auto"/>
          <w:highlight w:val="none"/>
        </w:rPr>
        <w:t>22. 开标程序</w:t>
      </w:r>
    </w:p>
    <w:p w14:paraId="3A9748FC">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58D7BCB1">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color w:val="auto"/>
          <w:highlight w:val="none"/>
        </w:rPr>
        <w:t>若投标人在规定时间内无法解密或解密失败，视为投标人放弃投标。</w:t>
      </w:r>
      <w:r>
        <w:rPr>
          <w:rFonts w:hint="eastAsia" w:ascii="仿宋" w:hAnsi="仿宋" w:eastAsia="仿宋" w:cs="仿宋"/>
          <w:color w:val="auto"/>
          <w:highlight w:val="none"/>
        </w:rPr>
        <w:t>。</w:t>
      </w:r>
    </w:p>
    <w:p w14:paraId="676EC7A3">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22.3投标文件解密结束后，开标活动组织人员在线开启投标文件。</w:t>
      </w:r>
    </w:p>
    <w:p w14:paraId="1FEDA34A">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22.4开启投标人报价文件，电子开标大厅记录显示并记录投标人投标报价表的投标报价等。</w:t>
      </w:r>
    </w:p>
    <w:p w14:paraId="7A9E1702">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22.5投标人线上确认投标报价。</w:t>
      </w:r>
    </w:p>
    <w:p w14:paraId="1DE5B2B9">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22.6如发现开标结果与所提交的报价文件不一致的，由评标委员会根据报价文件内容进行修正。</w:t>
      </w:r>
    </w:p>
    <w:p w14:paraId="10061497">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4508CDE">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22.8特别说明：如遇“广西政府采购云平台”电子化开标或评审程序调整的，按调整后程序执行。</w:t>
      </w:r>
    </w:p>
    <w:p w14:paraId="3138FA57">
      <w:pPr>
        <w:tabs>
          <w:tab w:val="left" w:pos="1305"/>
        </w:tabs>
        <w:spacing w:line="360" w:lineRule="exact"/>
        <w:ind w:firstLine="562" w:firstLineChars="200"/>
        <w:jc w:val="center"/>
        <w:rPr>
          <w:rFonts w:hint="eastAsia" w:ascii="仿宋" w:hAnsi="仿宋" w:eastAsia="仿宋" w:cs="仿宋"/>
          <w:b/>
          <w:color w:val="auto"/>
          <w:sz w:val="28"/>
          <w:szCs w:val="28"/>
          <w:highlight w:val="none"/>
        </w:rPr>
      </w:pPr>
    </w:p>
    <w:p w14:paraId="71E89F57">
      <w:pPr>
        <w:tabs>
          <w:tab w:val="left" w:pos="1305"/>
        </w:tabs>
        <w:spacing w:line="3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五、资格性审查</w:t>
      </w:r>
    </w:p>
    <w:p w14:paraId="0435AE3E">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资格性审查</w:t>
      </w:r>
    </w:p>
    <w:p w14:paraId="1A6A27B7">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23.1公开招标采购项目开标结束后，采购人或者采购代理机构应当依法对投标人的资格进行审查。</w:t>
      </w:r>
    </w:p>
    <w:p w14:paraId="75824AE1">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23.2</w:t>
      </w:r>
      <w:r>
        <w:rPr>
          <w:rFonts w:hint="eastAsia" w:ascii="仿宋" w:hAnsi="仿宋" w:eastAsia="仿宋" w:cs="仿宋"/>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227F8ACF">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查询渠道：《国家企业信用信息公示系统》（网址：http://www.gsxt.gov.cn/index.html）</w:t>
      </w:r>
    </w:p>
    <w:p w14:paraId="11FCDE6D">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审查流程：</w:t>
      </w:r>
    </w:p>
    <w:p w14:paraId="2CEDAA0E">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（1）进入《国家企业信用信息公示系统》（网址：http://www.gsxt.gov.cn/index.html），输入企业名称，进入企业信息主页面；</w:t>
      </w:r>
    </w:p>
    <w:p w14:paraId="34A1A63D">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（2）查看主页“股东及出资信息”栏，或年报中的“股东及出资信息”栏信息；</w:t>
      </w:r>
    </w:p>
    <w:p w14:paraId="3873531E">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（3）将各投标人的股东及出资信息进行比对，得出审查结论；</w:t>
      </w:r>
    </w:p>
    <w:p w14:paraId="3B488163">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（4）将相关资料作为评审资料打印存档。</w:t>
      </w:r>
    </w:p>
    <w:p w14:paraId="6798847C">
      <w:pPr>
        <w:tabs>
          <w:tab w:val="left" w:pos="1305"/>
        </w:tabs>
        <w:spacing w:line="360" w:lineRule="exact"/>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611F7ADC">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23.3采购人或者采购代理机构在对投标人进行资格性审查时，如投标人出现下列情况之一者，按资格审查不通过处理：</w:t>
      </w:r>
    </w:p>
    <w:p w14:paraId="0FB946C1">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（1）不具备本招标文件规定的资格要求的；</w:t>
      </w:r>
    </w:p>
    <w:p w14:paraId="51DC251E">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（2）投标文件中的资格性响应证明材料缺少投标人须知“资格性响应证明材料”规定的任一项“必须提供”的文件资料的；</w:t>
      </w:r>
    </w:p>
    <w:p w14:paraId="0588C2EC">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（3）投标文件中的资格性响应证明材料出现任一项不符合投标人须知“资格性响应证明材料”规定的“必须提供”的文件资料要求或者无效的；</w:t>
      </w:r>
    </w:p>
    <w:p w14:paraId="6AAA9519">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（4）投标文件中的资格性响应证明材料存在投标人须知第28条、29条载明的投标无效情形的。</w:t>
      </w:r>
    </w:p>
    <w:p w14:paraId="2D26D738">
      <w:pPr>
        <w:spacing w:line="360" w:lineRule="exact"/>
        <w:ind w:firstLine="422" w:firstLineChars="200"/>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23.4资格审查不通过的投标人，不得进入下一阶段的评标环节。</w:t>
      </w:r>
      <w:r>
        <w:rPr>
          <w:rFonts w:hint="eastAsia" w:ascii="仿宋" w:hAnsi="仿宋" w:eastAsia="仿宋" w:cs="仿宋"/>
          <w:b/>
          <w:color w:val="auto"/>
          <w:highlight w:val="none"/>
        </w:rPr>
        <w:t>通过资格审查的合格投标人不足3家的，予以废标。</w:t>
      </w:r>
    </w:p>
    <w:p w14:paraId="461B51D7">
      <w:pPr>
        <w:tabs>
          <w:tab w:val="center" w:pos="4411"/>
          <w:tab w:val="left" w:pos="5475"/>
        </w:tabs>
        <w:spacing w:line="360" w:lineRule="exact"/>
        <w:jc w:val="center"/>
        <w:rPr>
          <w:rFonts w:hint="eastAsia" w:ascii="仿宋" w:hAnsi="仿宋" w:eastAsia="仿宋" w:cs="仿宋"/>
          <w:b/>
          <w:color w:val="auto"/>
          <w:sz w:val="28"/>
          <w:szCs w:val="28"/>
          <w:highlight w:val="none"/>
        </w:rPr>
      </w:pPr>
    </w:p>
    <w:p w14:paraId="211F7E6C">
      <w:pPr>
        <w:tabs>
          <w:tab w:val="center" w:pos="4411"/>
          <w:tab w:val="left" w:pos="5475"/>
        </w:tabs>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六、评标</w:t>
      </w:r>
    </w:p>
    <w:p w14:paraId="5041BC7E">
      <w:pPr>
        <w:tabs>
          <w:tab w:val="center" w:pos="4411"/>
          <w:tab w:val="left" w:pos="5475"/>
        </w:tabs>
        <w:spacing w:line="36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评标委员会组成</w:t>
      </w:r>
    </w:p>
    <w:p w14:paraId="04E8FDA7">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评标委员会由采购人代表和评审专家组成，成员人数共5人。</w:t>
      </w:r>
    </w:p>
    <w:p w14:paraId="795794E7">
      <w:pPr>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25. 评标办法</w:t>
      </w:r>
    </w:p>
    <w:p w14:paraId="2FF86CB0">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25.1评标办法：综合评分法，具体评标内容及标准详见第四章。</w:t>
      </w:r>
    </w:p>
    <w:p w14:paraId="686E5EB2">
      <w:pPr>
        <w:tabs>
          <w:tab w:val="left" w:pos="1140"/>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25.2评标委员会应按招标文件进行评标，不得擅自更改评标办法。</w:t>
      </w:r>
      <w:r>
        <w:rPr>
          <w:rFonts w:hint="eastAsia" w:ascii="仿宋" w:hAnsi="仿宋" w:eastAsia="仿宋" w:cs="仿宋"/>
          <w:color w:val="auto"/>
          <w:highlight w:val="none"/>
        </w:rPr>
        <w:t>　　　　　　　　　　　　　　　　　　　　　　　　　　　　　　　　　　　　　　　　　　　　　　　　　　　　　　　　　　</w:t>
      </w:r>
    </w:p>
    <w:p w14:paraId="6D33CCCB">
      <w:pPr>
        <w:tabs>
          <w:tab w:val="left" w:pos="1140"/>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 评标</w:t>
      </w:r>
    </w:p>
    <w:p w14:paraId="77448ACB">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1B8D821D">
      <w:pPr>
        <w:pStyle w:val="10"/>
        <w:shd w:val="clear" w:color="auto" w:fill="FFFFFF"/>
        <w:spacing w:before="0" w:beforeAutospacing="0" w:after="0" w:afterAutospacing="0" w:line="36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1EC54976">
      <w:pPr>
        <w:pStyle w:val="10"/>
        <w:shd w:val="clear" w:color="auto" w:fill="FFFFFF"/>
        <w:spacing w:before="0" w:beforeAutospacing="0" w:after="0" w:afterAutospacing="0" w:line="36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26.3在评标过程中，评标委员会任何人不得对某个投标人发表任何倾向性意见，不得向其他专家评委明示或者暗示自己的评审意见。</w:t>
      </w:r>
    </w:p>
    <w:p w14:paraId="119FECD1">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26.4评标委员会应当对符合资格的投标人的投标文件进行符合性审查，以确定其是否满足招标文件的实质性要求。</w:t>
      </w:r>
    </w:p>
    <w:p w14:paraId="3F4CC333">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26.5对于投标文件中含义不明确、同类问题表述不一致或者有明显文字和计算错误的内容，评标委员会应当以书面形式要求投标人作出必要的澄清、说明或者补正。</w:t>
      </w:r>
    </w:p>
    <w:p w14:paraId="7EE95AFC">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eastAsia" w:ascii="仿宋" w:hAnsi="仿宋" w:eastAsia="仿宋" w:cs="仿宋"/>
          <w:color w:val="auto"/>
          <w:szCs w:val="21"/>
          <w:highlight w:val="none"/>
        </w:rPr>
        <w:t>投标人的澄清、说明或者补正不得超出投标文件的范围或者改变投标文件的实质性内容。</w:t>
      </w:r>
    </w:p>
    <w:p w14:paraId="59545F1F">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26.6评标委员会应当按照招标文件中规定的评标方法和标准，对符合性审查合格的投标文件进行商务和技术评估，综合比较与评价。</w:t>
      </w:r>
    </w:p>
    <w:p w14:paraId="14D1FF8E">
      <w:pPr>
        <w:pStyle w:val="6"/>
        <w:snapToGrid w:val="0"/>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26.7评标委员会成员应当独立对每个投标人的投标文件进行评价，最终汇总每个投标人的得分。各投标人的得分为所有评委的有效评分的算术平均数。</w:t>
      </w:r>
    </w:p>
    <w:p w14:paraId="5745B583">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26.8投标文件报价出现前后不一致的，除招标文件另有规定外，按照下列规定修正：</w:t>
      </w:r>
    </w:p>
    <w:p w14:paraId="28515502">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（1）投标文件中投标报价表内容与投标文件中相应内容不一致的，以投标报价表为准；</w:t>
      </w:r>
    </w:p>
    <w:p w14:paraId="5336EF37">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（2）大写金额和小写金额不一致的，以大写金额为准；</w:t>
      </w:r>
    </w:p>
    <w:p w14:paraId="7D83E160">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（3）单价金额小数点或者百分比有明显错位的，以投标报价表的总价为准，并修改单价；</w:t>
      </w:r>
    </w:p>
    <w:p w14:paraId="476A1C41">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（4）总价金额与按单价汇总金额不一致的，以单价金额计算结果为准。</w:t>
      </w:r>
    </w:p>
    <w:p w14:paraId="4CCAD788">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1CBB6828">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9781A6">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3B55A335">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26.11评标结果汇总完成后，除下列情形外，任何人不得修改评标结果：</w:t>
      </w:r>
    </w:p>
    <w:p w14:paraId="5F63034A">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（一）分值汇总计算错误的；</w:t>
      </w:r>
    </w:p>
    <w:p w14:paraId="74822252">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（二）分项评分超出评分标准范围的；</w:t>
      </w:r>
    </w:p>
    <w:p w14:paraId="3F6B87F8">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（三）评标委员会成员对客观评审因素评分不一致的；</w:t>
      </w:r>
    </w:p>
    <w:p w14:paraId="1B4C0964">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（四）经评标委员会认定评分畸高、畸低的。</w:t>
      </w:r>
    </w:p>
    <w:p w14:paraId="4F110211">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w:t>
      </w:r>
    </w:p>
    <w:p w14:paraId="5A891D9E">
      <w:pPr>
        <w:snapToGrid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59420F43">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投标人对本条第一款情形提出质疑的，采购人或者采购代理机构可以组织原评标委员会进行重新评审，重新评审改变评标结果的，应当书面报告本级财政部门。</w:t>
      </w:r>
    </w:p>
    <w:p w14:paraId="56506783">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26.12采购代理机构发现评标委员会有明显的违规倾向或歧视现象，或不按评标办法进行，或其他不正常行为的，应当及时制止。如制止无效，应及时向桂林市财政局报告。</w:t>
      </w:r>
    </w:p>
    <w:p w14:paraId="659FF530">
      <w:pPr>
        <w:pStyle w:val="6"/>
        <w:tabs>
          <w:tab w:val="left" w:pos="4214"/>
        </w:tabs>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27</w:t>
      </w:r>
      <w:r>
        <w:rPr>
          <w:rFonts w:hint="eastAsia" w:ascii="仿宋" w:hAnsi="仿宋" w:eastAsia="仿宋" w:cs="仿宋"/>
          <w:color w:val="auto"/>
          <w:highlight w:val="none"/>
        </w:rPr>
        <w:t xml:space="preserve">. </w:t>
      </w:r>
      <w:r>
        <w:rPr>
          <w:rFonts w:hint="eastAsia" w:ascii="仿宋" w:hAnsi="仿宋" w:eastAsia="仿宋" w:cs="仿宋"/>
          <w:b/>
          <w:color w:val="auto"/>
          <w:highlight w:val="none"/>
        </w:rPr>
        <w:t>推荐及确定中标候选人原则</w:t>
      </w:r>
    </w:p>
    <w:p w14:paraId="448E2228">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1BC12BB4">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2）采购人应当自收到评标报告之日起5个工作日内，在评标报告确定的中标候选人名单中按顺序确定中标人。中标候选人并列的，采购人按以下的方式确定中标人：依次按货物基本分高的优先、技术保障措施分高的优先、售后服务分高的优先、演示分高的优先顺序确定中标人。</w:t>
      </w:r>
    </w:p>
    <w:p w14:paraId="5CB663B1">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5C1B6C31">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28</w:t>
      </w:r>
      <w:r>
        <w:rPr>
          <w:rFonts w:hint="eastAsia" w:ascii="仿宋" w:hAnsi="仿宋" w:eastAsia="仿宋" w:cs="仿宋"/>
          <w:b/>
          <w:color w:val="auto"/>
          <w:szCs w:val="21"/>
          <w:highlight w:val="none"/>
        </w:rPr>
        <w:t>.属于下列情况之一者，投标无效：</w:t>
      </w:r>
    </w:p>
    <w:p w14:paraId="23128D69">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（1）未按照招标文件规定要求签字、盖章的；</w:t>
      </w:r>
    </w:p>
    <w:p w14:paraId="19C7C76B">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（2）报价超过招标文件中规定的预算金额或最高限价的；</w:t>
      </w:r>
    </w:p>
    <w:p w14:paraId="203A1848">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（3）未通过资格审查的；</w:t>
      </w:r>
    </w:p>
    <w:p w14:paraId="6FC255C6">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（4）未按本招标文件规定提供符合性响应证明材料中的任意一项材料的；或提供的符合性响应证明材料中的任意一项材料无效的；</w:t>
      </w:r>
    </w:p>
    <w:p w14:paraId="0D61820C">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（5）投标文件含有采购人不能接受的附加条件的；</w:t>
      </w:r>
    </w:p>
    <w:p w14:paraId="70C6B63C">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（6）投标文件未按招标文件的内容和要求编制，或提供虚假材料的；</w:t>
      </w:r>
    </w:p>
    <w:p w14:paraId="124A1EA0">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（7）投标人未就“采购需求”中所有内容作完整唯一报价的；</w:t>
      </w:r>
    </w:p>
    <w:p w14:paraId="4085994C">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（8）未完全响应招标文件实质性要求的；</w:t>
      </w:r>
    </w:p>
    <w:p w14:paraId="6056C2C9">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（9）投标人为联合体投标的；</w:t>
      </w:r>
    </w:p>
    <w:p w14:paraId="7B7B927A">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（10）法律、法规和招标文件规定的其他无效情形。</w:t>
      </w:r>
    </w:p>
    <w:p w14:paraId="4EAF3D05">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29.投标人有下列情形之一的，视为串通投标，投标文件将被视为无效：</w:t>
      </w:r>
    </w:p>
    <w:p w14:paraId="33C4B578">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（1）不同投标人的投标文件由同一单位或者个人编制；</w:t>
      </w:r>
    </w:p>
    <w:p w14:paraId="1C728F78">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（2）不同投标人委托同一单位或者个人办理投标事宜的；</w:t>
      </w:r>
    </w:p>
    <w:p w14:paraId="71F69E05">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（3）不同的投标人的投标文件载明的项目管理员为同一个人的；</w:t>
      </w:r>
    </w:p>
    <w:p w14:paraId="1D192532">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（4）不同投标人的投标文件异常一致或投标报价呈规律性差异的； </w:t>
      </w:r>
    </w:p>
    <w:p w14:paraId="68B4C0E9">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（5）不同投标人的投标文件相互混装的。</w:t>
      </w:r>
    </w:p>
    <w:p w14:paraId="79598B00">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30.属于下列情形之一的，予以废标：</w:t>
      </w:r>
    </w:p>
    <w:p w14:paraId="7B366F77">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（1）符合专业条件的供应商或者对招标文件作实质响应的供应商不足3家的；</w:t>
      </w:r>
    </w:p>
    <w:p w14:paraId="725F1ACB">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（2）出现影响采购公正的违法、违规行为的；</w:t>
      </w:r>
    </w:p>
    <w:p w14:paraId="4593D39C">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（3）采购文件内容违反国家有关强制性规定的；</w:t>
      </w:r>
    </w:p>
    <w:p w14:paraId="5329D6DF">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（4）因重大变故，采购任务取消的。</w:t>
      </w:r>
    </w:p>
    <w:p w14:paraId="072502A1">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31.开标、评标过程的监控</w:t>
      </w:r>
    </w:p>
    <w:p w14:paraId="31E29742">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本项目开标、评标过程实行全程录音、录像监控，投标人在评标过程中所进行的试图影响评标结果的不公正活动，可能导致其投标被拒绝。</w:t>
      </w:r>
    </w:p>
    <w:p w14:paraId="5CD17E5D">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32.信用查询</w:t>
      </w:r>
    </w:p>
    <w:p w14:paraId="6BE9A93F">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根据《关于做好政府采购有关信用主体标识码登记及在政府采购活动中查询使用信用记录有关问题的通知》(桂财采〔2016〕37号)的通知，中标通知书发出前，由采购代理机构对第一中标候选人进行信用查询：</w:t>
      </w:r>
    </w:p>
    <w:p w14:paraId="7E0ED290">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⑴查询渠道：“信用中国”网站(http://www.creditchina.gov.cn)、中国政府采购网（http://www.ccgp.gov.cn）等；</w:t>
      </w:r>
    </w:p>
    <w:p w14:paraId="19B0E81C">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⑵查询截止时间：中标通知书发出前；</w:t>
      </w:r>
    </w:p>
    <w:p w14:paraId="32C52F26">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⑶信用信息查询记录和证据留存方式：在查询网站中直接打印查询记录，打印材料作为采购活动资料保存；</w:t>
      </w:r>
    </w:p>
    <w:p w14:paraId="51AE8864">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p w14:paraId="2FB33806">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33. 中标公告及中标通知书</w:t>
      </w:r>
    </w:p>
    <w:p w14:paraId="097913E7">
      <w:pPr>
        <w:pStyle w:val="6"/>
        <w:tabs>
          <w:tab w:val="left" w:pos="45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04FD309B">
      <w:pPr>
        <w:pStyle w:val="6"/>
        <w:tabs>
          <w:tab w:val="left" w:pos="455"/>
        </w:tabs>
        <w:spacing w:line="360" w:lineRule="exact"/>
        <w:ind w:firstLine="422" w:firstLineChars="200"/>
        <w:rPr>
          <w:rFonts w:hint="eastAsia" w:ascii="仿宋" w:hAnsi="仿宋" w:eastAsia="仿宋" w:cs="仿宋"/>
          <w:color w:val="auto"/>
          <w:highlight w:val="none"/>
        </w:rPr>
      </w:pPr>
      <w:r>
        <w:rPr>
          <w:rFonts w:hint="eastAsia" w:ascii="仿宋" w:hAnsi="仿宋" w:eastAsia="仿宋" w:cs="仿宋"/>
          <w:b/>
          <w:color w:val="auto"/>
          <w:szCs w:val="21"/>
          <w:highlight w:val="none"/>
        </w:rPr>
        <w:t>33.2</w:t>
      </w:r>
      <w:r>
        <w:rPr>
          <w:rFonts w:hint="eastAsia" w:ascii="仿宋" w:hAnsi="仿宋" w:eastAsia="仿宋" w:cs="仿宋"/>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14:paraId="003E59D1">
      <w:pPr>
        <w:pStyle w:val="6"/>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33.3中标公告发布同时，采购代理机构通过政采云平台在线向中标人发出中标通知书，中标人应自行关注政采云平台信息，确保及时查收中标通知书。</w:t>
      </w:r>
    </w:p>
    <w:p w14:paraId="7308608B">
      <w:pPr>
        <w:tabs>
          <w:tab w:val="left" w:pos="1140"/>
        </w:tabs>
        <w:spacing w:line="360" w:lineRule="exact"/>
        <w:ind w:left="420" w:leftChars="200"/>
        <w:rPr>
          <w:rFonts w:hint="eastAsia" w:ascii="仿宋" w:hAnsi="仿宋" w:eastAsia="仿宋" w:cs="仿宋"/>
          <w:b/>
          <w:color w:val="auto"/>
          <w:sz w:val="28"/>
          <w:szCs w:val="28"/>
          <w:highlight w:val="none"/>
        </w:rPr>
      </w:pPr>
    </w:p>
    <w:p w14:paraId="236CA87D">
      <w:pPr>
        <w:tabs>
          <w:tab w:val="left" w:pos="1140"/>
        </w:tabs>
        <w:spacing w:line="360" w:lineRule="exact"/>
        <w:ind w:left="420" w:left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七、履约保证金及签订合同</w:t>
      </w:r>
    </w:p>
    <w:p w14:paraId="1A888C2B">
      <w:pPr>
        <w:tabs>
          <w:tab w:val="left" w:pos="1305"/>
        </w:tabs>
        <w:spacing w:line="360" w:lineRule="exact"/>
        <w:ind w:firstLine="316" w:firstLineChars="150"/>
        <w:rPr>
          <w:rFonts w:hint="eastAsia" w:ascii="仿宋" w:hAnsi="仿宋" w:eastAsia="仿宋" w:cs="仿宋"/>
          <w:b/>
          <w:color w:val="auto"/>
          <w:highlight w:val="none"/>
        </w:rPr>
      </w:pPr>
      <w:r>
        <w:rPr>
          <w:rFonts w:hint="eastAsia" w:ascii="仿宋" w:hAnsi="仿宋" w:eastAsia="仿宋" w:cs="仿宋"/>
          <w:b/>
          <w:color w:val="auto"/>
          <w:highlight w:val="none"/>
        </w:rPr>
        <w:t xml:space="preserve"> </w:t>
      </w:r>
    </w:p>
    <w:p w14:paraId="03760F6A">
      <w:pPr>
        <w:tabs>
          <w:tab w:val="left" w:pos="1305"/>
        </w:tabs>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highlight w:val="none"/>
        </w:rPr>
        <w:t>34</w:t>
      </w:r>
      <w:r>
        <w:rPr>
          <w:rFonts w:hint="eastAsia" w:ascii="仿宋" w:hAnsi="仿宋" w:eastAsia="仿宋" w:cs="仿宋"/>
          <w:b/>
          <w:color w:val="auto"/>
          <w:szCs w:val="21"/>
          <w:highlight w:val="none"/>
        </w:rPr>
        <w:t>.履约保证金：</w:t>
      </w:r>
      <w:r>
        <w:rPr>
          <w:rFonts w:hint="eastAsia" w:ascii="仿宋" w:hAnsi="仿宋" w:eastAsia="仿宋" w:cs="仿宋"/>
          <w:color w:val="auto"/>
          <w:szCs w:val="21"/>
          <w:highlight w:val="none"/>
        </w:rPr>
        <w:t xml:space="preserve"> 本项目不收取保证金。</w:t>
      </w:r>
    </w:p>
    <w:p w14:paraId="6339F50D">
      <w:pPr>
        <w:tabs>
          <w:tab w:val="left" w:pos="1140"/>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35. 签订合同</w:t>
      </w:r>
    </w:p>
    <w:p w14:paraId="417ADF9F">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35.1签订合同时间：中标通知书发出之日起8个工作日内。中标人应按规定与采购人签订合同。</w:t>
      </w:r>
    </w:p>
    <w:p w14:paraId="21E19FD2">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14:paraId="67BCF296">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（1）中标后不与采购人签订合同的（不可抗力除外）或应当向采购人提交履约保证金而未按规定提交的；</w:t>
      </w:r>
    </w:p>
    <w:p w14:paraId="56B34047">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（2）将项目转让给他人，或者在投标文件中未说明且未经采购人同意将项目分包给他人的；</w:t>
      </w:r>
    </w:p>
    <w:p w14:paraId="35B5D130">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（3）拒绝履行合同义务的。</w:t>
      </w:r>
    </w:p>
    <w:p w14:paraId="1B26FFC6">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35.3合同公告：</w:t>
      </w:r>
      <w:r>
        <w:rPr>
          <w:rFonts w:hint="eastAsia" w:ascii="仿宋" w:hAnsi="仿宋" w:eastAsia="仿宋" w:cs="仿宋"/>
          <w:color w:val="auto"/>
          <w:highlight w:val="none"/>
        </w:rPr>
        <w:t>政府采购合同双方自签订之日起2个工作日内在省级以上人民政府财政部门指定媒体上公告</w:t>
      </w:r>
      <w:r>
        <w:rPr>
          <w:rFonts w:hint="eastAsia" w:ascii="仿宋" w:hAnsi="仿宋" w:eastAsia="仿宋" w:cs="仿宋"/>
          <w:color w:val="auto"/>
          <w:szCs w:val="21"/>
          <w:highlight w:val="none"/>
        </w:rPr>
        <w:t>。</w:t>
      </w:r>
    </w:p>
    <w:p w14:paraId="422F0088">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35.4验收证明存档：项目验收合格后，采购人应妥善保存验收证明（详见附表3）。</w:t>
      </w:r>
    </w:p>
    <w:p w14:paraId="203444B0">
      <w:pPr>
        <w:pStyle w:val="6"/>
        <w:spacing w:line="360" w:lineRule="exact"/>
        <w:ind w:left="3"/>
        <w:jc w:val="center"/>
        <w:rPr>
          <w:rFonts w:hint="eastAsia" w:ascii="仿宋" w:hAnsi="仿宋" w:eastAsia="仿宋" w:cs="仿宋"/>
          <w:b/>
          <w:color w:val="auto"/>
          <w:sz w:val="28"/>
          <w:szCs w:val="28"/>
          <w:highlight w:val="none"/>
        </w:rPr>
      </w:pPr>
    </w:p>
    <w:p w14:paraId="103BE144">
      <w:pPr>
        <w:pStyle w:val="6"/>
        <w:spacing w:line="360" w:lineRule="exact"/>
        <w:ind w:left="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八、其他事项</w:t>
      </w:r>
    </w:p>
    <w:p w14:paraId="643DB28F">
      <w:pPr>
        <w:pStyle w:val="6"/>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36.采购代理服务费</w:t>
      </w:r>
    </w:p>
    <w:p w14:paraId="2DF81561">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36.1</w:t>
      </w:r>
      <w:r>
        <w:rPr>
          <w:rFonts w:hint="eastAsia" w:ascii="仿宋" w:hAnsi="仿宋" w:eastAsia="仿宋" w:cs="仿宋"/>
          <w:color w:val="auto"/>
          <w:highlight w:val="none"/>
        </w:rPr>
        <w:t>本项目的招标代理服务收费标准按计价格[2002]1980号《招标代理服务收费管理暂行办法》货物类收费标准向中标供应商收取。</w:t>
      </w:r>
    </w:p>
    <w:p w14:paraId="215906A1">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36.2采购代理服务收费标准：</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B38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6F60008A">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接连接符 1"/>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Wdfux7wEAAN0DAAAOAAAAAAAAAAEAIAAAACUBAABkcnMvZTJvRG9jLnhtbFBLBQYAAAAA&#10;BgAGAFkBAACGBQAAAAA=&#10;">
                      <v:fill on="f" focussize="0,0"/>
                      <v:stroke color="#000000" joinstyle="round"/>
                      <v:imagedata o:title=""/>
                      <o:lock v:ext="edit" aspectratio="f"/>
                    </v:line>
                  </w:pict>
                </mc:Fallback>
              </mc:AlternateContent>
            </w:r>
            <w:r>
              <w:rPr>
                <w:rFonts w:hint="eastAsia" w:ascii="仿宋" w:hAnsi="仿宋" w:eastAsia="仿宋" w:cs="仿宋"/>
                <w:color w:val="auto"/>
                <w:highlight w:val="none"/>
              </w:rPr>
              <w:t>费率           货物类型</w:t>
            </w:r>
          </w:p>
          <w:p w14:paraId="510194DC">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Or0TWAAAACAEAAA8AAAAAAAAAAQAgAAAAIgAAAGRycy9kb3ducmV2LnhtbFBLAQIUABQA&#10;AAAIAIdO4kBVxLpr8gEAAN0DAAAOAAAAAAAAAAEAIAAAACUBAABkcnMvZTJvRG9jLnhtbFBLBQYA&#10;AAAABgAGAFkBAACJBQAAAAA=&#10;">
                      <v:fill on="f" focussize="0,0"/>
                      <v:stroke color="#000000" joinstyle="round"/>
                      <v:imagedata o:title=""/>
                      <o:lock v:ext="edit" aspectratio="f"/>
                    </v:line>
                  </w:pict>
                </mc:Fallback>
              </mc:AlternateContent>
            </w:r>
          </w:p>
          <w:p w14:paraId="44B896F6">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中标金额</w:t>
            </w:r>
          </w:p>
        </w:tc>
        <w:tc>
          <w:tcPr>
            <w:tcW w:w="1841" w:type="dxa"/>
            <w:vAlign w:val="center"/>
          </w:tcPr>
          <w:p w14:paraId="78842970">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货物招标</w:t>
            </w:r>
          </w:p>
        </w:tc>
        <w:tc>
          <w:tcPr>
            <w:tcW w:w="1992" w:type="dxa"/>
            <w:vAlign w:val="center"/>
          </w:tcPr>
          <w:p w14:paraId="0136B83C">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服务招标</w:t>
            </w:r>
          </w:p>
        </w:tc>
        <w:tc>
          <w:tcPr>
            <w:tcW w:w="2293" w:type="dxa"/>
            <w:vAlign w:val="center"/>
          </w:tcPr>
          <w:p w14:paraId="2B4683BB">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工程招标</w:t>
            </w:r>
          </w:p>
        </w:tc>
      </w:tr>
      <w:tr w14:paraId="75B5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C6E726D">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100万元以下</w:t>
            </w:r>
          </w:p>
        </w:tc>
        <w:tc>
          <w:tcPr>
            <w:tcW w:w="1841" w:type="dxa"/>
          </w:tcPr>
          <w:p w14:paraId="4428A726">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1992" w:type="dxa"/>
          </w:tcPr>
          <w:p w14:paraId="66A137B1">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293" w:type="dxa"/>
          </w:tcPr>
          <w:p w14:paraId="51E267CD">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r>
      <w:tr w14:paraId="65FA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E2F97A9">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100～500万元</w:t>
            </w:r>
          </w:p>
        </w:tc>
        <w:tc>
          <w:tcPr>
            <w:tcW w:w="1841" w:type="dxa"/>
          </w:tcPr>
          <w:p w14:paraId="42DA15B9">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992" w:type="dxa"/>
          </w:tcPr>
          <w:p w14:paraId="43802031">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2293" w:type="dxa"/>
          </w:tcPr>
          <w:p w14:paraId="255FC44E">
            <w:pPr>
              <w:pStyle w:val="17"/>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0.7%</w:t>
            </w:r>
          </w:p>
        </w:tc>
      </w:tr>
      <w:tr w14:paraId="324A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C3C9A1A">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500～1000万元</w:t>
            </w:r>
          </w:p>
        </w:tc>
        <w:tc>
          <w:tcPr>
            <w:tcW w:w="1841" w:type="dxa"/>
          </w:tcPr>
          <w:p w14:paraId="1BF0AFB7">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1992" w:type="dxa"/>
          </w:tcPr>
          <w:p w14:paraId="7B91B1E7">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0.45%</w:t>
            </w:r>
          </w:p>
        </w:tc>
        <w:tc>
          <w:tcPr>
            <w:tcW w:w="2293" w:type="dxa"/>
          </w:tcPr>
          <w:p w14:paraId="1F62F47D">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0.55%</w:t>
            </w:r>
          </w:p>
        </w:tc>
      </w:tr>
      <w:tr w14:paraId="0FC2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197BF8B">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1000～5000万元</w:t>
            </w:r>
          </w:p>
        </w:tc>
        <w:tc>
          <w:tcPr>
            <w:tcW w:w="1841" w:type="dxa"/>
          </w:tcPr>
          <w:p w14:paraId="159C348E">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c>
          <w:tcPr>
            <w:tcW w:w="1992" w:type="dxa"/>
          </w:tcPr>
          <w:p w14:paraId="2498E522">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2293" w:type="dxa"/>
          </w:tcPr>
          <w:p w14:paraId="189B1003">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0.35%</w:t>
            </w:r>
          </w:p>
        </w:tc>
      </w:tr>
      <w:tr w14:paraId="5F46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20C37757">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5000万元～1亿元</w:t>
            </w:r>
          </w:p>
        </w:tc>
        <w:tc>
          <w:tcPr>
            <w:tcW w:w="1841" w:type="dxa"/>
          </w:tcPr>
          <w:p w14:paraId="05C5FFA7">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1992" w:type="dxa"/>
          </w:tcPr>
          <w:p w14:paraId="17ED623E">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0.1%</w:t>
            </w:r>
          </w:p>
        </w:tc>
        <w:tc>
          <w:tcPr>
            <w:tcW w:w="2293" w:type="dxa"/>
          </w:tcPr>
          <w:p w14:paraId="08DE9D53">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w:t>
            </w:r>
          </w:p>
        </w:tc>
      </w:tr>
    </w:tbl>
    <w:p w14:paraId="2059431D">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注：采购代理服务收费按差额定率累进法计算。</w:t>
      </w:r>
    </w:p>
    <w:p w14:paraId="1B707200">
      <w:pPr>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37.采购代理机构银行账户（用于交纳采购代理服务费）：</w:t>
      </w:r>
    </w:p>
    <w:p w14:paraId="43D221E6">
      <w:pPr>
        <w:spacing w:line="360" w:lineRule="exact"/>
        <w:ind w:left="420" w:leftChars="200"/>
        <w:rPr>
          <w:rFonts w:hint="eastAsia" w:ascii="仿宋" w:hAnsi="仿宋" w:eastAsia="仿宋" w:cs="仿宋"/>
          <w:bCs/>
          <w:color w:val="auto"/>
          <w:highlight w:val="none"/>
        </w:rPr>
      </w:pPr>
      <w:r>
        <w:rPr>
          <w:rFonts w:hint="eastAsia" w:ascii="仿宋" w:hAnsi="仿宋" w:eastAsia="仿宋" w:cs="仿宋"/>
          <w:bCs/>
          <w:color w:val="auto"/>
          <w:highlight w:val="none"/>
        </w:rPr>
        <w:t>开户名称：广西金证招标代理有限公司桂林分公司</w:t>
      </w:r>
      <w:r>
        <w:rPr>
          <w:rFonts w:hint="eastAsia" w:ascii="仿宋" w:hAnsi="仿宋" w:eastAsia="仿宋" w:cs="仿宋"/>
          <w:bCs/>
          <w:color w:val="auto"/>
          <w:highlight w:val="none"/>
        </w:rPr>
        <w:br w:type="textWrapping"/>
      </w:r>
      <w:r>
        <w:rPr>
          <w:rFonts w:hint="eastAsia" w:ascii="仿宋" w:hAnsi="仿宋" w:eastAsia="仿宋" w:cs="仿宋"/>
          <w:bCs/>
          <w:color w:val="auto"/>
          <w:highlight w:val="none"/>
        </w:rPr>
        <w:t>开户银行：桂林银行股份有限公司秀峰支行</w:t>
      </w:r>
    </w:p>
    <w:p w14:paraId="6F6B3B5C">
      <w:pPr>
        <w:spacing w:line="360" w:lineRule="exact"/>
        <w:ind w:firstLine="422"/>
        <w:rPr>
          <w:rFonts w:hint="eastAsia" w:ascii="仿宋" w:hAnsi="仿宋" w:eastAsia="仿宋" w:cs="仿宋"/>
          <w:bCs/>
          <w:color w:val="auto"/>
          <w:highlight w:val="none"/>
        </w:rPr>
      </w:pPr>
      <w:r>
        <w:rPr>
          <w:rFonts w:hint="eastAsia" w:ascii="仿宋" w:hAnsi="仿宋" w:eastAsia="仿宋" w:cs="仿宋"/>
          <w:bCs/>
          <w:color w:val="auto"/>
          <w:highlight w:val="none"/>
        </w:rPr>
        <w:t>银行账号：660000022639800015</w:t>
      </w:r>
    </w:p>
    <w:p w14:paraId="7FD12B35">
      <w:pPr>
        <w:spacing w:line="360" w:lineRule="exact"/>
        <w:ind w:firstLine="422"/>
        <w:rPr>
          <w:rFonts w:hint="eastAsia" w:ascii="仿宋" w:hAnsi="仿宋" w:eastAsia="仿宋" w:cs="仿宋"/>
          <w:b/>
          <w:color w:val="auto"/>
          <w:kern w:val="0"/>
          <w:highlight w:val="none"/>
        </w:rPr>
      </w:pPr>
      <w:r>
        <w:rPr>
          <w:rFonts w:hint="eastAsia" w:ascii="仿宋" w:hAnsi="仿宋" w:eastAsia="仿宋" w:cs="仿宋"/>
          <w:b/>
          <w:color w:val="auto"/>
          <w:highlight w:val="none"/>
        </w:rPr>
        <w:t>38.</w:t>
      </w:r>
      <w:r>
        <w:rPr>
          <w:rFonts w:hint="eastAsia" w:ascii="仿宋" w:hAnsi="仿宋" w:eastAsia="仿宋" w:cs="仿宋"/>
          <w:b/>
          <w:color w:val="auto"/>
          <w:kern w:val="0"/>
          <w:highlight w:val="none"/>
        </w:rPr>
        <w:t>广西线上“政采贷”政策详见附表4.</w:t>
      </w:r>
    </w:p>
    <w:p w14:paraId="16739AF3">
      <w:pPr>
        <w:pStyle w:val="6"/>
        <w:snapToGrid w:val="0"/>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highlight w:val="none"/>
        </w:rPr>
        <w:t>39.解释权：</w:t>
      </w:r>
      <w:r>
        <w:rPr>
          <w:rFonts w:hint="eastAsia" w:ascii="仿宋" w:hAnsi="仿宋" w:eastAsia="仿宋" w:cs="仿宋"/>
          <w:color w:val="auto"/>
          <w:szCs w:val="21"/>
          <w:highlight w:val="none"/>
        </w:rPr>
        <w:t>本招标文件是根据《中华人民共和国政府采购法》、《中华人民共和国政府采购法实施条例》及</w:t>
      </w:r>
      <w:r>
        <w:rPr>
          <w:rFonts w:hint="eastAsia" w:ascii="仿宋" w:hAnsi="仿宋" w:eastAsia="仿宋" w:cs="仿宋"/>
          <w:bCs/>
          <w:color w:val="auto"/>
          <w:highlight w:val="none"/>
        </w:rPr>
        <w:t>财政部令第87号</w:t>
      </w:r>
      <w:r>
        <w:rPr>
          <w:rFonts w:hint="eastAsia" w:ascii="仿宋" w:hAnsi="仿宋" w:eastAsia="仿宋" w:cs="仿宋"/>
          <w:color w:val="auto"/>
          <w:szCs w:val="21"/>
          <w:highlight w:val="none"/>
        </w:rPr>
        <w:t>《政府采购货物和服务招标投标管理办法》和政府采购管理有关规定编制，本招标文件的解释权属于采购代理机构。</w:t>
      </w:r>
    </w:p>
    <w:p w14:paraId="6C0C1825">
      <w:pPr>
        <w:snapToGrid w:val="0"/>
        <w:spacing w:line="360" w:lineRule="exact"/>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highlight w:val="none"/>
        </w:rPr>
        <w:t>40.</w:t>
      </w:r>
      <w:r>
        <w:rPr>
          <w:rFonts w:hint="eastAsia" w:ascii="仿宋" w:hAnsi="仿宋" w:eastAsia="仿宋" w:cs="仿宋"/>
          <w:b/>
          <w:color w:val="auto"/>
          <w:szCs w:val="21"/>
          <w:highlight w:val="none"/>
        </w:rPr>
        <w:t>监督管理机构：</w:t>
      </w:r>
      <w:r>
        <w:rPr>
          <w:rFonts w:hint="eastAsia" w:ascii="仿宋" w:hAnsi="仿宋" w:eastAsia="仿宋" w:cs="仿宋"/>
          <w:color w:val="auto"/>
          <w:kern w:val="0"/>
          <w:szCs w:val="21"/>
          <w:highlight w:val="none"/>
        </w:rPr>
        <w:t>桂林市财政局；联系电话：0773-2829504</w:t>
      </w:r>
    </w:p>
    <w:p w14:paraId="2707224D">
      <w:pPr>
        <w:pStyle w:val="6"/>
        <w:snapToGrid w:val="0"/>
        <w:spacing w:line="36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41.采购过程中出现以下情形，导致电子交易平台无法正常运行，或者无法保证电子交易的公平、公正和安全时，采购代理机构可以中止电子交易活动：</w:t>
      </w:r>
    </w:p>
    <w:p w14:paraId="57BBBC50">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14:paraId="583428D2">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14:paraId="640EDF5F">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14:paraId="299C2C9C">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14:paraId="67682221">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14:paraId="20F23471">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6D28E79">
      <w:pPr>
        <w:pStyle w:val="6"/>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4"/>
          <w:szCs w:val="24"/>
          <w:highlight w:val="none"/>
        </w:rPr>
        <w:t>附表1：</w:t>
      </w:r>
    </w:p>
    <w:p w14:paraId="56B06D01">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质疑函（格式）</w:t>
      </w:r>
    </w:p>
    <w:p w14:paraId="4952B048">
      <w:pPr>
        <w:pStyle w:val="6"/>
        <w:snapToGrid w:val="0"/>
        <w:spacing w:line="36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一、质疑供应商基本信息：</w:t>
      </w:r>
    </w:p>
    <w:p w14:paraId="044189BC">
      <w:pPr>
        <w:pStyle w:val="6"/>
        <w:snapToGrid w:val="0"/>
        <w:spacing w:line="36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质疑供应商：</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614DA106">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7A275811">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14:paraId="526A6BCD">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授权代表：</w:t>
      </w:r>
      <w:r>
        <w:rPr>
          <w:rFonts w:hint="eastAsia" w:ascii="仿宋" w:hAnsi="仿宋" w:eastAsia="仿宋" w:cs="仿宋"/>
          <w:bCs/>
          <w:color w:val="auto"/>
          <w:highlight w:val="none"/>
          <w:u w:val="single"/>
        </w:rPr>
        <w:t xml:space="preserve">                      </w:t>
      </w:r>
    </w:p>
    <w:p w14:paraId="57B67967">
      <w:pPr>
        <w:pStyle w:val="6"/>
        <w:snapToGrid w:val="0"/>
        <w:spacing w:line="36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14:paraId="0E5C4DC5">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062040E2">
      <w:pPr>
        <w:pStyle w:val="6"/>
        <w:snapToGrid w:val="0"/>
        <w:spacing w:line="36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二、质疑项目基本情况：</w:t>
      </w:r>
    </w:p>
    <w:p w14:paraId="1E65C810">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质疑</w:t>
      </w:r>
      <w:r>
        <w:rPr>
          <w:rFonts w:hint="eastAsia" w:ascii="仿宋" w:hAnsi="仿宋" w:eastAsia="仿宋" w:cs="仿宋"/>
          <w:color w:val="auto"/>
          <w:szCs w:val="21"/>
          <w:highlight w:val="none"/>
        </w:rPr>
        <w:t>项目的名称：</w:t>
      </w:r>
      <w:r>
        <w:rPr>
          <w:rFonts w:hint="eastAsia" w:ascii="仿宋" w:hAnsi="仿宋" w:eastAsia="仿宋" w:cs="仿宋"/>
          <w:bCs/>
          <w:color w:val="auto"/>
          <w:highlight w:val="none"/>
          <w:u w:val="single"/>
        </w:rPr>
        <w:t xml:space="preserve">                                     </w:t>
      </w:r>
    </w:p>
    <w:p w14:paraId="41B8DCDD">
      <w:pPr>
        <w:pStyle w:val="6"/>
        <w:spacing w:line="360" w:lineRule="exact"/>
        <w:ind w:left="25" w:leftChars="12" w:firstLine="413" w:firstLineChars="197"/>
        <w:rPr>
          <w:rFonts w:hint="eastAsia" w:ascii="仿宋" w:hAnsi="仿宋" w:eastAsia="仿宋" w:cs="仿宋"/>
          <w:color w:val="auto"/>
          <w:szCs w:val="21"/>
          <w:highlight w:val="none"/>
          <w:u w:val="single"/>
        </w:rPr>
      </w:pPr>
      <w:r>
        <w:rPr>
          <w:rFonts w:hint="eastAsia" w:ascii="仿宋" w:hAnsi="仿宋" w:eastAsia="仿宋" w:cs="仿宋"/>
          <w:bCs/>
          <w:color w:val="auto"/>
          <w:highlight w:val="none"/>
        </w:rPr>
        <w:t>质疑</w:t>
      </w:r>
      <w:r>
        <w:rPr>
          <w:rFonts w:hint="eastAsia" w:ascii="仿宋" w:hAnsi="仿宋" w:eastAsia="仿宋" w:cs="仿宋"/>
          <w:color w:val="auto"/>
          <w:szCs w:val="21"/>
          <w:highlight w:val="none"/>
        </w:rPr>
        <w:t>项目的编号：</w:t>
      </w:r>
      <w:r>
        <w:rPr>
          <w:rFonts w:hint="eastAsia" w:ascii="仿宋" w:hAnsi="仿宋" w:eastAsia="仿宋" w:cs="仿宋"/>
          <w:bCs/>
          <w:color w:val="auto"/>
          <w:highlight w:val="none"/>
          <w:u w:val="single"/>
        </w:rPr>
        <w:t xml:space="preserve">                                    </w:t>
      </w:r>
      <w:r>
        <w:rPr>
          <w:rFonts w:hint="eastAsia" w:ascii="仿宋" w:hAnsi="仿宋" w:eastAsia="仿宋" w:cs="仿宋"/>
          <w:color w:val="auto"/>
          <w:szCs w:val="21"/>
          <w:highlight w:val="none"/>
        </w:rPr>
        <w:t xml:space="preserve"> ；</w:t>
      </w:r>
    </w:p>
    <w:p w14:paraId="6BFDD5F6">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采购人名称：</w:t>
      </w:r>
      <w:r>
        <w:rPr>
          <w:rFonts w:hint="eastAsia" w:ascii="仿宋" w:hAnsi="仿宋" w:eastAsia="仿宋" w:cs="仿宋"/>
          <w:bCs/>
          <w:color w:val="auto"/>
          <w:highlight w:val="none"/>
          <w:u w:val="single"/>
        </w:rPr>
        <w:t xml:space="preserve">                                         </w:t>
      </w:r>
    </w:p>
    <w:p w14:paraId="040629BE">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w:t>
      </w:r>
    </w:p>
    <w:p w14:paraId="7B7C1CBC">
      <w:pPr>
        <w:pStyle w:val="6"/>
        <w:spacing w:line="360" w:lineRule="exact"/>
        <w:ind w:left="25" w:leftChars="12" w:firstLine="441" w:firstLineChars="147"/>
        <w:rPr>
          <w:rFonts w:hint="eastAsia" w:ascii="仿宋" w:hAnsi="仿宋" w:eastAsia="仿宋" w:cs="仿宋"/>
          <w:color w:val="auto"/>
          <w:szCs w:val="21"/>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采购文件   采购文件获取日期：</w:t>
      </w:r>
      <w:r>
        <w:rPr>
          <w:rFonts w:hint="eastAsia" w:ascii="仿宋" w:hAnsi="仿宋" w:eastAsia="仿宋" w:cs="仿宋"/>
          <w:bCs/>
          <w:color w:val="auto"/>
          <w:highlight w:val="none"/>
          <w:u w:val="single"/>
        </w:rPr>
        <w:t xml:space="preserve">                                   </w:t>
      </w:r>
    </w:p>
    <w:p w14:paraId="636759C5">
      <w:pPr>
        <w:pStyle w:val="6"/>
        <w:spacing w:line="360" w:lineRule="exact"/>
        <w:ind w:left="25" w:leftChars="12" w:firstLine="441" w:firstLineChars="147"/>
        <w:rPr>
          <w:rFonts w:hint="eastAsia" w:ascii="仿宋" w:hAnsi="仿宋" w:eastAsia="仿宋" w:cs="仿宋"/>
          <w:color w:val="auto"/>
          <w:szCs w:val="21"/>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 xml:space="preserve">采购过程   </w:t>
      </w:r>
    </w:p>
    <w:p w14:paraId="0EEBD5FA">
      <w:pPr>
        <w:pStyle w:val="6"/>
        <w:spacing w:line="360" w:lineRule="exact"/>
        <w:ind w:left="25" w:leftChars="12" w:firstLine="441" w:firstLineChars="147"/>
        <w:rPr>
          <w:rFonts w:hint="eastAsia" w:ascii="仿宋" w:hAnsi="仿宋" w:eastAsia="仿宋" w:cs="仿宋"/>
          <w:bCs/>
          <w:color w:val="auto"/>
          <w:highlight w:val="none"/>
          <w:u w:val="singl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 xml:space="preserve">中标结果   </w:t>
      </w:r>
    </w:p>
    <w:p w14:paraId="087C9185">
      <w:pPr>
        <w:pStyle w:val="6"/>
        <w:spacing w:line="36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三、质疑事项具体内容</w:t>
      </w:r>
    </w:p>
    <w:p w14:paraId="2DE7498C">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质疑事项1：</w:t>
      </w:r>
      <w:r>
        <w:rPr>
          <w:rFonts w:hint="eastAsia" w:ascii="仿宋" w:hAnsi="仿宋" w:eastAsia="仿宋" w:cs="仿宋"/>
          <w:bCs/>
          <w:color w:val="auto"/>
          <w:highlight w:val="none"/>
          <w:u w:val="single"/>
        </w:rPr>
        <w:t xml:space="preserve">                                                                    </w:t>
      </w:r>
    </w:p>
    <w:p w14:paraId="1CFD5C79">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事实依据：</w:t>
      </w:r>
      <w:r>
        <w:rPr>
          <w:rFonts w:hint="eastAsia" w:ascii="仿宋" w:hAnsi="仿宋" w:eastAsia="仿宋" w:cs="仿宋"/>
          <w:bCs/>
          <w:color w:val="auto"/>
          <w:highlight w:val="none"/>
          <w:u w:val="single"/>
        </w:rPr>
        <w:t xml:space="preserve">                                                                      </w:t>
      </w:r>
    </w:p>
    <w:p w14:paraId="3ED154EA">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法律依据：</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highlight w:val="none"/>
          <w:u w:val="single"/>
        </w:rPr>
        <w:t xml:space="preserve">               </w:t>
      </w:r>
    </w:p>
    <w:p w14:paraId="7FB36F5E">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质疑事项2</w:t>
      </w:r>
    </w:p>
    <w:p w14:paraId="21C46B9A">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0760AF91">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四、与质疑事项相关的质疑请求：</w:t>
      </w:r>
    </w:p>
    <w:p w14:paraId="233BFF21">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请求：</w:t>
      </w:r>
      <w:r>
        <w:rPr>
          <w:rFonts w:hint="eastAsia" w:ascii="仿宋" w:hAnsi="仿宋" w:eastAsia="仿宋" w:cs="仿宋"/>
          <w:bCs/>
          <w:color w:val="auto"/>
          <w:highlight w:val="none"/>
          <w:u w:val="single"/>
        </w:rPr>
        <w:t xml:space="preserve">                                                                </w:t>
      </w:r>
    </w:p>
    <w:p w14:paraId="4FB76A55">
      <w:pPr>
        <w:pStyle w:val="6"/>
        <w:spacing w:line="360" w:lineRule="exact"/>
        <w:ind w:left="25" w:leftChars="12" w:firstLine="308" w:firstLineChars="147"/>
        <w:rPr>
          <w:rFonts w:hint="eastAsia" w:ascii="仿宋" w:hAnsi="仿宋" w:eastAsia="仿宋" w:cs="仿宋"/>
          <w:color w:val="auto"/>
          <w:szCs w:val="21"/>
          <w:highlight w:val="none"/>
        </w:rPr>
      </w:pPr>
    </w:p>
    <w:p w14:paraId="4A771472">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签字（签章）：                                       公章：</w:t>
      </w:r>
    </w:p>
    <w:p w14:paraId="555843E3">
      <w:pPr>
        <w:pStyle w:val="6"/>
        <w:spacing w:line="360" w:lineRule="exact"/>
        <w:ind w:left="25" w:leftChars="12" w:firstLine="308" w:firstLineChars="147"/>
        <w:rPr>
          <w:rFonts w:hint="eastAsia" w:ascii="仿宋" w:hAnsi="仿宋" w:eastAsia="仿宋" w:cs="仿宋"/>
          <w:color w:val="auto"/>
          <w:szCs w:val="21"/>
          <w:highlight w:val="none"/>
        </w:rPr>
      </w:pPr>
    </w:p>
    <w:p w14:paraId="36313993">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197A9BA4">
      <w:pPr>
        <w:pStyle w:val="6"/>
        <w:snapToGrid w:val="0"/>
        <w:spacing w:line="340" w:lineRule="exact"/>
        <w:rPr>
          <w:rFonts w:hint="eastAsia" w:ascii="仿宋" w:hAnsi="仿宋" w:eastAsia="仿宋" w:cs="仿宋"/>
          <w:b/>
          <w:color w:val="auto"/>
          <w:szCs w:val="21"/>
          <w:highlight w:val="none"/>
        </w:rPr>
      </w:pPr>
    </w:p>
    <w:p w14:paraId="0FB190E3">
      <w:pPr>
        <w:pStyle w:val="6"/>
        <w:snapToGrid w:val="0"/>
        <w:spacing w:line="3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2A1011AF">
      <w:pPr>
        <w:pStyle w:val="6"/>
        <w:spacing w:line="340" w:lineRule="exact"/>
        <w:ind w:left="25" w:leftChars="12" w:firstLine="310" w:firstLineChars="147"/>
        <w:rPr>
          <w:rFonts w:hint="eastAsia" w:ascii="仿宋" w:hAnsi="仿宋" w:eastAsia="仿宋" w:cs="仿宋"/>
          <w:b/>
          <w:bCs/>
          <w:color w:val="auto"/>
          <w:highlight w:val="none"/>
        </w:rPr>
      </w:pPr>
      <w:r>
        <w:rPr>
          <w:rFonts w:hint="eastAsia" w:ascii="仿宋" w:hAnsi="仿宋" w:eastAsia="仿宋" w:cs="仿宋"/>
          <w:b/>
          <w:color w:val="auto"/>
          <w:szCs w:val="21"/>
          <w:highlight w:val="none"/>
        </w:rPr>
        <w:t>1.供应商提出质疑时，应提交质疑函和必要的证明材料</w:t>
      </w:r>
      <w:r>
        <w:rPr>
          <w:rFonts w:hint="eastAsia" w:ascii="仿宋" w:hAnsi="仿宋" w:eastAsia="仿宋" w:cs="仿宋"/>
          <w:b/>
          <w:bCs/>
          <w:color w:val="auto"/>
          <w:highlight w:val="none"/>
        </w:rPr>
        <w:t>。</w:t>
      </w:r>
    </w:p>
    <w:p w14:paraId="45832969">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D87BE2">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3.如本项目划分分标的，应注明所质疑的分标。质疑函的质疑事项应具体、明确，并有必要的事实依据和法律依据。</w:t>
      </w:r>
    </w:p>
    <w:p w14:paraId="331565AB">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4.质疑函的质疑请求应与质疑事项相关。</w:t>
      </w:r>
    </w:p>
    <w:p w14:paraId="56EA1F6C">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6EC444F4">
      <w:pPr>
        <w:pStyle w:val="6"/>
        <w:snapToGrid w:val="0"/>
        <w:rPr>
          <w:rFonts w:hint="eastAsia" w:ascii="仿宋" w:hAnsi="仿宋" w:eastAsia="仿宋" w:cs="仿宋"/>
          <w:b/>
          <w:color w:val="auto"/>
          <w:sz w:val="24"/>
          <w:szCs w:val="24"/>
          <w:highlight w:val="none"/>
        </w:rPr>
      </w:pPr>
    </w:p>
    <w:p w14:paraId="7A9632DB">
      <w:pPr>
        <w:pStyle w:val="6"/>
        <w:snapToGrid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附表2：</w:t>
      </w:r>
    </w:p>
    <w:p w14:paraId="6F2A0340">
      <w:pPr>
        <w:spacing w:line="460" w:lineRule="exact"/>
        <w:jc w:val="center"/>
        <w:rPr>
          <w:rFonts w:hint="eastAsia" w:ascii="仿宋" w:hAnsi="仿宋" w:eastAsia="仿宋" w:cs="仿宋"/>
          <w:color w:val="auto"/>
          <w:sz w:val="44"/>
          <w:highlight w:val="none"/>
        </w:rPr>
      </w:pPr>
    </w:p>
    <w:p w14:paraId="39CBACA8">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投诉书（格式）</w:t>
      </w:r>
    </w:p>
    <w:p w14:paraId="55AB6CFD">
      <w:pPr>
        <w:pStyle w:val="6"/>
        <w:snapToGrid w:val="0"/>
        <w:spacing w:line="4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一、投诉相关主体基本情况：</w:t>
      </w:r>
    </w:p>
    <w:p w14:paraId="2C811C73">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投标人：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702D28E3">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0F8686C0">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法定代表人/主要负责人：</w:t>
      </w:r>
      <w:r>
        <w:rPr>
          <w:rFonts w:hint="eastAsia" w:ascii="仿宋" w:hAnsi="仿宋" w:eastAsia="仿宋" w:cs="仿宋"/>
          <w:bCs/>
          <w:color w:val="auto"/>
          <w:highlight w:val="none"/>
          <w:u w:val="single"/>
        </w:rPr>
        <w:t xml:space="preserve">                                                         </w:t>
      </w:r>
    </w:p>
    <w:p w14:paraId="36EC3803">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14:paraId="1F2D90C7">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授权代表：</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14:paraId="3217D2EC">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57037D27">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被投诉人1：</w:t>
      </w:r>
    </w:p>
    <w:p w14:paraId="3BE51DB4">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5FB168BE">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14:paraId="340C1F82">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被投诉人2：</w:t>
      </w:r>
    </w:p>
    <w:p w14:paraId="502199F0">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w:t>
      </w:r>
    </w:p>
    <w:p w14:paraId="341B729E">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相关供应商：</w:t>
      </w:r>
      <w:r>
        <w:rPr>
          <w:rFonts w:hint="eastAsia" w:ascii="仿宋" w:hAnsi="仿宋" w:eastAsia="仿宋" w:cs="仿宋"/>
          <w:bCs/>
          <w:color w:val="auto"/>
          <w:highlight w:val="none"/>
          <w:u w:val="single"/>
        </w:rPr>
        <w:t xml:space="preserve">                                                                       </w:t>
      </w:r>
    </w:p>
    <w:p w14:paraId="1C08D67E">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p>
    <w:p w14:paraId="1A195101">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584553CD">
      <w:pPr>
        <w:pStyle w:val="6"/>
        <w:snapToGrid w:val="0"/>
        <w:spacing w:line="4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二、投诉项目基本情况：</w:t>
      </w:r>
    </w:p>
    <w:p w14:paraId="76ACC167">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采购</w:t>
      </w:r>
      <w:r>
        <w:rPr>
          <w:rFonts w:hint="eastAsia" w:ascii="仿宋" w:hAnsi="仿宋" w:eastAsia="仿宋" w:cs="仿宋"/>
          <w:color w:val="auto"/>
          <w:szCs w:val="21"/>
          <w:highlight w:val="none"/>
        </w:rPr>
        <w:t>项目的名称：</w:t>
      </w:r>
      <w:r>
        <w:rPr>
          <w:rFonts w:hint="eastAsia" w:ascii="仿宋" w:hAnsi="仿宋" w:eastAsia="仿宋" w:cs="仿宋"/>
          <w:bCs/>
          <w:color w:val="auto"/>
          <w:highlight w:val="none"/>
          <w:u w:val="single"/>
        </w:rPr>
        <w:t xml:space="preserve">                                                                   </w:t>
      </w:r>
    </w:p>
    <w:p w14:paraId="5C8475C4">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采购</w:t>
      </w:r>
      <w:r>
        <w:rPr>
          <w:rFonts w:hint="eastAsia" w:ascii="仿宋" w:hAnsi="仿宋" w:eastAsia="仿宋" w:cs="仿宋"/>
          <w:color w:val="auto"/>
          <w:szCs w:val="21"/>
          <w:highlight w:val="none"/>
        </w:rPr>
        <w:t>项目的编号：</w:t>
      </w:r>
      <w:r>
        <w:rPr>
          <w:rFonts w:hint="eastAsia" w:ascii="仿宋" w:hAnsi="仿宋" w:eastAsia="仿宋" w:cs="仿宋"/>
          <w:bCs/>
          <w:color w:val="auto"/>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；分标:</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0A6C907">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采购人名称：</w:t>
      </w:r>
      <w:r>
        <w:rPr>
          <w:rFonts w:hint="eastAsia" w:ascii="仿宋" w:hAnsi="仿宋" w:eastAsia="仿宋" w:cs="仿宋"/>
          <w:bCs/>
          <w:color w:val="auto"/>
          <w:highlight w:val="none"/>
          <w:u w:val="single"/>
        </w:rPr>
        <w:t xml:space="preserve">                                                                        </w:t>
      </w:r>
    </w:p>
    <w:p w14:paraId="797AEFCD">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代理机构名称：</w:t>
      </w:r>
      <w:r>
        <w:rPr>
          <w:rFonts w:hint="eastAsia" w:ascii="仿宋" w:hAnsi="仿宋" w:eastAsia="仿宋" w:cs="仿宋"/>
          <w:bCs/>
          <w:color w:val="auto"/>
          <w:highlight w:val="none"/>
          <w:u w:val="single"/>
        </w:rPr>
        <w:t xml:space="preserve">                                                                      </w:t>
      </w:r>
    </w:p>
    <w:p w14:paraId="7C4E78A4">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bCs/>
          <w:color w:val="auto"/>
          <w:highlight w:val="none"/>
        </w:rPr>
        <w:t>采购文件公告：</w:t>
      </w:r>
      <w:r>
        <w:rPr>
          <w:rFonts w:hint="eastAsia" w:ascii="仿宋" w:hAnsi="仿宋" w:eastAsia="仿宋" w:cs="仿宋"/>
          <w:bCs/>
          <w:color w:val="auto"/>
          <w:highlight w:val="none"/>
          <w:u w:val="single"/>
        </w:rPr>
        <w:t>是/否</w:t>
      </w:r>
      <w:r>
        <w:rPr>
          <w:rFonts w:hint="eastAsia" w:ascii="仿宋" w:hAnsi="仿宋" w:eastAsia="仿宋" w:cs="仿宋"/>
          <w:bCs/>
          <w:color w:val="auto"/>
          <w:highlight w:val="none"/>
        </w:rPr>
        <w:t>公告期限：</w:t>
      </w:r>
      <w:r>
        <w:rPr>
          <w:rFonts w:hint="eastAsia" w:ascii="仿宋" w:hAnsi="仿宋" w:eastAsia="仿宋" w:cs="仿宋"/>
          <w:bCs/>
          <w:color w:val="auto"/>
          <w:highlight w:val="none"/>
          <w:u w:val="single"/>
        </w:rPr>
        <w:t xml:space="preserve">                                                       </w:t>
      </w:r>
    </w:p>
    <w:p w14:paraId="69771E71">
      <w:pPr>
        <w:pStyle w:val="6"/>
        <w:spacing w:line="400" w:lineRule="exact"/>
        <w:ind w:left="25" w:leftChars="12" w:firstLine="413" w:firstLineChars="197"/>
        <w:rPr>
          <w:rFonts w:hint="eastAsia" w:ascii="仿宋" w:hAnsi="仿宋" w:eastAsia="仿宋" w:cs="仿宋"/>
          <w:b/>
          <w:color w:val="auto"/>
          <w:szCs w:val="21"/>
          <w:highlight w:val="none"/>
        </w:rPr>
      </w:pPr>
      <w:r>
        <w:rPr>
          <w:rFonts w:hint="eastAsia" w:ascii="仿宋" w:hAnsi="仿宋" w:eastAsia="仿宋" w:cs="仿宋"/>
          <w:bCs/>
          <w:color w:val="auto"/>
          <w:highlight w:val="none"/>
        </w:rPr>
        <w:t>采购结果公告：</w:t>
      </w:r>
      <w:r>
        <w:rPr>
          <w:rFonts w:hint="eastAsia" w:ascii="仿宋" w:hAnsi="仿宋" w:eastAsia="仿宋" w:cs="仿宋"/>
          <w:bCs/>
          <w:color w:val="auto"/>
          <w:highlight w:val="none"/>
          <w:u w:val="single"/>
        </w:rPr>
        <w:t>是/否</w:t>
      </w:r>
      <w:r>
        <w:rPr>
          <w:rFonts w:hint="eastAsia" w:ascii="仿宋" w:hAnsi="仿宋" w:eastAsia="仿宋" w:cs="仿宋"/>
          <w:bCs/>
          <w:color w:val="auto"/>
          <w:highlight w:val="none"/>
        </w:rPr>
        <w:t>公告期限：</w:t>
      </w:r>
      <w:r>
        <w:rPr>
          <w:rFonts w:hint="eastAsia" w:ascii="仿宋" w:hAnsi="仿宋" w:eastAsia="仿宋" w:cs="仿宋"/>
          <w:bCs/>
          <w:color w:val="auto"/>
          <w:highlight w:val="none"/>
          <w:u w:val="single"/>
        </w:rPr>
        <w:t xml:space="preserve">                                                       </w:t>
      </w:r>
    </w:p>
    <w:p w14:paraId="19D7C06D">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三、质疑基本情况</w:t>
      </w:r>
    </w:p>
    <w:p w14:paraId="04FDD43E">
      <w:pPr>
        <w:pStyle w:val="6"/>
        <w:spacing w:line="400" w:lineRule="exact"/>
        <w:ind w:left="25" w:leftChars="12" w:firstLine="833" w:firstLineChars="3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投诉人于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提出质疑，质疑事项为：</w:t>
      </w:r>
    </w:p>
    <w:p w14:paraId="18C3FC4F">
      <w:pPr>
        <w:pStyle w:val="6"/>
        <w:spacing w:line="400" w:lineRule="exact"/>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14:paraId="31B31580">
      <w:pPr>
        <w:pStyle w:val="6"/>
        <w:spacing w:line="400" w:lineRule="exact"/>
        <w:rPr>
          <w:rFonts w:hint="eastAsia" w:ascii="仿宋" w:hAnsi="仿宋" w:eastAsia="仿宋" w:cs="仿宋"/>
          <w:bCs/>
          <w:color w:val="auto"/>
          <w:highlight w:val="none"/>
          <w:u w:val="singl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 xml:space="preserve">                                                                                      </w:t>
      </w:r>
    </w:p>
    <w:p w14:paraId="3E4CAF2F">
      <w:pPr>
        <w:pStyle w:val="6"/>
        <w:spacing w:line="400" w:lineRule="exact"/>
        <w:rPr>
          <w:rFonts w:hint="eastAsia" w:ascii="仿宋" w:hAnsi="仿宋" w:eastAsia="仿宋" w:cs="仿宋"/>
          <w:color w:val="auto"/>
          <w:szCs w:val="21"/>
          <w:highlight w:val="non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采购人/代理机构</w:t>
      </w:r>
      <w:r>
        <w:rPr>
          <w:rFonts w:hint="eastAsia" w:ascii="仿宋" w:hAnsi="仿宋" w:eastAsia="仿宋" w:cs="仿宋"/>
          <w:bCs/>
          <w:color w:val="auto"/>
          <w:highlight w:val="none"/>
        </w:rPr>
        <w:t>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r>
        <w:rPr>
          <w:rFonts w:hint="eastAsia" w:ascii="仿宋" w:hAnsi="仿宋" w:eastAsia="仿宋" w:cs="仿宋"/>
          <w:bCs/>
          <w:color w:val="auto"/>
          <w:highlight w:val="none"/>
        </w:rPr>
        <w:t xml:space="preserve">就质疑事项作出了答复/没有在法定期限内作出答复。                                                                                             </w:t>
      </w:r>
    </w:p>
    <w:p w14:paraId="1EE97631">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四、投诉事项具体内容</w:t>
      </w:r>
    </w:p>
    <w:p w14:paraId="7D6800A7">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投诉事项1：</w:t>
      </w:r>
      <w:r>
        <w:rPr>
          <w:rFonts w:hint="eastAsia" w:ascii="仿宋" w:hAnsi="仿宋" w:eastAsia="仿宋" w:cs="仿宋"/>
          <w:bCs/>
          <w:color w:val="auto"/>
          <w:highlight w:val="none"/>
          <w:u w:val="single"/>
        </w:rPr>
        <w:t xml:space="preserve">                                                                           </w:t>
      </w:r>
    </w:p>
    <w:p w14:paraId="19EDF21E">
      <w:pPr>
        <w:pStyle w:val="6"/>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事实依据：</w:t>
      </w: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14:paraId="586E2EA8">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u w:val="single"/>
        </w:rPr>
        <w:t xml:space="preserve">                                                                                        </w:t>
      </w:r>
    </w:p>
    <w:p w14:paraId="1600C0FF">
      <w:pPr>
        <w:pStyle w:val="6"/>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法律依据：</w:t>
      </w: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14:paraId="35F8A192">
      <w:pPr>
        <w:pStyle w:val="6"/>
        <w:spacing w:line="400" w:lineRule="exact"/>
        <w:ind w:left="25" w:leftChars="12" w:firstLine="308" w:firstLineChars="147"/>
        <w:rPr>
          <w:rFonts w:hint="eastAsia" w:ascii="仿宋" w:hAnsi="仿宋" w:eastAsia="仿宋" w:cs="仿宋"/>
          <w:bCs/>
          <w:color w:val="auto"/>
          <w:highlight w:val="none"/>
          <w:u w:val="singl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 xml:space="preserve">                                                                                        </w:t>
      </w:r>
    </w:p>
    <w:p w14:paraId="1E5B3AF4">
      <w:pPr>
        <w:pStyle w:val="6"/>
        <w:spacing w:line="400" w:lineRule="exact"/>
        <w:ind w:left="25" w:leftChars="12" w:firstLine="413" w:firstLineChars="197"/>
        <w:rPr>
          <w:rFonts w:hint="eastAsia" w:ascii="仿宋" w:hAnsi="仿宋" w:eastAsia="仿宋" w:cs="仿宋"/>
          <w:bCs/>
          <w:color w:val="auto"/>
          <w:highlight w:val="none"/>
        </w:rPr>
      </w:pPr>
      <w:r>
        <w:rPr>
          <w:rFonts w:hint="eastAsia" w:ascii="仿宋" w:hAnsi="仿宋" w:eastAsia="仿宋" w:cs="仿宋"/>
          <w:color w:val="auto"/>
          <w:szCs w:val="21"/>
          <w:highlight w:val="none"/>
        </w:rPr>
        <w:t xml:space="preserve">投诉事项2  </w:t>
      </w:r>
      <w:r>
        <w:rPr>
          <w:rFonts w:hint="eastAsia" w:ascii="仿宋" w:hAnsi="仿宋" w:eastAsia="仿宋" w:cs="仿宋"/>
          <w:bCs/>
          <w:color w:val="auto"/>
          <w:highlight w:val="none"/>
        </w:rPr>
        <w:t xml:space="preserve">   </w:t>
      </w:r>
    </w:p>
    <w:p w14:paraId="2CF15F1C">
      <w:pPr>
        <w:pStyle w:val="6"/>
        <w:spacing w:line="400" w:lineRule="exact"/>
        <w:ind w:left="25" w:leftChars="12" w:firstLine="413" w:firstLineChars="197"/>
        <w:rPr>
          <w:rFonts w:hint="eastAsia" w:ascii="仿宋" w:hAnsi="仿宋" w:eastAsia="仿宋" w:cs="仿宋"/>
          <w:bCs/>
          <w:color w:val="auto"/>
          <w:highlight w:val="none"/>
        </w:rPr>
      </w:pPr>
      <w:r>
        <w:rPr>
          <w:rFonts w:hint="eastAsia" w:ascii="仿宋" w:hAnsi="仿宋" w:eastAsia="仿宋" w:cs="仿宋"/>
          <w:bCs/>
          <w:color w:val="auto"/>
          <w:highlight w:val="none"/>
        </w:rPr>
        <w:t>……</w:t>
      </w:r>
    </w:p>
    <w:p w14:paraId="42DA7F0D">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五、与投诉事项相关的投诉请求：</w:t>
      </w:r>
    </w:p>
    <w:p w14:paraId="5348F34F">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请求：</w:t>
      </w:r>
      <w:r>
        <w:rPr>
          <w:rFonts w:hint="eastAsia" w:ascii="仿宋" w:hAnsi="仿宋" w:eastAsia="仿宋" w:cs="仿宋"/>
          <w:bCs/>
          <w:color w:val="auto"/>
          <w:highlight w:val="none"/>
          <w:u w:val="single"/>
        </w:rPr>
        <w:t xml:space="preserve">                                                                                 </w:t>
      </w:r>
    </w:p>
    <w:p w14:paraId="30AAF285">
      <w:pPr>
        <w:pStyle w:val="6"/>
        <w:spacing w:line="400" w:lineRule="exact"/>
        <w:ind w:left="25" w:leftChars="12" w:firstLine="308" w:firstLineChars="147"/>
        <w:rPr>
          <w:rFonts w:hint="eastAsia" w:ascii="仿宋" w:hAnsi="仿宋" w:eastAsia="仿宋" w:cs="仿宋"/>
          <w:color w:val="auto"/>
          <w:szCs w:val="21"/>
          <w:highlight w:val="none"/>
        </w:rPr>
      </w:pPr>
    </w:p>
    <w:p w14:paraId="2926A379">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签字（签章）：                                       公章：</w:t>
      </w:r>
    </w:p>
    <w:p w14:paraId="4A5A138D">
      <w:pPr>
        <w:pStyle w:val="6"/>
        <w:spacing w:line="400" w:lineRule="exact"/>
        <w:ind w:left="25" w:leftChars="12" w:firstLine="308" w:firstLineChars="147"/>
        <w:rPr>
          <w:rFonts w:hint="eastAsia" w:ascii="仿宋" w:hAnsi="仿宋" w:eastAsia="仿宋" w:cs="仿宋"/>
          <w:color w:val="auto"/>
          <w:szCs w:val="21"/>
          <w:highlight w:val="none"/>
        </w:rPr>
      </w:pPr>
    </w:p>
    <w:p w14:paraId="7CACE3B5">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0FA88EA4">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 xml:space="preserve">                                                                                 </w:t>
      </w:r>
    </w:p>
    <w:p w14:paraId="5074F508">
      <w:pPr>
        <w:pStyle w:val="6"/>
        <w:snapToGrid w:val="0"/>
        <w:spacing w:line="340" w:lineRule="exact"/>
        <w:rPr>
          <w:rFonts w:hint="eastAsia" w:ascii="仿宋" w:hAnsi="仿宋" w:eastAsia="仿宋" w:cs="仿宋"/>
          <w:b/>
          <w:color w:val="auto"/>
          <w:szCs w:val="21"/>
          <w:highlight w:val="none"/>
        </w:rPr>
      </w:pPr>
    </w:p>
    <w:p w14:paraId="31E90A60">
      <w:pPr>
        <w:pStyle w:val="6"/>
        <w:snapToGrid w:val="0"/>
        <w:spacing w:line="3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543FCFE1">
      <w:pPr>
        <w:pStyle w:val="6"/>
        <w:spacing w:line="340" w:lineRule="exact"/>
        <w:ind w:left="25" w:leftChars="12" w:firstLine="310" w:firstLineChars="147"/>
        <w:rPr>
          <w:rFonts w:hint="eastAsia" w:ascii="仿宋" w:hAnsi="仿宋" w:eastAsia="仿宋" w:cs="仿宋"/>
          <w:b/>
          <w:bCs/>
          <w:color w:val="auto"/>
          <w:highlight w:val="none"/>
        </w:rPr>
      </w:pPr>
      <w:r>
        <w:rPr>
          <w:rFonts w:hint="eastAsia" w:ascii="仿宋" w:hAnsi="仿宋" w:eastAsia="仿宋" w:cs="仿宋"/>
          <w:b/>
          <w:color w:val="auto"/>
          <w:szCs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highlight w:val="none"/>
        </w:rPr>
        <w:t>。</w:t>
      </w:r>
    </w:p>
    <w:p w14:paraId="2F16BDC3">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7A9F35">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3.投诉书应简要列明质疑事项，质疑函、质疑答复等作为附件材料提供。</w:t>
      </w:r>
    </w:p>
    <w:p w14:paraId="793A8506">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4.如本项目划分分标的，应注明所投诉的分标。投诉书的投诉事项应具体、明确，并有必要的事实依据和法律依据。</w:t>
      </w:r>
    </w:p>
    <w:p w14:paraId="550E300A">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5.投诉书的投诉请求应与投诉事项相关。</w:t>
      </w:r>
    </w:p>
    <w:p w14:paraId="1C55C906">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6.投诉人为自然人的，投诉书应由本人签字；投诉人为法人或者其他组织的，投诉书应由法定代表人、主要负责人，或者其授权代表签字或者盖章，并加盖公章。</w:t>
      </w:r>
    </w:p>
    <w:p w14:paraId="220DB968">
      <w:pPr>
        <w:pStyle w:val="6"/>
        <w:spacing w:line="340" w:lineRule="exact"/>
        <w:ind w:left="25" w:leftChars="12" w:firstLine="310" w:firstLineChars="147"/>
        <w:rPr>
          <w:rFonts w:hint="eastAsia" w:ascii="仿宋" w:hAnsi="仿宋" w:eastAsia="仿宋" w:cs="仿宋"/>
          <w:b/>
          <w:color w:val="auto"/>
          <w:szCs w:val="21"/>
          <w:highlight w:val="none"/>
        </w:rPr>
      </w:pPr>
    </w:p>
    <w:p w14:paraId="038E968A">
      <w:pPr>
        <w:spacing w:line="380" w:lineRule="exact"/>
        <w:jc w:val="center"/>
        <w:rPr>
          <w:rFonts w:hint="eastAsia" w:ascii="仿宋" w:hAnsi="仿宋" w:eastAsia="仿宋" w:cs="仿宋"/>
          <w:b/>
          <w:color w:val="auto"/>
          <w:sz w:val="32"/>
          <w:szCs w:val="32"/>
          <w:highlight w:val="none"/>
        </w:rPr>
      </w:pPr>
    </w:p>
    <w:p w14:paraId="1031D1C0">
      <w:pPr>
        <w:spacing w:line="380" w:lineRule="exact"/>
        <w:jc w:val="center"/>
        <w:rPr>
          <w:rFonts w:hint="eastAsia" w:ascii="仿宋" w:hAnsi="仿宋" w:eastAsia="仿宋" w:cs="仿宋"/>
          <w:b/>
          <w:color w:val="auto"/>
          <w:sz w:val="32"/>
          <w:szCs w:val="32"/>
          <w:highlight w:val="none"/>
        </w:rPr>
      </w:pPr>
    </w:p>
    <w:p w14:paraId="62486D44">
      <w:pPr>
        <w:spacing w:line="380" w:lineRule="exact"/>
        <w:jc w:val="center"/>
        <w:rPr>
          <w:rFonts w:hint="eastAsia" w:ascii="仿宋" w:hAnsi="仿宋" w:eastAsia="仿宋" w:cs="仿宋"/>
          <w:b/>
          <w:color w:val="auto"/>
          <w:sz w:val="32"/>
          <w:szCs w:val="32"/>
          <w:highlight w:val="none"/>
        </w:rPr>
      </w:pPr>
    </w:p>
    <w:p w14:paraId="0F94C497">
      <w:pPr>
        <w:spacing w:line="380" w:lineRule="exact"/>
        <w:jc w:val="center"/>
        <w:rPr>
          <w:rFonts w:hint="eastAsia" w:ascii="仿宋" w:hAnsi="仿宋" w:eastAsia="仿宋" w:cs="仿宋"/>
          <w:b/>
          <w:color w:val="auto"/>
          <w:sz w:val="32"/>
          <w:szCs w:val="32"/>
          <w:highlight w:val="none"/>
        </w:rPr>
      </w:pPr>
    </w:p>
    <w:p w14:paraId="59468422">
      <w:pPr>
        <w:spacing w:line="380" w:lineRule="exact"/>
        <w:jc w:val="center"/>
        <w:rPr>
          <w:rFonts w:hint="eastAsia" w:ascii="仿宋" w:hAnsi="仿宋" w:eastAsia="仿宋" w:cs="仿宋"/>
          <w:b/>
          <w:color w:val="auto"/>
          <w:sz w:val="32"/>
          <w:szCs w:val="32"/>
          <w:highlight w:val="none"/>
        </w:rPr>
      </w:pPr>
    </w:p>
    <w:p w14:paraId="0147FDCC">
      <w:pPr>
        <w:spacing w:line="380" w:lineRule="exact"/>
        <w:jc w:val="center"/>
        <w:rPr>
          <w:rFonts w:hint="eastAsia" w:ascii="仿宋" w:hAnsi="仿宋" w:eastAsia="仿宋" w:cs="仿宋"/>
          <w:b/>
          <w:color w:val="auto"/>
          <w:sz w:val="32"/>
          <w:szCs w:val="32"/>
          <w:highlight w:val="none"/>
        </w:rPr>
      </w:pPr>
    </w:p>
    <w:p w14:paraId="41E02EBC">
      <w:pPr>
        <w:spacing w:line="380" w:lineRule="exact"/>
        <w:jc w:val="center"/>
        <w:rPr>
          <w:rFonts w:hint="eastAsia" w:ascii="仿宋" w:hAnsi="仿宋" w:eastAsia="仿宋" w:cs="仿宋"/>
          <w:b/>
          <w:color w:val="auto"/>
          <w:sz w:val="32"/>
          <w:szCs w:val="32"/>
          <w:highlight w:val="none"/>
        </w:rPr>
      </w:pPr>
    </w:p>
    <w:p w14:paraId="506DC1E8">
      <w:pPr>
        <w:spacing w:line="380" w:lineRule="exact"/>
        <w:jc w:val="center"/>
        <w:rPr>
          <w:rFonts w:hint="eastAsia" w:ascii="仿宋" w:hAnsi="仿宋" w:eastAsia="仿宋" w:cs="仿宋"/>
          <w:b/>
          <w:color w:val="auto"/>
          <w:sz w:val="32"/>
          <w:szCs w:val="32"/>
          <w:highlight w:val="none"/>
        </w:rPr>
      </w:pPr>
    </w:p>
    <w:p w14:paraId="1DB4BDE5">
      <w:pPr>
        <w:spacing w:line="380" w:lineRule="exact"/>
        <w:jc w:val="center"/>
        <w:rPr>
          <w:rFonts w:hint="eastAsia" w:ascii="仿宋" w:hAnsi="仿宋" w:eastAsia="仿宋" w:cs="仿宋"/>
          <w:b/>
          <w:color w:val="auto"/>
          <w:sz w:val="32"/>
          <w:szCs w:val="32"/>
          <w:highlight w:val="none"/>
        </w:rPr>
      </w:pPr>
    </w:p>
    <w:p w14:paraId="39E5C126">
      <w:pPr>
        <w:spacing w:line="380" w:lineRule="exact"/>
        <w:jc w:val="center"/>
        <w:rPr>
          <w:rFonts w:hint="eastAsia" w:ascii="仿宋" w:hAnsi="仿宋" w:eastAsia="仿宋" w:cs="仿宋"/>
          <w:b/>
          <w:color w:val="auto"/>
          <w:sz w:val="32"/>
          <w:szCs w:val="32"/>
          <w:highlight w:val="none"/>
        </w:rPr>
      </w:pPr>
    </w:p>
    <w:p w14:paraId="3E2FA92B">
      <w:pPr>
        <w:spacing w:line="380" w:lineRule="exact"/>
        <w:jc w:val="center"/>
        <w:rPr>
          <w:rFonts w:hint="eastAsia" w:ascii="仿宋" w:hAnsi="仿宋" w:eastAsia="仿宋" w:cs="仿宋"/>
          <w:b/>
          <w:color w:val="auto"/>
          <w:sz w:val="32"/>
          <w:szCs w:val="32"/>
          <w:highlight w:val="none"/>
        </w:rPr>
      </w:pPr>
    </w:p>
    <w:p w14:paraId="4579B2B5">
      <w:pPr>
        <w:spacing w:line="380" w:lineRule="exact"/>
        <w:jc w:val="center"/>
        <w:rPr>
          <w:rFonts w:hint="eastAsia" w:ascii="仿宋" w:hAnsi="仿宋" w:eastAsia="仿宋" w:cs="仿宋"/>
          <w:b/>
          <w:color w:val="auto"/>
          <w:sz w:val="32"/>
          <w:szCs w:val="32"/>
          <w:highlight w:val="none"/>
        </w:rPr>
      </w:pPr>
    </w:p>
    <w:p w14:paraId="68C9ACA8">
      <w:pPr>
        <w:spacing w:line="380" w:lineRule="exact"/>
        <w:jc w:val="center"/>
        <w:rPr>
          <w:rFonts w:hint="eastAsia" w:ascii="仿宋" w:hAnsi="仿宋" w:eastAsia="仿宋" w:cs="仿宋"/>
          <w:b/>
          <w:color w:val="auto"/>
          <w:sz w:val="32"/>
          <w:szCs w:val="32"/>
          <w:highlight w:val="none"/>
        </w:rPr>
      </w:pPr>
    </w:p>
    <w:p w14:paraId="1BF1A03F">
      <w:pPr>
        <w:spacing w:line="380" w:lineRule="exact"/>
        <w:jc w:val="center"/>
        <w:rPr>
          <w:rFonts w:hint="eastAsia" w:ascii="仿宋" w:hAnsi="仿宋" w:eastAsia="仿宋" w:cs="仿宋"/>
          <w:b/>
          <w:color w:val="auto"/>
          <w:sz w:val="32"/>
          <w:szCs w:val="32"/>
          <w:highlight w:val="none"/>
        </w:rPr>
      </w:pPr>
    </w:p>
    <w:p w14:paraId="1F9D43FD">
      <w:pPr>
        <w:spacing w:line="380" w:lineRule="exact"/>
        <w:jc w:val="center"/>
        <w:rPr>
          <w:rFonts w:hint="eastAsia" w:ascii="仿宋" w:hAnsi="仿宋" w:eastAsia="仿宋" w:cs="仿宋"/>
          <w:b/>
          <w:color w:val="auto"/>
          <w:sz w:val="32"/>
          <w:szCs w:val="32"/>
          <w:highlight w:val="none"/>
        </w:rPr>
      </w:pPr>
    </w:p>
    <w:p w14:paraId="6F46161A">
      <w:pPr>
        <w:pStyle w:val="6"/>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szCs w:val="24"/>
          <w:highlight w:val="none"/>
        </w:rPr>
        <w:t>附表3：</w:t>
      </w:r>
    </w:p>
    <w:p w14:paraId="6ECAD170">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政府采购项目合同验收书（格式）</w:t>
      </w:r>
    </w:p>
    <w:p w14:paraId="75D1A866">
      <w:pPr>
        <w:widowControl/>
        <w:spacing w:line="600" w:lineRule="atLeast"/>
        <w:jc w:val="center"/>
        <w:rPr>
          <w:rFonts w:hint="eastAsia" w:ascii="仿宋" w:hAnsi="仿宋" w:eastAsia="仿宋" w:cs="仿宋"/>
          <w:color w:val="auto"/>
          <w:kern w:val="0"/>
          <w:sz w:val="36"/>
          <w:szCs w:val="36"/>
          <w:highlight w:val="none"/>
        </w:rPr>
      </w:pPr>
    </w:p>
    <w:p w14:paraId="073654DB">
      <w:pPr>
        <w:widowControl/>
        <w:spacing w:line="460" w:lineRule="exact"/>
        <w:ind w:firstLine="482"/>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项目名称   </w:t>
      </w:r>
      <w:r>
        <w:rPr>
          <w:rFonts w:hint="eastAsia" w:ascii="仿宋" w:hAnsi="仿宋" w:eastAsia="仿宋" w:cs="仿宋"/>
          <w:color w:val="auto"/>
          <w:kern w:val="0"/>
          <w:sz w:val="24"/>
          <w:highlight w:val="none"/>
        </w:rPr>
        <w:t>）政府采购项目中标（或成交）供应商（</w:t>
      </w:r>
      <w:r>
        <w:rPr>
          <w:rFonts w:hint="eastAsia" w:ascii="仿宋" w:hAnsi="仿宋" w:eastAsia="仿宋" w:cs="仿宋"/>
          <w:color w:val="auto"/>
          <w:kern w:val="0"/>
          <w:sz w:val="24"/>
          <w:highlight w:val="none"/>
          <w:u w:val="single"/>
        </w:rPr>
        <w:t>      公司名称         </w:t>
      </w:r>
      <w:r>
        <w:rPr>
          <w:rFonts w:hint="eastAsia" w:ascii="仿宋" w:hAnsi="仿宋" w:eastAsia="仿宋" w:cs="仿宋"/>
          <w:color w:val="auto"/>
          <w:kern w:val="0"/>
          <w:sz w:val="24"/>
          <w:highlight w:val="none"/>
        </w:rPr>
        <w:t>） 提供的货物（或工程、服务）进行了验收，验收情况如下：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07B3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vAlign w:val="center"/>
          </w:tcPr>
          <w:p w14:paraId="4A621C84">
            <w:pPr>
              <w:widowControl/>
              <w:spacing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vAlign w:val="center"/>
          </w:tcPr>
          <w:p w14:paraId="30ECCE51">
            <w:pPr>
              <w:widowControl/>
              <w:spacing w:line="320" w:lineRule="atLeast"/>
              <w:ind w:firstLine="480"/>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□自行验收        □委托验收</w:t>
            </w:r>
          </w:p>
        </w:tc>
      </w:tr>
      <w:tr w14:paraId="4BB8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1912E57F">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vAlign w:val="center"/>
          </w:tcPr>
          <w:p w14:paraId="04FB09FD">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vAlign w:val="center"/>
          </w:tcPr>
          <w:p w14:paraId="2DBAE203">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货物型号规格、标准及配置等</w:t>
            </w:r>
          </w:p>
          <w:p w14:paraId="757D6248">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66305226">
            <w:pPr>
              <w:widowControl/>
              <w:spacing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66CC6E85">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金 额</w:t>
            </w:r>
          </w:p>
        </w:tc>
      </w:tr>
      <w:tr w14:paraId="6EF5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09EAF021">
            <w:pPr>
              <w:widowControl/>
              <w:spacing w:line="320" w:lineRule="atLeast"/>
              <w:ind w:firstLine="5"/>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14:paraId="150AD325">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14:paraId="5B52EBE9">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17312FB3">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14:paraId="54FFA8A3">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5DC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56A6DE12">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14:paraId="5AA24C27">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14:paraId="1F50586D">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685D026C">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14:paraId="5332C53F">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6C96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0ADBBCA0">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14:paraId="2ADFF8DA">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14:paraId="6D5A9BE8">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481C15E2">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14:paraId="788049A7">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15AF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vAlign w:val="center"/>
          </w:tcPr>
          <w:p w14:paraId="64F6ED8D">
            <w:pPr>
              <w:widowControl/>
              <w:spacing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700416C2">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14:paraId="67E9F6D4">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0CE6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vAlign w:val="center"/>
          </w:tcPr>
          <w:p w14:paraId="75DF26F3">
            <w:pPr>
              <w:widowControl/>
              <w:spacing w:line="320" w:lineRule="atLeast"/>
              <w:ind w:firstLine="2"/>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合计大写金额：  仟   佰   拾   万   仟   佰   拾   元</w:t>
            </w:r>
          </w:p>
        </w:tc>
      </w:tr>
      <w:tr w14:paraId="6C61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77B850ED">
            <w:pPr>
              <w:widowControl/>
              <w:spacing w:line="320" w:lineRule="atLeast"/>
              <w:ind w:firstLine="2"/>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50591F9">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71BE03A7">
            <w:pPr>
              <w:widowControl/>
              <w:spacing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19F03CC">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628D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717C91E2">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2F56C6F">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C4DB65E">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3C59F809">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0184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091F8D">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0C5E21">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应按采购合同、招标文件、投标投标文件及验收方案等进行验收；并核对中标或者中标人在安装调试等方面是否违反合同约定或服务规范要求、提供的质量保证证明材料是否齐全、应有的配件及附件是否达到合同约定等。可附件)</w:t>
            </w:r>
          </w:p>
        </w:tc>
      </w:tr>
      <w:tr w14:paraId="046D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EC20CA">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vAlign w:val="center"/>
          </w:tcPr>
          <w:p w14:paraId="3DB2C871">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验收结论性意见：</w:t>
            </w:r>
          </w:p>
          <w:p w14:paraId="0EC05AF0">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14:paraId="1A5C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vAlign w:val="center"/>
          </w:tcPr>
          <w:p w14:paraId="75CA51EC">
            <w:pPr>
              <w:widowControl/>
              <w:jc w:val="left"/>
              <w:rPr>
                <w:rFonts w:hint="eastAsia" w:ascii="仿宋" w:hAnsi="仿宋" w:eastAsia="仿宋" w:cs="仿宋"/>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vAlign w:val="center"/>
          </w:tcPr>
          <w:p w14:paraId="6DB5C4A4">
            <w:pPr>
              <w:widowControl/>
              <w:spacing w:line="320" w:lineRule="atLeast"/>
              <w:ind w:firstLine="96"/>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有异议的意见和说明理由：</w:t>
            </w:r>
          </w:p>
          <w:p w14:paraId="7145B5CC">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签字：</w:t>
            </w:r>
          </w:p>
        </w:tc>
      </w:tr>
      <w:tr w14:paraId="7134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54AB17">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验收小组成员签字：</w:t>
            </w:r>
          </w:p>
        </w:tc>
      </w:tr>
      <w:tr w14:paraId="0473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76B284">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监督人员或其他相关人员签字：</w:t>
            </w:r>
          </w:p>
          <w:p w14:paraId="35AB3743">
            <w:pPr>
              <w:widowControl/>
              <w:spacing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或受邀机构的意见（盖章）：</w:t>
            </w:r>
          </w:p>
        </w:tc>
      </w:tr>
      <w:tr w14:paraId="5BF0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5F9837">
            <w:pPr>
              <w:widowControl/>
              <w:spacing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中标或者中标人负责人签字或盖章：</w:t>
            </w:r>
          </w:p>
          <w:p w14:paraId="2A5F7702">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2B65597A">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采购人或受托机构的意见（盖章）：</w:t>
            </w:r>
          </w:p>
          <w:p w14:paraId="6A265750">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联系电话：                 年    月    日</w:t>
            </w:r>
          </w:p>
        </w:tc>
      </w:tr>
    </w:tbl>
    <w:p w14:paraId="35B29589">
      <w:pPr>
        <w:snapToGrid w:val="0"/>
        <w:spacing w:line="340" w:lineRule="exact"/>
        <w:rPr>
          <w:rFonts w:hint="eastAsia" w:ascii="仿宋" w:hAnsi="仿宋" w:eastAsia="仿宋" w:cs="仿宋"/>
          <w:b/>
          <w:color w:val="auto"/>
          <w:highlight w:val="none"/>
        </w:rPr>
      </w:pPr>
    </w:p>
    <w:p w14:paraId="1F1F713A">
      <w:pPr>
        <w:snapToGrid w:val="0"/>
        <w:spacing w:line="340" w:lineRule="exact"/>
        <w:rPr>
          <w:rFonts w:hint="eastAsia" w:ascii="仿宋" w:hAnsi="仿宋" w:eastAsia="仿宋" w:cs="仿宋"/>
          <w:b/>
          <w:color w:val="auto"/>
          <w:highlight w:val="none"/>
        </w:rPr>
      </w:pPr>
    </w:p>
    <w:p w14:paraId="14478A5A">
      <w:pPr>
        <w:snapToGrid w:val="0"/>
        <w:spacing w:line="340" w:lineRule="exact"/>
        <w:rPr>
          <w:rFonts w:hint="eastAsia" w:ascii="仿宋" w:hAnsi="仿宋" w:eastAsia="仿宋" w:cs="仿宋"/>
          <w:b/>
          <w:color w:val="auto"/>
          <w:highlight w:val="none"/>
        </w:rPr>
      </w:pPr>
    </w:p>
    <w:p w14:paraId="17934EBA">
      <w:pPr>
        <w:snapToGrid w:val="0"/>
        <w:spacing w:line="340" w:lineRule="exact"/>
        <w:rPr>
          <w:rFonts w:hint="eastAsia" w:ascii="仿宋" w:hAnsi="仿宋" w:eastAsia="仿宋" w:cs="仿宋"/>
          <w:b/>
          <w:color w:val="auto"/>
          <w:highlight w:val="none"/>
        </w:rPr>
      </w:pPr>
    </w:p>
    <w:p w14:paraId="093FF99C">
      <w:pPr>
        <w:pStyle w:val="6"/>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Cs w:val="24"/>
          <w:highlight w:val="none"/>
        </w:rPr>
        <w:br w:type="page"/>
      </w:r>
      <w:r>
        <w:rPr>
          <w:rFonts w:hint="eastAsia" w:ascii="仿宋" w:hAnsi="仿宋" w:eastAsia="仿宋" w:cs="仿宋"/>
          <w:b/>
          <w:color w:val="auto"/>
          <w:sz w:val="24"/>
          <w:szCs w:val="24"/>
          <w:highlight w:val="none"/>
        </w:rPr>
        <w:t>附表4：</w:t>
      </w:r>
    </w:p>
    <w:p w14:paraId="7657867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drawing>
          <wp:inline distT="0" distB="0" distL="114300" distR="114300">
            <wp:extent cx="5928360" cy="5829300"/>
            <wp:effectExtent l="0" t="0" r="152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28360" cy="5829300"/>
                    </a:xfrm>
                    <a:prstGeom prst="rect">
                      <a:avLst/>
                    </a:prstGeom>
                    <a:noFill/>
                    <a:ln>
                      <a:noFill/>
                    </a:ln>
                  </pic:spPr>
                </pic:pic>
              </a:graphicData>
            </a:graphic>
          </wp:inline>
        </w:drawing>
      </w:r>
    </w:p>
    <w:p w14:paraId="16CDCD23">
      <w:pPr>
        <w:spacing w:line="360" w:lineRule="exact"/>
        <w:ind w:firstLine="480"/>
        <w:jc w:val="center"/>
        <w:rPr>
          <w:rFonts w:hint="eastAsia" w:ascii="仿宋" w:hAnsi="仿宋" w:eastAsia="仿宋" w:cs="仿宋"/>
          <w:b/>
          <w:color w:val="auto"/>
          <w:sz w:val="32"/>
          <w:szCs w:val="32"/>
          <w:highlight w:val="none"/>
        </w:rPr>
      </w:pPr>
    </w:p>
    <w:p w14:paraId="704365CB">
      <w:pPr>
        <w:spacing w:line="360" w:lineRule="exact"/>
        <w:ind w:firstLine="643"/>
        <w:jc w:val="center"/>
        <w:rPr>
          <w:rFonts w:hint="eastAsia" w:ascii="仿宋" w:hAnsi="仿宋" w:eastAsia="仿宋" w:cs="仿宋"/>
          <w:b/>
          <w:color w:val="auto"/>
          <w:sz w:val="32"/>
          <w:szCs w:val="32"/>
          <w:highlight w:val="none"/>
        </w:rPr>
      </w:pPr>
    </w:p>
    <w:p w14:paraId="64A511C8">
      <w:pPr>
        <w:spacing w:line="360" w:lineRule="exact"/>
        <w:ind w:firstLine="643"/>
        <w:jc w:val="center"/>
        <w:rPr>
          <w:rFonts w:hint="eastAsia" w:ascii="仿宋" w:hAnsi="仿宋" w:eastAsia="仿宋" w:cs="仿宋"/>
          <w:b/>
          <w:color w:val="auto"/>
          <w:sz w:val="32"/>
          <w:szCs w:val="32"/>
          <w:highlight w:val="none"/>
        </w:rPr>
      </w:pPr>
    </w:p>
    <w:p w14:paraId="2BA81B5F">
      <w:pPr>
        <w:spacing w:line="360" w:lineRule="exact"/>
        <w:ind w:firstLine="643"/>
        <w:jc w:val="center"/>
        <w:rPr>
          <w:rFonts w:hint="eastAsia" w:ascii="仿宋" w:hAnsi="仿宋" w:eastAsia="仿宋" w:cs="仿宋"/>
          <w:b/>
          <w:color w:val="auto"/>
          <w:sz w:val="32"/>
          <w:szCs w:val="32"/>
          <w:highlight w:val="none"/>
        </w:rPr>
      </w:pPr>
    </w:p>
    <w:p w14:paraId="6B2ECCB2">
      <w:pPr>
        <w:spacing w:line="360" w:lineRule="exact"/>
        <w:ind w:firstLine="643"/>
        <w:jc w:val="center"/>
        <w:rPr>
          <w:rFonts w:hint="eastAsia" w:ascii="仿宋" w:hAnsi="仿宋" w:eastAsia="仿宋" w:cs="仿宋"/>
          <w:b/>
          <w:color w:val="auto"/>
          <w:sz w:val="32"/>
          <w:szCs w:val="32"/>
          <w:highlight w:val="none"/>
        </w:rPr>
      </w:pPr>
    </w:p>
    <w:p w14:paraId="7D6FC9E9">
      <w:pPr>
        <w:spacing w:line="360" w:lineRule="exact"/>
        <w:ind w:firstLine="643"/>
        <w:jc w:val="center"/>
        <w:rPr>
          <w:rFonts w:hint="eastAsia" w:ascii="仿宋" w:hAnsi="仿宋" w:eastAsia="仿宋" w:cs="仿宋"/>
          <w:b/>
          <w:color w:val="auto"/>
          <w:sz w:val="32"/>
          <w:szCs w:val="32"/>
          <w:highlight w:val="none"/>
        </w:rPr>
      </w:pPr>
    </w:p>
    <w:p w14:paraId="44A1FC96">
      <w:pPr>
        <w:spacing w:line="360" w:lineRule="exact"/>
        <w:ind w:firstLine="643"/>
        <w:jc w:val="center"/>
        <w:rPr>
          <w:rFonts w:hint="eastAsia" w:ascii="仿宋" w:hAnsi="仿宋" w:eastAsia="仿宋" w:cs="仿宋"/>
          <w:b/>
          <w:color w:val="auto"/>
          <w:sz w:val="32"/>
          <w:szCs w:val="32"/>
          <w:highlight w:val="none"/>
        </w:rPr>
      </w:pPr>
    </w:p>
    <w:p w14:paraId="1563D399">
      <w:pPr>
        <w:spacing w:line="360" w:lineRule="exact"/>
        <w:ind w:firstLine="643"/>
        <w:jc w:val="center"/>
        <w:rPr>
          <w:rFonts w:hint="eastAsia" w:ascii="仿宋" w:hAnsi="仿宋" w:eastAsia="仿宋" w:cs="仿宋"/>
          <w:b/>
          <w:color w:val="auto"/>
          <w:sz w:val="32"/>
          <w:szCs w:val="32"/>
          <w:highlight w:val="none"/>
        </w:rPr>
      </w:pPr>
    </w:p>
    <w:p w14:paraId="31B9448A">
      <w:pPr>
        <w:spacing w:line="360" w:lineRule="exact"/>
        <w:ind w:firstLine="643"/>
        <w:jc w:val="center"/>
        <w:rPr>
          <w:rFonts w:hint="eastAsia" w:ascii="仿宋" w:hAnsi="仿宋" w:eastAsia="仿宋" w:cs="仿宋"/>
          <w:b/>
          <w:color w:val="auto"/>
          <w:sz w:val="32"/>
          <w:szCs w:val="32"/>
          <w:highlight w:val="none"/>
        </w:rPr>
      </w:pPr>
    </w:p>
    <w:p w14:paraId="2B871F33">
      <w:pPr>
        <w:pStyle w:val="2"/>
        <w:jc w:val="center"/>
        <w:rPr>
          <w:rFonts w:hint="eastAsia" w:ascii="仿宋" w:hAnsi="仿宋" w:eastAsia="仿宋" w:cs="仿宋"/>
          <w:color w:val="auto"/>
          <w:highlight w:val="none"/>
        </w:rPr>
      </w:pPr>
      <w:bookmarkStart w:id="11" w:name="_Toc146525430"/>
      <w:bookmarkStart w:id="12" w:name="_Toc153888699"/>
      <w:r>
        <w:rPr>
          <w:rFonts w:hint="eastAsia" w:ascii="仿宋" w:hAnsi="仿宋" w:eastAsia="仿宋" w:cs="仿宋"/>
          <w:color w:val="auto"/>
          <w:highlight w:val="none"/>
        </w:rPr>
        <w:br w:type="page"/>
      </w:r>
      <w:r>
        <w:rPr>
          <w:rFonts w:hint="eastAsia" w:ascii="仿宋" w:hAnsi="仿宋" w:eastAsia="仿宋" w:cs="仿宋"/>
          <w:color w:val="auto"/>
          <w:highlight w:val="none"/>
        </w:rPr>
        <w:t>第三章　采购需求</w:t>
      </w:r>
      <w:bookmarkEnd w:id="11"/>
      <w:bookmarkEnd w:id="12"/>
    </w:p>
    <w:p w14:paraId="79C4C2C9">
      <w:pPr>
        <w:adjustRightInd w:val="0"/>
        <w:spacing w:line="360" w:lineRule="exact"/>
        <w:rPr>
          <w:rFonts w:hint="eastAsia" w:ascii="仿宋" w:hAnsi="仿宋" w:eastAsia="仿宋" w:cs="仿宋"/>
          <w:b/>
          <w:bCs/>
          <w:color w:val="auto"/>
          <w:szCs w:val="21"/>
          <w:highlight w:val="none"/>
        </w:rPr>
      </w:pPr>
      <w:bookmarkStart w:id="13" w:name="OLE_LINK36"/>
      <w:bookmarkStart w:id="14" w:name="_Toc146525431"/>
      <w:r>
        <w:rPr>
          <w:rFonts w:hint="eastAsia" w:ascii="仿宋" w:hAnsi="仿宋" w:eastAsia="仿宋" w:cs="仿宋"/>
          <w:b/>
          <w:bCs/>
          <w:color w:val="auto"/>
          <w:szCs w:val="21"/>
          <w:highlight w:val="none"/>
        </w:rPr>
        <w:t>Ⅰ.说明：</w:t>
      </w:r>
    </w:p>
    <w:p w14:paraId="0C71A25E">
      <w:pPr>
        <w:adjustRightInd w:val="0"/>
        <w:spacing w:line="35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一、本项目所要执行的政府采购政策：</w:t>
      </w:r>
    </w:p>
    <w:p w14:paraId="7E6EA1AC">
      <w:pPr>
        <w:spacing w:line="35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根据《政府采购促进中小企业发展管理办法》（财库[2020]46号）、《广西壮族自治区财政厅关于进一步发挥政府采购政策功能促进企业发展的通知》（桂财采〔2022〕30号）的规定，投标人提供的货物全部由符合政策要求的小型、微型企业制造，投标文件中提供符合要求的《中小企业声明函》的，投标人的投标报价给予20%的扣除。本项目非专门面向中小企业采购。</w:t>
      </w:r>
    </w:p>
    <w:p w14:paraId="753D4628">
      <w:pPr>
        <w:spacing w:line="35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（二）根据财政部、司法部关于政府采购支持监狱企业发展有关问题的通知（财库[2014]68号），监狱企业视同小型、微型企业，</w:t>
      </w:r>
      <w:r>
        <w:rPr>
          <w:rFonts w:hint="eastAsia" w:ascii="仿宋" w:hAnsi="仿宋" w:eastAsia="仿宋" w:cs="仿宋"/>
          <w:bCs/>
          <w:color w:val="auto"/>
          <w:szCs w:val="21"/>
          <w:highlight w:val="none"/>
        </w:rPr>
        <w:t>享受预留份额、评审中价格扣除等政府采购政策。</w:t>
      </w:r>
      <w:r>
        <w:rPr>
          <w:rFonts w:hint="eastAsia" w:ascii="仿宋" w:hAnsi="仿宋" w:eastAsia="仿宋" w:cs="仿宋"/>
          <w:color w:val="auto"/>
          <w:szCs w:val="21"/>
          <w:highlight w:val="none"/>
        </w:rPr>
        <w:t>监狱企业</w:t>
      </w:r>
      <w:r>
        <w:rPr>
          <w:rFonts w:hint="eastAsia" w:ascii="仿宋" w:hAnsi="仿宋" w:eastAsia="仿宋" w:cs="仿宋"/>
          <w:bCs/>
          <w:color w:val="auto"/>
          <w:szCs w:val="21"/>
          <w:highlight w:val="none"/>
        </w:rPr>
        <w:t>属于小型、微型企业的，不重复享受政策。</w:t>
      </w:r>
    </w:p>
    <w:p w14:paraId="4AB96457">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（三）按照</w:t>
      </w:r>
      <w:r>
        <w:rPr>
          <w:rFonts w:hint="eastAsia" w:ascii="仿宋" w:hAnsi="仿宋" w:eastAsia="仿宋" w:cs="仿宋"/>
          <w:bCs/>
          <w:color w:val="auto"/>
          <w:szCs w:val="21"/>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454B4887">
      <w:pPr>
        <w:pStyle w:val="4"/>
        <w:spacing w:line="350" w:lineRule="exact"/>
        <w:rPr>
          <w:rFonts w:hint="eastAsia" w:ascii="仿宋" w:hAnsi="仿宋" w:eastAsia="仿宋" w:cs="仿宋"/>
          <w:b/>
          <w:color w:val="auto"/>
          <w:kern w:val="0"/>
          <w:szCs w:val="21"/>
          <w:highlight w:val="none"/>
        </w:rPr>
      </w:pPr>
      <w:r>
        <w:rPr>
          <w:rFonts w:hint="eastAsia" w:ascii="仿宋" w:hAnsi="仿宋" w:eastAsia="仿宋" w:cs="仿宋"/>
          <w:b/>
          <w:bCs/>
          <w:color w:val="auto"/>
          <w:szCs w:val="21"/>
          <w:highlight w:val="none"/>
        </w:rPr>
        <w:t xml:space="preserve">    （四）根据财库〔2019〕9号及财库〔2019〕19号文件规定，台式计算机，便携式计算机、平板式微型计算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本项目不涉及政府强制采购节能产品。</w:t>
      </w:r>
    </w:p>
    <w:p w14:paraId="742A4499">
      <w:pPr>
        <w:adjustRightInd w:val="0"/>
        <w:spacing w:line="350" w:lineRule="exact"/>
        <w:ind w:firstLine="431"/>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（五）优先采购环境标志产品、节能产品。</w:t>
      </w:r>
    </w:p>
    <w:p w14:paraId="14968E75">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EE3CF21">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三、投标人必须自行为其投标产品侵犯他人的知识产权或者专利成果或其他合法权益的行为承担相应法律责任。</w:t>
      </w:r>
    </w:p>
    <w:p w14:paraId="348E20C5">
      <w:pPr>
        <w:pStyle w:val="5"/>
        <w:ind w:firstLine="422"/>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Ⅱ.</w:t>
      </w:r>
      <w:r>
        <w:rPr>
          <w:rFonts w:hint="eastAsia" w:ascii="仿宋" w:hAnsi="仿宋" w:eastAsia="仿宋" w:cs="仿宋"/>
          <w:b/>
          <w:bCs/>
          <w:color w:val="auto"/>
          <w:sz w:val="21"/>
          <w:szCs w:val="21"/>
          <w:highlight w:val="none"/>
        </w:rPr>
        <w:t>采购需求</w:t>
      </w:r>
      <w:bookmarkEnd w:id="13"/>
    </w:p>
    <w:tbl>
      <w:tblPr>
        <w:tblStyle w:val="11"/>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80"/>
        <w:gridCol w:w="838"/>
        <w:gridCol w:w="4891"/>
        <w:gridCol w:w="560"/>
        <w:gridCol w:w="743"/>
        <w:gridCol w:w="1300"/>
      </w:tblGrid>
      <w:tr w14:paraId="5539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14:paraId="4B8C021A">
            <w:pPr>
              <w:adjustRightInd w:val="0"/>
              <w:snapToGrid w:val="0"/>
              <w:spacing w:line="460" w:lineRule="exact"/>
              <w:rPr>
                <w:rFonts w:hint="eastAsia" w:ascii="仿宋" w:hAnsi="仿宋" w:eastAsia="仿宋" w:cs="仿宋"/>
                <w:b/>
                <w:color w:val="auto"/>
                <w:szCs w:val="21"/>
                <w:highlight w:val="none"/>
              </w:rPr>
            </w:pPr>
            <w:bookmarkStart w:id="15" w:name="OLE_LINK35"/>
            <w:r>
              <w:rPr>
                <w:rFonts w:hint="eastAsia" w:ascii="仿宋" w:hAnsi="仿宋" w:eastAsia="仿宋" w:cs="仿宋"/>
                <w:b/>
                <w:color w:val="auto"/>
                <w:szCs w:val="21"/>
                <w:highlight w:val="none"/>
              </w:rPr>
              <w:t>一、采购内容及技术要求</w:t>
            </w:r>
          </w:p>
        </w:tc>
      </w:tr>
      <w:tr w14:paraId="4AB8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1ACEC199">
            <w:pPr>
              <w:adjustRightInd w:val="0"/>
              <w:snapToGrid w:val="0"/>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项号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100F3E3">
            <w:pPr>
              <w:widowControl/>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标的名称</w:t>
            </w:r>
          </w:p>
        </w:tc>
        <w:tc>
          <w:tcPr>
            <w:tcW w:w="4891" w:type="dxa"/>
            <w:tcBorders>
              <w:top w:val="single" w:color="auto" w:sz="4" w:space="0"/>
              <w:left w:val="single" w:color="auto" w:sz="4" w:space="0"/>
              <w:bottom w:val="single" w:color="auto" w:sz="4" w:space="0"/>
              <w:right w:val="single" w:color="auto" w:sz="4" w:space="0"/>
            </w:tcBorders>
            <w:vAlign w:val="center"/>
          </w:tcPr>
          <w:p w14:paraId="4C9930EB">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技术要求</w:t>
            </w:r>
          </w:p>
        </w:tc>
        <w:tc>
          <w:tcPr>
            <w:tcW w:w="560" w:type="dxa"/>
            <w:tcBorders>
              <w:top w:val="single" w:color="auto" w:sz="4" w:space="0"/>
              <w:left w:val="single" w:color="auto" w:sz="4" w:space="0"/>
              <w:bottom w:val="single" w:color="auto" w:sz="4" w:space="0"/>
              <w:right w:val="single" w:color="auto" w:sz="4" w:space="0"/>
            </w:tcBorders>
            <w:vAlign w:val="center"/>
          </w:tcPr>
          <w:p w14:paraId="2BF67F1D">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数量</w:t>
            </w:r>
          </w:p>
        </w:tc>
        <w:tc>
          <w:tcPr>
            <w:tcW w:w="743" w:type="dxa"/>
            <w:tcBorders>
              <w:top w:val="single" w:color="auto" w:sz="4" w:space="0"/>
              <w:left w:val="single" w:color="auto" w:sz="4" w:space="0"/>
              <w:bottom w:val="single" w:color="auto" w:sz="4" w:space="0"/>
              <w:right w:val="single" w:color="auto" w:sz="4" w:space="0"/>
            </w:tcBorders>
            <w:vAlign w:val="center"/>
          </w:tcPr>
          <w:p w14:paraId="2A7749E9">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D5B4956">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预算单价</w:t>
            </w:r>
          </w:p>
          <w:p w14:paraId="72192BFA">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r>
      <w:tr w14:paraId="1CE2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34F9EAB1">
            <w:pPr>
              <w:adjustRightInd w:val="0"/>
              <w:snapToGrid w:val="0"/>
              <w:spacing w:line="460" w:lineRule="exact"/>
              <w:jc w:val="center"/>
              <w:rPr>
                <w:rFonts w:hint="eastAsia" w:ascii="仿宋" w:hAnsi="仿宋" w:eastAsia="仿宋" w:cs="仿宋"/>
                <w:color w:val="auto"/>
                <w:szCs w:val="21"/>
                <w:highlight w:val="none"/>
              </w:rPr>
            </w:pPr>
            <w:bookmarkStart w:id="16" w:name="OLE_LINK2" w:colFirst="2" w:colLast="2"/>
            <w:r>
              <w:rPr>
                <w:rFonts w:hint="eastAsia" w:ascii="仿宋" w:hAnsi="仿宋" w:eastAsia="仿宋" w:cs="仿宋"/>
                <w:color w:val="auto"/>
                <w:szCs w:val="21"/>
                <w:highlight w:val="none"/>
              </w:rPr>
              <w:t>1</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097F0E2">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新能源汽车实训改装车</w:t>
            </w:r>
          </w:p>
        </w:tc>
        <w:tc>
          <w:tcPr>
            <w:tcW w:w="4891" w:type="dxa"/>
            <w:tcBorders>
              <w:top w:val="single" w:color="auto" w:sz="4" w:space="0"/>
              <w:left w:val="single" w:color="auto" w:sz="4" w:space="0"/>
              <w:bottom w:val="single" w:color="auto" w:sz="4" w:space="0"/>
              <w:right w:val="single" w:color="auto" w:sz="4" w:space="0"/>
            </w:tcBorders>
            <w:vAlign w:val="center"/>
          </w:tcPr>
          <w:p w14:paraId="6000C552">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产品要求</w:t>
            </w:r>
          </w:p>
          <w:p w14:paraId="189ED5FA">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能源汽车整车为（2024款车型），车辆应满足新能源汽车专业教学要求，可完成新能源汽车维护与动力蓄电池检测、新能源汽车简单故障诊断与排除等实训项目，车辆应包含低压电源系统、高压控制系统、车身电气系统，驾驶辅助系统</w:t>
            </w:r>
          </w:p>
          <w:p w14:paraId="20838814">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二、产品配置要求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级别：紧凑型车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能源类型：纯电动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快充电量百分比 ：</w:t>
            </w:r>
            <w:r>
              <w:rPr>
                <w:rFonts w:hint="eastAsia" w:ascii="宋体" w:hAnsi="宋体" w:cs="宋体"/>
                <w:color w:val="auto"/>
                <w:szCs w:val="21"/>
                <w:highlight w:val="none"/>
              </w:rPr>
              <w:t>≧</w:t>
            </w:r>
            <w:r>
              <w:rPr>
                <w:rFonts w:hint="eastAsia" w:ascii="仿宋" w:hAnsi="仿宋" w:eastAsia="仿宋" w:cs="仿宋"/>
                <w:color w:val="auto"/>
                <w:szCs w:val="21"/>
                <w:highlight w:val="none"/>
              </w:rPr>
              <w:t>80</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最大功率：</w:t>
            </w:r>
            <w:r>
              <w:rPr>
                <w:rFonts w:hint="eastAsia" w:ascii="宋体" w:hAnsi="宋体" w:cs="宋体"/>
                <w:color w:val="auto"/>
                <w:szCs w:val="21"/>
                <w:highlight w:val="none"/>
              </w:rPr>
              <w:t>≧</w:t>
            </w:r>
            <w:r>
              <w:rPr>
                <w:rFonts w:hint="eastAsia" w:ascii="仿宋" w:hAnsi="仿宋" w:eastAsia="仿宋" w:cs="仿宋"/>
                <w:color w:val="auto"/>
                <w:szCs w:val="21"/>
                <w:highlight w:val="none"/>
              </w:rPr>
              <w:t>150KW</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最大扭矩：</w:t>
            </w:r>
            <w:r>
              <w:rPr>
                <w:rFonts w:hint="eastAsia" w:ascii="宋体" w:hAnsi="宋体" w:cs="宋体"/>
                <w:color w:val="auto"/>
                <w:szCs w:val="21"/>
                <w:highlight w:val="none"/>
              </w:rPr>
              <w:t>≧</w:t>
            </w:r>
            <w:r>
              <w:rPr>
                <w:rFonts w:hint="eastAsia" w:ascii="仿宋" w:hAnsi="仿宋" w:eastAsia="仿宋" w:cs="仿宋"/>
                <w:color w:val="auto"/>
                <w:szCs w:val="21"/>
                <w:highlight w:val="none"/>
              </w:rPr>
              <w:t>310N.m</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长*宽*高：4752*1804*1503mm</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车身结构 ：4门5座三厢车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电动机类型：永磁同步电机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电池类型：定制版三元锂电池</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电池编码：VR/993310</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电池电量：</w:t>
            </w:r>
            <w:r>
              <w:rPr>
                <w:rFonts w:hint="eastAsia" w:ascii="宋体" w:hAnsi="宋体" w:cs="宋体"/>
                <w:color w:val="auto"/>
                <w:szCs w:val="21"/>
                <w:highlight w:val="none"/>
              </w:rPr>
              <w:t>≧</w:t>
            </w:r>
            <w:r>
              <w:rPr>
                <w:rFonts w:hint="eastAsia" w:ascii="仿宋" w:hAnsi="仿宋" w:eastAsia="仿宋" w:cs="仿宋"/>
                <w:color w:val="auto"/>
                <w:szCs w:val="21"/>
                <w:highlight w:val="none"/>
              </w:rPr>
              <w:t>52.8KWh</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电池额定电压：</w:t>
            </w:r>
            <w:r>
              <w:rPr>
                <w:rFonts w:hint="eastAsia" w:ascii="宋体" w:hAnsi="宋体" w:cs="宋体"/>
                <w:color w:val="auto"/>
                <w:szCs w:val="21"/>
                <w:highlight w:val="none"/>
              </w:rPr>
              <w:t>≧</w:t>
            </w:r>
            <w:r>
              <w:rPr>
                <w:rFonts w:hint="eastAsia" w:ascii="仿宋" w:hAnsi="仿宋" w:eastAsia="仿宋" w:cs="仿宋"/>
                <w:color w:val="auto"/>
                <w:szCs w:val="21"/>
                <w:highlight w:val="none"/>
              </w:rPr>
              <w:t>352V</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电池冷却方式：液冷</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变速箱类型：固定齿比变速箱。</w:t>
            </w:r>
          </w:p>
          <w:p w14:paraId="710819D7">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三、配套新能源汽车维修软件</w:t>
            </w:r>
          </w:p>
          <w:p w14:paraId="5ED43E3F">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（一）本课程软件为适用于针对纯电动汽车理论教学开发，具有界面清新、操作简便、内容明了、无需专业培训即可轻松掌握。</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附带：负责对专业课教师培训该软件的理实一体教学功能，达到教师能够独立操作的使用效果。</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（二）课程软件特点：本课程软件采用多级目录式设计开发，使用方便可快速定位所需知识点，极大的方便教师的教学。</w:t>
            </w:r>
          </w:p>
          <w:p w14:paraId="0F64DB85">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（三）课程软件内容：本课程软件内容资源丰富包含有系统教学课件、教学视频等内容，课程目录包含以下几个教学模块：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（1）概述： 本课程软件为适用于针对纯电动汽车电池管理系统理论教学开发，具有界面清新、操作简便、内容明了、无需专业培训即可轻松掌握；</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（2）课程软件特点 本课程软件采用多级目录式设计开发，使用方便可快速定位所需知识点，极大的方便教师的教学；采用图文混排技术、flash动画等不同形式展现纯电动汽车的教学内容，促使学员更容易理解吸收相关知识，达到辅助教学的目的。</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课程软件概述：教学软件通过新能源汽车概述、新能源汽车技术和产业发展趋势和现状、电动汽车概述、电动汽车动力系统、电动汽车辅助系统、电动汽车的故障诊断与维修、电动汽车的基础设施、电动汽车概述等八个章节讲述纯电动汽车的基本教学内容。</w:t>
            </w:r>
            <w:r>
              <w:rPr>
                <w:rFonts w:hint="eastAsia" w:ascii="仿宋" w:hAnsi="仿宋" w:eastAsia="仿宋" w:cs="仿宋"/>
                <w:b/>
                <w:bCs/>
                <w:color w:val="auto"/>
                <w:szCs w:val="21"/>
                <w:highlight w:val="none"/>
              </w:rPr>
              <w:t>（投标时须提供不少于3个章节的软件资源内容截图）</w:t>
            </w:r>
            <w:r>
              <w:rPr>
                <w:rFonts w:hint="eastAsia" w:ascii="仿宋" w:hAnsi="仿宋" w:eastAsia="仿宋" w:cs="仿宋"/>
                <w:b/>
                <w:bCs/>
                <w:color w:val="auto"/>
                <w:szCs w:val="21"/>
                <w:highlight w:val="none"/>
              </w:rPr>
              <w:br w:type="textWrapping"/>
            </w:r>
            <w:r>
              <w:rPr>
                <w:rFonts w:hint="eastAsia" w:ascii="仿宋" w:hAnsi="仿宋" w:eastAsia="仿宋" w:cs="仿宋"/>
                <w:color w:val="auto"/>
                <w:szCs w:val="21"/>
                <w:highlight w:val="none"/>
              </w:rPr>
              <w:t>（四）主要章节与内容包括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4.1.新能源汽车概述主要章节与内容包括：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 、新能源汽车定义与分类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 、新能源汽车的主要类型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 、混合动力汽车的分类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（1）按照动力系统的结构形式分类</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（2）按照混合度划分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（3）插电型混合动力汽车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 代表型混合动力汽车概述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（1）非插电式混合动力汽车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（2）插电型混合动力汽车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（3）电动汽车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 燃料电池汽车概述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4.2.新能源汽车技术和产业的发展趋势和现状主要章节与内容包括：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 、新能源汽车发展的时代背景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 、新能源汽车发展的社会背景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 我国发展新能源汽车的意义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 、我国新能源汽车技术路线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（1）“三纵三横”技术研发布局</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（2）“三大平台”公共技术与应用开发</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（3）“纯电驱动”主要技术路线</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5、 我国新能源汽车产业发展策略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（1）新能源汽车发展目标</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（2）新能源汽车发展步骤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（3）新能源汽车发展策略</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（4）新能源汽车发展路径</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6、 新能源汽车的技术水平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（1）车辆电动与电动附件技术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（2）车辆传统技术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（3）整车集成技术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7 、新能源汽车技术发展趋势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8 、新能源汽车技术发展利好消息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（1）新能源车购置税免征</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（2）充电桩建设加快</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（3）新能源公务车占比增加</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（4）充电接口标准统一</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9 新能源汽车发展现状与趋势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（1）新能源汽车用动力电池类型</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（2）新能源汽车用对动力电池的基本要求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（3）新能源汽车动力电池规划及发展重点</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（4）新能源汽车驱动电机类型</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（5）驱动电机技术发展现状与趋势</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（6）车用电控系统技术发展现状与趋势</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4.3.电动汽车概述主要章节与内容包括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 纯电动汽车的概念 </w:t>
            </w:r>
          </w:p>
          <w:p w14:paraId="2B462E9F">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什么是纯电动汽车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（2）纯电动汽车的优势</w:t>
            </w:r>
          </w:p>
          <w:p w14:paraId="3E77512B">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 纯电动汽车的系统组成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（1）纯电动汽车的系统组成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（2）机械子系统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（3）电子电力子系统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（4）信息子系统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 纯电动汽车的工作原理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（1）电气控制系统工作原理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（2）传动系统的结构及工作原理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 典型的电动汽车结构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（1）改装式的纯电动汽车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（2）完全开发的纯电动汽车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（3）未来的纯电动汽车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4.4.电动汽车动力系统主要章节与内容包括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1、整车控制器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（1）整车控制器功能介绍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（2）整车状态的获取</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（3）驾驶员的意愿识别和控制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（4）整车故障的判别及处理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（5）整车控制器上下电控制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 、动力电池系统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（1）动力电池的分类</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（2）动力电池的工作要求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（3）铅酸蓄电池</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（4）镍氢电池</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（5）锂离子电池</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（6）动力电池系统组成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（7）电池管理系统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（8）动力电池箱</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（9）辅助元器件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（10）动力电池系统技术参数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（11）动力电池系统工作原理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 驱动电机与电机控制器 </w:t>
            </w:r>
          </w:p>
          <w:p w14:paraId="0271BC6F">
            <w:pPr>
              <w:wordWrap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（1）电机驱动系统概述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（2）电机驱动系统构成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（3）电机与电机控制器参数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（4）驱动电机系统的工作原理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（5）旋变工作原理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（6）电机系统接口定义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（7）电机系统的控制策略</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4.5.电动汽车辅助系统主要章节与内容包括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1、电动汽车辅助系统概述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（1）电动汽车辅助系统概述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（2）电动转向系统介绍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（3）电动制动系统介绍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（4）电动空调系统介绍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（5）电动冷却系统介绍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2、电动转向系统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（1）电动转向系统的基本组成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（2）扭矩传感器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（4）EPS控制器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（5）电动汽车助力转向系统工作机制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（6）扭矩传感器的工作原理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（7）扭矩传感器插件的端子定义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（8）EPS电机控制器插件的端子定义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3、电动制动系统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（1）电控真空助力制动系统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（2）制动系统基本组成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（3）电控真空泵</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（4）真空罐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（5）真空泵控制器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（6）制动系统零部件安装位置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（7）制动系统工作原理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4、电动空调系统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（1）电动空调系统概述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（2）电动空调的特点</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（3）电动空调制冷系统工作原理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（4）电动压缩机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（5）电动压缩机结构</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（6）电动压缩机工作原理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（7）电动压缩机性能参数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（8）电动压缩机引脚定义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（9）空调暖风系统简述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（10）PTC加热器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（11）暖风系统结构示意图</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5、电动冷却系统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（1）电动冷却系统的结构</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（2）典型车辆的冷却系统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（3）电动冷却系统中的特殊问题</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6、辅助DC/DC变换器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（1）辅助DC/DC变换器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（2）降压变换</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（3）升压变换</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（4）升降压变换</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4.6.电动汽车的故障诊断与维修主要章节和内容包括：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1、电动汽车故障诊断与维修的安全与风险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（1）个人防护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（2）专用工具</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（3）警示标志</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（4）识别高压线束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（5）如何应对电动汽车火灾</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2、充电系统故障诊断与维修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（1）车载充电机故障信号</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（2）车载充电机常见故障</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3、整车控制器故障诊断与维修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（1）故障诊断思想</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（2）OBD口定义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（3）EV专用故障诊断仪</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（4）整车故障诊断及处理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（5）故障码实例解析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（6）数据流实例解析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4、动力电池系统故障诊断与维修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（1）电池故障在仪表上显示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（2）动力电池系统故障级别划分</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（3）动力电池故障诊断仪</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（4）动力电池常见故障</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5、驱动电机系统故障诊断与维修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（1）温度保护功能</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（2）冷却系统的控制策略</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（3）旋变故障描述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（4）故障诊断示意图</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6、辅助系统的故障诊断与维修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（1）故障诊断步骤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（2）故障诊断</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（3）实例一：转向无助力</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（4）实例二：左右助力轻重不一致</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（5）实例三：转向沉重</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6.7.电动汽车的基础设施主要章节与内容包括：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1、车载充电系统的概述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2、充电系统的高低压设计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3、充电系统的控制策略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4、电动汽车充电站建设现状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（1）电动汽车充电站建设现状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（2）国内电动汽车充电站建设现状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5、电动汽车充电站的功能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6、电动汽车充电站的运行模式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（1）电池更换</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（2）电池充电</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（3）电池维护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7、电动汽车充电站的安全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（1）充电机控制安全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（2）保护措施</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6.8.电动汽车概述主要章节与内容包括：</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1、纯电动汽车概述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2、电气术语解释</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3、电气系统整车概述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4、电气系统整车性能</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5、电气系统整车配置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6、电气系统整车电控</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7、电气系统电机电控</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8、电气系统VMS</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9、电池系统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10、电池箱</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11、BMS主控模块</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12、高压插件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13、高压零件</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14、充电接口</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15、充电机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16、车载充电机-DC/DC</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17、整车充/供电系统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18、仪表显示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19、驾驶操作</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20、充电维护与注意事项</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21、正确的充电步骤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22、正确的行车步骤</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23、实车讲解</w:t>
            </w:r>
          </w:p>
        </w:tc>
        <w:tc>
          <w:tcPr>
            <w:tcW w:w="560" w:type="dxa"/>
            <w:tcBorders>
              <w:top w:val="single" w:color="auto" w:sz="4" w:space="0"/>
              <w:left w:val="single" w:color="auto" w:sz="4" w:space="0"/>
              <w:bottom w:val="single" w:color="auto" w:sz="4" w:space="0"/>
              <w:right w:val="single" w:color="auto" w:sz="4" w:space="0"/>
            </w:tcBorders>
            <w:vAlign w:val="center"/>
          </w:tcPr>
          <w:p w14:paraId="6056B1AF">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cs="宋体"/>
                <w:color w:val="auto"/>
                <w:kern w:val="0"/>
                <w:sz w:val="24"/>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78EB6BBA">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cs="宋体"/>
                <w:color w:val="auto"/>
                <w:kern w:val="0"/>
                <w:sz w:val="24"/>
                <w:highlight w:val="none"/>
                <w:lang w:bidi="ar"/>
              </w:rPr>
              <w:t>辆</w:t>
            </w:r>
          </w:p>
        </w:tc>
        <w:tc>
          <w:tcPr>
            <w:tcW w:w="1300" w:type="dxa"/>
            <w:tcBorders>
              <w:top w:val="single" w:color="auto" w:sz="4" w:space="0"/>
              <w:left w:val="single" w:color="auto" w:sz="4" w:space="0"/>
              <w:bottom w:val="single" w:color="auto" w:sz="4" w:space="0"/>
              <w:right w:val="single" w:color="auto" w:sz="4" w:space="0"/>
            </w:tcBorders>
            <w:vAlign w:val="center"/>
          </w:tcPr>
          <w:p w14:paraId="7A90B7A7">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cs="宋体"/>
                <w:color w:val="auto"/>
                <w:kern w:val="0"/>
                <w:sz w:val="24"/>
                <w:highlight w:val="none"/>
                <w:lang w:bidi="ar"/>
              </w:rPr>
              <w:t>128000.00</w:t>
            </w:r>
          </w:p>
        </w:tc>
      </w:tr>
      <w:bookmarkEnd w:id="16"/>
      <w:tr w14:paraId="0E48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35EB38CC">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198362F">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故障设置与检测连接平台</w:t>
            </w:r>
          </w:p>
        </w:tc>
        <w:tc>
          <w:tcPr>
            <w:tcW w:w="4891" w:type="dxa"/>
            <w:tcBorders>
              <w:top w:val="single" w:color="auto" w:sz="4" w:space="0"/>
              <w:left w:val="single" w:color="auto" w:sz="4" w:space="0"/>
              <w:bottom w:val="single" w:color="auto" w:sz="4" w:space="0"/>
              <w:right w:val="single" w:color="auto" w:sz="4" w:space="0"/>
            </w:tcBorders>
            <w:vAlign w:val="center"/>
          </w:tcPr>
          <w:p w14:paraId="37637667">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一、产品基本要求</w:t>
            </w:r>
          </w:p>
          <w:p w14:paraId="7DC21246">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故障设置与检测连接平台配套整车操作使用。该平台可与整车进行无损连接，可对汽车电池管理系统BMS、整车控制</w:t>
            </w:r>
          </w:p>
          <w:p w14:paraId="194404DD">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器VCU、集成动力控制器PEU、高低压充电系统ODP、车身控制模</w:t>
            </w:r>
          </w:p>
          <w:p w14:paraId="617B4875">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块BCM、前单目摄像头、网关进行故障设置、检测与诊断。故障设</w:t>
            </w:r>
          </w:p>
          <w:p w14:paraId="519796DB">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置与检测连接平台应便于教师设故教学和学生数据测量学习。有利于提升学生的新能源汽车简单故障诊断与排除基本能力、新能源汽车常用工量具和专业检测仪器使用能力、高压上下电操作能力。</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二、产品配置要求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产品应由故障设置与检测连接平台金属台体、教学显示一体机、测量面板、测量电路板、故障面板、故障电路板、故障配套器件、故障连接线束、桌面开关等组成。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（1）故障设置与检测连接平台金属台体（单位：毫米）</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设备整体设计尺寸：≥1650*820*1830mm   （长*宽*高）</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（2）测量面板</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整体尺寸： ≥1160*520mm  （长*宽）</w:t>
            </w:r>
          </w:p>
          <w:p w14:paraId="3F832E0B">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（3）故障面板</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整体尺寸：≥760*470mm  （长*宽）</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（4）教学显示一体机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工作电压：220VAC</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屏幕比例：16:9</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屏幕尺寸：≥55英寸</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系统：Windows</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内存：≥8G</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硬盘：≥256G</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处理器：≥i5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三、产品功能要求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设备应由故障检测区、故障设置区、信息查询区、操作测量区、零部件收纳区五大功能区组成。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设备主体应采用整体结构设计，主体外壳需采用≥1.5mm厚冷轧板，严格按钣金加工工艺操作，经酸洗、喷塑、丝印；主体框架采用钢结构焊接，表面采用防静电喷涂工艺处理，系统部件通过激光切割和数控加工结构件，配置带锁止功能的万向静音脚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（1）故障检测区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故障检测区应由测量面板、测量电路板、测量电路板亚克力护板、测量排线等组成。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测量电路板需采用PCB一体设计，板上需丝印有原车插头轮廓图，测量针脚需焊接有2mm铜柱用于配合测量面板测量数据，数据测量孔应不少于323个，应采用测量排线与故障设置板连接，保证采集电压等数据准确，并可考核学生对电路图的识图能力。</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故障检测区为学生测量部分，应可直接使用万用表、示波器在面板上实时测量电压、电阻、频率或波形信号等。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（2）故障设置区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故障设置区应包含故障面板、故障内衬、故障电路板、故障电路板亚克力绝缘底板等组成。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设置板应采用一体化电路板设计，采用机械贴片焊接，故障设备采用电弧灭弧保护电路与多重安全保护，内置一体化不少于4层PCBA无铅环保电路整体封装，PCB板电路封装达到车规级技术标准，PCB板内部采用4盎司铜箔布线，耐流等级为10A。</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设置与检测连接平台背面抽屉应可用于手动设置故障，采用隐藏式机械故障设置系统，能有效的模拟系统发生故障时的各种现象，在不破坏原车电路情况下，可以轻松的串联在控制模块和原车线束之间。整车各控制系统、传感器、执行器功能齐全，可正常运行。</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故障设置板故障设计路数最大可支持不少于256路，板上设有口字型故障设置区域及12V正负极电源接口，可通过故障设置模块与故障设置线束、以及配置的短接插件数量不少于181个，断路插接件数量不少于15个，用来设置断路、短路、虚接、交叉故障。故障范围应包含电池管理系统、整车控制器、电机控制器、交流充电系统、车身控制模块、驾驶辅助系统在内的多个系统不少于161个故障线路与不少于20个测量线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（3）信息查询区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显示屏内配套电子版设备用户手册及主机厂授权的车型用户手册、电路图、维修手册等资料，满足教学、学习使用需求。</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（4）操作测量区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（5）零部件收纳区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设备下半部分应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包括5A、7.5A、10A、15A、20A、30A多种保险丝，汽车继电器应包含12VDC-10A  5爪、12VDC-30A  4爪、12VDC-70A、12VDC-40A、12VDC-20A多种线圈及触点故障继电器。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抽屉内也应放置与整车连接的故障线束便于零配件收纳，与整车连接的线束上应套有线标，标有其连接插头的名称。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四、实训项目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（1）车身控制模块（BCM）</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启动信号故障诊断与测量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IG1电源故障诊断与测量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制动灯故障诊断与测量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左前、右前转向灯故障反馈信号故障诊断与测量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前舱盖接触开关信号故障诊断与测量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前雨刮停止位开关输入故障诊断与测量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危险警告灯开关信号故障诊断与测量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转向灯点亮信号输出故障诊断与测量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雨刮低速继电器控制故障诊断与测量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雨刮高速继电器控制故障诊断与测量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喇叭继电器控制故障诊断与测量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后除霜继电器控制故障诊断与测量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驾驶员侧门锁电机解锁信号故障诊断与测量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中控门锁电源故障诊断与测量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中控解锁信号(除驾驶员门)故障诊断与测量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车身控制模块接地2故障诊断与测量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左近光灯信号输出故障诊断与测量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中控闭锁信号故障诊断与测量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前洗涤电源故障诊断与测量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前洗涤电机电源故障诊断与测量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室外灯电源2故障诊断与测量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右远光灯信号输出故障诊断与测量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左日间行车灯信号输出故障诊断与测量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行李箱门锁电机解锁故障诊断与测量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高位制动灯信号输出故障诊断与测量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节电继电器输出故障诊断与测量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后雾灯信号输出故障诊断与测量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制动灯信号输出故障诊断与测量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倒车灯信号输出故障诊断与测量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左远光灯信号输出故障诊断与测量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阅读灯门控档故障诊断与测量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右位置灯信号输出故障诊断与测量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背光灯信号输出故障诊断与测量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右转向灯信号输出故障诊断与测量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左转向灯信号输出故障诊断与测量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右日间行车灯信号输出故障诊断与测量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左位置灯信号输出故障诊断与测量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车身控制模块接地1故障诊断与测量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右近光灯信号输出故障诊断与测量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室外灯电源1故障诊断与测量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B+电源故障诊断与测量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转向灯电源故障诊断与测量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危险报警灯开关故障诊断与测量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左右前组合灯故障诊断与测量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驾驶员侧门玻璃升降器开关故障诊断与测量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行李箱灯故障诊断与测量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环境光传感器信号故障诊断与测量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室内保险丝继电器盒CF19（10A）故障诊断与测量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室内保险丝继电器盒CF15（10A）故障诊断与测量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安全气囊控制模块故障诊断与测量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室内保险丝继电器盒IG2继电器CR14故障诊断与测量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室内保险丝继电器盒ACC继电器CR03故障诊断与测量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雨量传感器故障诊断与测量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室内保险丝继电器盒IG1继电器CR02故障诊断与测量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驾驶员侧门玻璃升降器开关故障诊断与测量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网关故障诊断与测量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射频接收模块故障诊断与测量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前雨刮电机故障诊断与测量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行李箱门控状态开关信号故障诊断与测量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转向灯故障反馈(车身侧后组合灯)故障诊断与测量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门锁状态开关(除驾驶员侧)故障诊断与测量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中部天线负故障诊断与测量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尾部天线负故障诊断与测量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前乘员玻璃升降信号故障诊断与测量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右后玻璃升降信号故障诊断与测量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右后门门控开关信号故障诊断与测量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驾驶员门锁状态开关故障诊断与测量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转向灯故障反馈(行李箱侧后组合灯)故障诊断与测量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左后门门控开关信号故障诊断与测量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中部天线正故障诊断与测量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尾部天线正故障诊断与测量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驾驶员检测开关信号故障诊断与测量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巡航开关信号2故障诊断与测量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行李箱外部释放开关信号故障诊断与测量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中控解闭锁开关信号故障诊断与测量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开关公共地故障诊断与测量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左后玻璃升降信号故障诊断与测量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驾驶员侧门锁电机故障诊断与测量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车窗锁止开关信号故障诊断与测量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后部天线正故障诊断与测量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左前部天线正故障诊断与测量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巡航开关信号1故障诊断与测量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前乘员门控开关信号故障诊断与测量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后部天线负故障诊断与测量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左前部天线负故障诊断与测量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（2）网关</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IF-CAN-L故障诊断与测量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IF-CAN-H故障诊断与测量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CF-CAN-L故障诊断与测量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CF-CAN-H故障诊断与测量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CS-CAN-L故障诊断与测量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CS-CAN-H故障诊断与测量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室内保险丝继电器盒（CF26 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室内保险丝继电器盒（CF08 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G07故障诊断与测量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（3）前单目摄像头</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GND故障诊断与测量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CS 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室内保险丝继电器盒CF06（10A)故障诊断与测量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CS 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室内保险丝继电器盒CF25（10A)故障诊断与测量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（4）电池管理系统（BMS）</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前机舱保险丝继电器盒EF04（15A）故障诊断与测量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G07故障诊断与测量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机舱线束接动力线束连接器故障诊断与测量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G07故障诊断与测量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BCM故障诊断与测量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安全气囊控制模块故障诊断与测量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室内保险丝继电器盒CF15（10A）故障诊断与测量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直流充电座(快充插座负极柱温度正)故障诊断与测量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直流充电座(快充插座负极柱温度负)故障诊断与测量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快充CC2信号故障诊断与测量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快充唤醒故障诊断与测量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快充唤醒地故障诊断与测量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快充插座负极柱温度正故障诊断与测量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快充插座负极柱温度负故障诊断与测</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（5）高低压充电系统（ODP）</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交流充电确认CP信号故障诊断与测量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 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交流充电插座温度传感器1正故障诊断与测量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交流充电确认CC信号故障诊断与测量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 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交流充电插座温度传感器2正故障诊断与测量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高压互锁输入信号故障诊断与测量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交流充电插座温度传感器1负故障诊断与测量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IG1电源故障诊断与测量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高压互锁输出信号故障诊断与测量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交流充电插座温度传感器2负故障诊断与测量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电锁状态监测故障诊断与测量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接地故障诊断与测量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电源故障诊断与测量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电锁闭锁正故障诊断与测量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电锁闭锁负故障诊断与测量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（6）整车控制(VCU)</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G04故障诊断与测量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维修隔离开关故障诊断与测量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机舱线束接仪表线束连接器故障诊断与测量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机舱线束接仪表线束连接器故障诊断与测量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网关故障诊断与测量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ONE BOX模块故障诊断与测量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高速风扇继电器反馈故障诊断与测量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前机舱保险丝继电器盒EF19（7.5A）故障诊断与测量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机舱线束接仪表线束连接器故障诊断与测量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低速风扇继电器反馈故障诊断与测量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主继电器ER05故障诊断与测量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前机舱保险丝继电器盒EF14（10A）故障诊断与测量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前机舱保险丝继电器盒EF02（10A）故障诊断与测量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前机舱保险丝继电器盒EF15（20A）故障诊断与测量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前机舱保险丝继电器盒EF15（20A）故障诊断与测量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G04故障诊断与测量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ODP故障诊断与测量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冷却风扇故障诊断与测量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电子水泵继电器ER17故障诊断与测量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机舱线束接动力线束连接器故障诊断与测量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PWM继电器ER09故障诊断与测量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电子油门踏板故障诊断与测量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制动开关故障诊断与测量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电子油门踏板故障诊断与测量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PWM继电器EF09(10A)故障诊断与测量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电子油门踏板故障诊断与测量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前机舱保险丝继电器盒EF10（7.5A）故障诊断与测量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制动开关故障诊断与测量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采暖三通水阀</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机舱线束接动力线束连接器故障诊断与测量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（7）集成动力控制系统（PEU）</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前机舱保险丝继电器盒EF03(15A）故障诊断与测量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私有CAN-H故障诊断与测量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 CAN-H故障诊断与测量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前机舱保险丝继电器盒EF03(15A）故障诊断与测量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G04故障诊断与测量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前机舱保险丝继电器盒EF18（7.5A）故障诊断与测量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私有CAN-L故障诊断与测量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HB CAN-L故障诊断与测量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五、新能源汽车虚拟仿真诊断平台</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一、基本简介：新能源汽车虚拟仿真诊断平台是一种利用虚拟技术模拟新能源汽车运行、故障与汽车报文刷写教学，以进行诊断、分析、报文刷写和培训的工具。学员可以在虚拟环境中反复进行故障诊断、诊断设备的使用与读取实训、新能源汽车VCU系统、bms系统、fmcu系统、acb系统、acc系统、eps系统的数据报文刷写，学员可对报文的解读来学习报文与排查故障分析；了解相关报文的格式和含义，也有助于对车辆的一些功能进行个性化的拓展或升级。平台不受时间和空间限制，快速提升技能水平。通过模拟各种复杂的故障情况，让学员接触到实际工作中可能遇到的问题，增强应对能力和经验积累。为学员提供实践操作的机会，在虚拟环境中进行故障诊断和认知，积累经验且不用担心对实际车辆造成损坏；平台可设置不同难度级别的故障案例，满足不同层次学员的学习需求；平台具备良好的可扩展性，能与其他相关的汽车检测设备使用，具有较好的兼容性，方便整合和协同工作，提高整体的教学和培训效果，大大减少了在实际车辆上进行故障测试和诊断的成本与空间局限。平台可对新能源汽车报文进行通信传输数据信息，可实现信息的交互，通过原车的通信协议来发送和接收报文，这些报文包含了各类控制指令、状态反馈、传感器数据等内容。学校无需到实际汽车上进行诊断实训、报文认知实训等，降低了空间与时间成本。</w:t>
            </w:r>
          </w:p>
          <w:p w14:paraId="268A37B6">
            <w:pPr>
              <w:tabs>
                <w:tab w:val="center" w:pos="4153"/>
                <w:tab w:val="right" w:pos="8306"/>
              </w:tabs>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二、平台的主要构成</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2.1硬件设备：包括新能源汽车虚拟仿真控制单元、电源输入设备、操控面板与实验箱组成，可接入专用诊断设备，用于支撑软件运行和提供交互操作界面。操控开关，能让使用者更真实地感受汽车诊断过程中的车辆操作过程的数据变化和反馈。通过操控面板可模拟其车辆动态与静态运行状态和性能参数；且可实现故障模拟，能设置多种类型的故障，如电池故障、绝缘故障、电路故障等，还可模拟不同系统的故障复杂场景下的故障码读取与清除；虚拟仿真诊断则为使用者提供分析和判断故障的方法与流程，像读故障码、清故障码、查看实时数据、曲线分析等功能。</w:t>
            </w:r>
            <w:r>
              <w:rPr>
                <w:rFonts w:hint="eastAsia" w:ascii="仿宋" w:hAnsi="仿宋" w:eastAsia="仿宋" w:cs="仿宋"/>
                <w:color w:val="auto"/>
                <w:szCs w:val="21"/>
                <w:highlight w:val="none"/>
              </w:rPr>
              <w:br w:type="textWrapping"/>
            </w:r>
            <w:r>
              <w:rPr>
                <w:rFonts w:hint="eastAsia" w:ascii="仿宋" w:hAnsi="仿宋" w:eastAsia="仿宋" w:cs="仿宋"/>
                <w:b/>
                <w:bCs/>
                <w:color w:val="auto"/>
                <w:szCs w:val="21"/>
                <w:highlight w:val="none"/>
              </w:rPr>
              <w:t>2.2软件系统：</w:t>
            </w:r>
            <w:r>
              <w:rPr>
                <w:rFonts w:hint="eastAsia" w:ascii="仿宋" w:hAnsi="仿宋" w:eastAsia="仿宋" w:cs="仿宋"/>
                <w:color w:val="auto"/>
                <w:szCs w:val="21"/>
                <w:highlight w:val="none"/>
              </w:rPr>
              <w:t>为核心部分，使用原车车辆数据模型仿真构建，可进行故障模拟、诊断分析、读故障码、清故障码、读数据流、仿真报文数据软件等。车辆数据模型仿真构建精确构建新能源汽车的各个系统模型，包括</w:t>
            </w:r>
            <w:r>
              <w:rPr>
                <w:rFonts w:hint="eastAsia" w:ascii="仿宋" w:hAnsi="仿宋" w:eastAsia="仿宋" w:cs="仿宋"/>
                <w:b/>
                <w:bCs/>
                <w:color w:val="auto"/>
                <w:szCs w:val="21"/>
                <w:highlight w:val="none"/>
              </w:rPr>
              <w:t>整车控制器VCU、电池管理系统、BMS、前驱动电机控制器（FMCU）、空调控制器（ACB)、电动压缩机（ACC）、电动助力转向（EPS）系统。</w:t>
            </w:r>
            <w:r>
              <w:rPr>
                <w:rFonts w:hint="eastAsia" w:ascii="仿宋" w:hAnsi="仿宋" w:eastAsia="仿宋" w:cs="仿宋"/>
                <w:color w:val="auto"/>
                <w:szCs w:val="21"/>
                <w:highlight w:val="none"/>
              </w:rPr>
              <w:br w:type="textWrapping"/>
            </w:r>
            <w:r>
              <w:rPr>
                <w:rFonts w:hint="eastAsia" w:ascii="仿宋" w:hAnsi="仿宋" w:eastAsia="仿宋" w:cs="仿宋"/>
                <w:b/>
                <w:bCs/>
                <w:color w:val="auto"/>
                <w:szCs w:val="21"/>
                <w:highlight w:val="none"/>
              </w:rPr>
              <w:t>三、功能和特点</w:t>
            </w:r>
            <w:r>
              <w:rPr>
                <w:rFonts w:hint="eastAsia" w:ascii="仿宋" w:hAnsi="仿宋" w:eastAsia="仿宋" w:cs="仿宋"/>
                <w:b/>
                <w:bCs/>
                <w:color w:val="auto"/>
                <w:szCs w:val="21"/>
                <w:highlight w:val="none"/>
              </w:rPr>
              <w:br w:type="textWrapping"/>
            </w:r>
            <w:r>
              <w:rPr>
                <w:rFonts w:hint="eastAsia" w:ascii="仿宋" w:hAnsi="仿宋" w:eastAsia="仿宋" w:cs="仿宋"/>
                <w:color w:val="auto"/>
                <w:szCs w:val="21"/>
                <w:highlight w:val="none"/>
              </w:rPr>
              <w:t>3.1诊断教学模拟仿真：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前驱动电机控制器（FMCU）：高度还原新能源汽车驱动电机在不同转速工况下的运行状态，通过数据仿真旋钮模拟驱动电机转速、扭矩、功率、A相电流、B相电流、C相电流。</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整车控制器VCU：通过数据仿真旋钮可模拟水温与油门深度电压1数据；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电池管理系统：通过数据仿真旋钮可模拟绝缘阻值数据，当绝缘值低于500KΩ时，系统会出现绝缘故障；（此演示项为一个系统，多个系统拼凑不得分);</w:t>
            </w:r>
            <w:r>
              <w:rPr>
                <w:rFonts w:hint="eastAsia" w:ascii="仿宋" w:hAnsi="仿宋" w:eastAsia="仿宋" w:cs="仿宋"/>
                <w:b/>
                <w:bCs/>
                <w:color w:val="auto"/>
                <w:szCs w:val="21"/>
                <w:highlight w:val="none"/>
              </w:rPr>
              <w:br w:type="textWrapping"/>
            </w:r>
            <w:r>
              <w:rPr>
                <w:rFonts w:hint="eastAsia" w:ascii="仿宋" w:hAnsi="仿宋" w:eastAsia="仿宋" w:cs="仿宋"/>
                <w:color w:val="auto"/>
                <w:szCs w:val="21"/>
                <w:highlight w:val="none"/>
              </w:rPr>
              <w:t>空调控制器（ACB)：通过数据仿真旋钮可模拟车内温度、蒸发器温度数据；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电动压缩机（ACC）：通过数据仿真旋钮可模拟压缩机实际转速、母线电流、压缩机当前功率数据；</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电动助力转向（EPS）：通过数据仿真旋钮可模拟方向盘角度、电机电流、方向盘转速、电机转速数据；（此演示项为一个软件系统，多个软件系统拼凑演示不得分)</w:t>
            </w:r>
            <w:r>
              <w:rPr>
                <w:rFonts w:hint="eastAsia" w:ascii="仿宋" w:hAnsi="仿宋" w:eastAsia="仿宋" w:cs="仿宋"/>
                <w:b/>
                <w:bCs/>
                <w:color w:val="auto"/>
                <w:szCs w:val="21"/>
                <w:highlight w:val="none"/>
              </w:rPr>
              <w:br w:type="textWrapping"/>
            </w:r>
            <w:r>
              <w:rPr>
                <w:rFonts w:hint="eastAsia" w:ascii="仿宋" w:hAnsi="仿宋" w:eastAsia="仿宋" w:cs="仿宋"/>
                <w:color w:val="auto"/>
                <w:szCs w:val="21"/>
                <w:highlight w:val="none"/>
              </w:rPr>
              <w:t xml:space="preserve">    BMS：通过数据仿真旋钮可模拟电池数据包解析单体电池1/4/5/7与单体电池温度8/10/11/14数据；当单体电池出现电压过低或过高时，系统会出现相应故障码；</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智能显示终端：通过数据仿真旋钮A可模拟驱动电机转速表、电机功率、电池绝缘值、电动压缩机转速等数据显示；数据仿真旋钮B:驱动电机U相、V相、W相电流等数据显示；数据仿真切换开关：可对档位、车速表转速表、压缩机转速、电池绝缘等数据显示；</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3.2多样化的故障设置与诊断：可预设常见和复杂的故障类型，涉及新能源汽车的各个关键部件和系统。学员能通过平台提供的诊断工具和流程，进行故障排查、定位和分析，了解故障产生的原因、影响以及解决方法。如平台可设置电池管理系统绝缘故障、单体电池过低、单体电池过高等多种故障情况，可通过此故障点引导学员进行诊断和排除方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3.3实时数据监测与分析：能够模拟仿真采集和显示车辆运行过程中的各种数据，如动力电池电压、单体电池电压、电流、温度，电机转速、扭矩、功率等。同时，对这些数据进行分析和处理，以图表、曲线等形式直观呈现，帮助学员更好地理解车辆的数据读取与认知。</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3.4新能源汽车报文教学模拟仿真：</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新能源汽车报文教学模拟可对VCU系统、bms系统、fmcu系统、acb系统、acc系统、eps系统共六大系统数据报文通过软件进行仿真刷写；每个系统模块对应的ID不一样，每一项data数据对应的数据帧ID也不一样，根据各个系统不同的数据帧进行认知与刷写，了解汽车报文的工作方式与刷写实训；车辆的各个传感器收集到的数据，传感器检测到的数值数据等，会通过报文发送给对应的显示或者控制单元，方便学员了解车辆状态，也便于系统根据实际情况做出进一步的调整决策。报文仿真软件由六大系统、Num、DLC、ID、DATA、操作/Operation等组成； </w:t>
            </w:r>
            <w:r>
              <w:rPr>
                <w:rFonts w:hint="eastAsia" w:ascii="仿宋" w:hAnsi="仿宋" w:eastAsia="仿宋" w:cs="仿宋"/>
                <w:color w:val="auto"/>
                <w:szCs w:val="21"/>
                <w:highlight w:val="none"/>
              </w:rPr>
              <w:br w:type="textWrapping"/>
            </w:r>
            <w:r>
              <w:rPr>
                <w:rFonts w:hint="eastAsia" w:ascii="仿宋" w:hAnsi="仿宋" w:eastAsia="仿宋" w:cs="仿宋"/>
                <w:b/>
                <w:bCs/>
                <w:color w:val="auto"/>
                <w:szCs w:val="21"/>
                <w:highlight w:val="none"/>
              </w:rPr>
              <w:t xml:space="preserve">3.5新能源汽车报文教学模拟仿真软件简介：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1.1六大系统：</w:t>
            </w:r>
            <w:r>
              <w:rPr>
                <w:rFonts w:hint="eastAsia" w:ascii="仿宋" w:hAnsi="仿宋" w:eastAsia="仿宋" w:cs="仿宋"/>
                <w:b/>
                <w:bCs/>
                <w:color w:val="auto"/>
                <w:szCs w:val="21"/>
                <w:highlight w:val="none"/>
              </w:rPr>
              <w:t>VCU系统、BMS系统</w:t>
            </w:r>
            <w:r>
              <w:rPr>
                <w:rFonts w:hint="eastAsia" w:ascii="仿宋" w:hAnsi="仿宋" w:eastAsia="仿宋" w:cs="仿宋"/>
                <w:color w:val="auto"/>
                <w:szCs w:val="21"/>
                <w:highlight w:val="none"/>
              </w:rPr>
              <w:t>、FMCU系统、</w:t>
            </w:r>
            <w:r>
              <w:rPr>
                <w:rFonts w:hint="eastAsia" w:ascii="仿宋" w:hAnsi="仿宋" w:eastAsia="仿宋" w:cs="仿宋"/>
                <w:b/>
                <w:bCs/>
                <w:color w:val="auto"/>
                <w:szCs w:val="21"/>
                <w:highlight w:val="none"/>
              </w:rPr>
              <w:t>ACB系统</w:t>
            </w:r>
            <w:r>
              <w:rPr>
                <w:rFonts w:hint="eastAsia" w:ascii="仿宋" w:hAnsi="仿宋" w:eastAsia="仿宋" w:cs="仿宋"/>
                <w:color w:val="auto"/>
                <w:szCs w:val="21"/>
                <w:highlight w:val="none"/>
              </w:rPr>
              <w:t>、ACC系统、EPS系统；</w:t>
            </w:r>
            <w:r>
              <w:rPr>
                <w:rFonts w:hint="eastAsia" w:ascii="仿宋" w:hAnsi="仿宋" w:eastAsia="仿宋" w:cs="仿宋"/>
                <w:b/>
                <w:bCs/>
                <w:color w:val="auto"/>
                <w:szCs w:val="21"/>
                <w:highlight w:val="none"/>
              </w:rPr>
              <w:t>(演示时：VCU系统、BMS系统、ACB系统演示应是一个软件系统演示，多个软件系统拼凑演示不得分）</w:t>
            </w:r>
            <w:r>
              <w:rPr>
                <w:rFonts w:hint="eastAsia" w:ascii="仿宋" w:hAnsi="仿宋" w:eastAsia="仿宋" w:cs="仿宋"/>
                <w:b/>
                <w:bCs/>
                <w:color w:val="auto"/>
                <w:szCs w:val="21"/>
                <w:highlight w:val="none"/>
              </w:rPr>
              <w:br w:type="textWrapping"/>
            </w:r>
            <w:r>
              <w:rPr>
                <w:rFonts w:hint="eastAsia" w:ascii="仿宋" w:hAnsi="仿宋" w:eastAsia="仿宋" w:cs="仿宋"/>
                <w:color w:val="auto"/>
                <w:szCs w:val="21"/>
                <w:highlight w:val="none"/>
              </w:rPr>
              <w:t xml:space="preserve">   VCU系统模块：可对水温值、油门深度、刹车深度、整车车速、油门深度电压、档位故障状态、过载告警、油门错误、主接触器状态、整车档位、整车运行模式、动力系统状态等数据进行报文仿真刷写；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bms系统模块：可对绝缘值、SOC、电池组当前总电压、电池组当前总电流、最低电压电池编号、最低单节电池电压、最高电压电池编号、最高单节电池电压、最低温度号、最低温度、最高温度号、最高温度、电池组平均温度、预充状态、主接触器状态、负极接触器状态、预充接触器状态、高压系统状态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fmcu系统模块：可对转速、扭矩、功率、A相电流、、B相电流、C相电流、电机温度、IGBT温度、前驱A相结温温度、前驱B相结温温度、前驱C相结温温度、动力系统状态、前驱动电机状态等数据进行报文仿真刷写；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acb系统模块：可对车内温度、蒸发器温度、风速、送风模式、电动压缩机状态、电动压缩机占空比、主驾吹面通道温度、主驾吹脚通道温度、电池热管理需求、电池冷却系统开启状态、电子膨胀阀位置、电池热管理四通阀位置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acc系统模块：可对压缩机实际转速、压缩机当前功率、母线电压、母线电流、IPM/IGBT温度、压缩机实际状态、相电流、IPM/IGBT状态、内部温度传感器状态、内部电流状态、转速状态、压缩机负载状态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eps系统模块：可对方向盘角度、电机电流、方向盘转速、电机转速、方向盘力矩、ECU温度、扭矩传感器电压、MCU电压、车速、TS1 Duty主扭矩信号占空比、TS2 Duty副扭矩信号占空比、AS Duty主角度信号占空比、RS Duty主角度信号占空比等数据进行报文仿真刷写。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1.2 Data报文数据帧：Data报文数据帧：报文数据帧由标识符（用于区分不同类型的消息，有标准帧和扩展帧的不同标识符格式）、数据段（承载具体要传递的内容，长度一般为 0 到 8 个字节不等）、控制段等部分组成。通过修改Data报文数据帧可进行报文数据仿真刷写。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1.3操作/Operation：修改Data完成后，通过操作/Operation进行下载刷写至仿真软件，通过新能源汽车虚拟仿真诊断平台连接诊断设备可读取查看刷写后的报文数值。</w:t>
            </w:r>
          </w:p>
        </w:tc>
        <w:tc>
          <w:tcPr>
            <w:tcW w:w="560" w:type="dxa"/>
            <w:tcBorders>
              <w:top w:val="single" w:color="auto" w:sz="4" w:space="0"/>
              <w:left w:val="single" w:color="auto" w:sz="4" w:space="0"/>
              <w:bottom w:val="single" w:color="auto" w:sz="4" w:space="0"/>
              <w:right w:val="single" w:color="auto" w:sz="4" w:space="0"/>
            </w:tcBorders>
            <w:vAlign w:val="center"/>
          </w:tcPr>
          <w:p w14:paraId="1F88012F">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743" w:type="dxa"/>
            <w:tcBorders>
              <w:top w:val="single" w:color="auto" w:sz="4" w:space="0"/>
              <w:left w:val="single" w:color="auto" w:sz="4" w:space="0"/>
              <w:bottom w:val="single" w:color="auto" w:sz="4" w:space="0"/>
              <w:right w:val="single" w:color="auto" w:sz="4" w:space="0"/>
            </w:tcBorders>
            <w:vAlign w:val="center"/>
          </w:tcPr>
          <w:p w14:paraId="3FA2272A">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300" w:type="dxa"/>
            <w:tcBorders>
              <w:top w:val="single" w:color="auto" w:sz="4" w:space="0"/>
              <w:left w:val="single" w:color="auto" w:sz="4" w:space="0"/>
              <w:bottom w:val="single" w:color="auto" w:sz="4" w:space="0"/>
              <w:right w:val="single" w:color="auto" w:sz="4" w:space="0"/>
            </w:tcBorders>
            <w:vAlign w:val="center"/>
          </w:tcPr>
          <w:p w14:paraId="4AC54DD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98000.00</w:t>
            </w:r>
          </w:p>
        </w:tc>
      </w:tr>
      <w:tr w14:paraId="6A1A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0A497CC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F6B850A">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电驱动总成装调与检修工作平台</w:t>
            </w:r>
          </w:p>
        </w:tc>
        <w:tc>
          <w:tcPr>
            <w:tcW w:w="4891" w:type="dxa"/>
            <w:tcBorders>
              <w:top w:val="single" w:color="auto" w:sz="4" w:space="0"/>
              <w:left w:val="single" w:color="auto" w:sz="4" w:space="0"/>
              <w:bottom w:val="single" w:color="auto" w:sz="4" w:space="0"/>
              <w:right w:val="single" w:color="auto" w:sz="4" w:space="0"/>
            </w:tcBorders>
            <w:vAlign w:val="center"/>
          </w:tcPr>
          <w:p w14:paraId="4ADBA0F5">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产品基本要求</w:t>
            </w:r>
          </w:p>
          <w:p w14:paraId="66BAA60D">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电驱动总成装调与检修工作平台应以新能源汽车原车驱动电机及其控制系统为核心，需同时配套电机控制器及动力电源系统、故</w:t>
            </w:r>
          </w:p>
          <w:p w14:paraId="218132C4">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障设置系统。在实现驱动电机与减速器拆装、驱动电机总成拆装、减速器总成拆装的同时，又可通过电控系统和直流电源实现永磁同步电机运行的状态演示，包含点火、档位、加速、制动的运行测试，同时也可通过故障设置系统对驱动控制系统进行设故、数据检测等原理教学。整体可实现新能源汽车电驱动总成装调、检修、教学、</w:t>
            </w:r>
          </w:p>
          <w:p w14:paraId="74854E36">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考核的功能。能够培养学生关于电驱动总成分解和装配能力、电驱动总成检查和修理能力、电驱动总成绝缘测试及气密性测试等能力。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二、产品配置要求</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本产品应主要由电驱动总成装调与检修工作平台金属台体、驱动电机、驱动电机合装机、减速器、减速器翻转机构、永磁同步电</w:t>
            </w:r>
          </w:p>
          <w:p w14:paraId="3916529F">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机控制器、高配电脑主机及显示器、故障盒、减速器壳体工装、减速器齿轮组工装、高精度测量平台、故障设置、直流电源、桌面开关、驱动电机控制器上位机系统（软件）等组成。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（1）电驱动总成装调与检修工作平台金属台体（单位：毫米）</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设备整体设计尺寸：≥1650*820*1600mm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（2）永磁同步电机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整体尺寸：≥400*370*320mm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驱动电压：≤80V DC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额定功率：≥80KW</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额定转速：≥5100r/min</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最大输出扭矩：≥300N.m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极对数：≥4</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绝缘等级：H</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冷却方式：液冷</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重量：≥50Kg</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（3）驱动电机合装机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整体尺寸：≥1050*340*325mm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丝杠螺母机构：≥2路</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丝杠有效行程：≥800mm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顶针中心高度：≤285mm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手摇轮：≥2个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（4）减速器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整体尺寸：≥470*320*210mm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类型：固定齿比变速器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（5）减速器翻转机构</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整体尺寸：≥575*75*250mm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配套减速机：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减速比：≥40</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输入轴：≥10mm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输出孔：≥14mm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手摇轮外径：≥100mm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（6）永磁同步电机驱动器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整体尺寸：≥255*240*130mm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额定电压：80V DC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额定电流：≥53A</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控制电压：10.5-30V DC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额定功率：≤12KW</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通讯方式：CAN</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冷却方式：自然冷却</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（7）电脑主机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工作电压：220V AC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系统：Windows</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显卡：RTX2060及以上</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内存：≥16G</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硬盘：≥256G</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处理器：≥i5 十代</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（8）显示器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整体尺寸：≥535*315*35mm  （长*宽*厚）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显示屏规格：≥23英寸</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分辨率：≥1920*1080</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刷新率：≥75HZ</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面板类型：IPS硬屏</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屏幕比例：16：9</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（9）故障盒</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整体尺寸：≥560*355*110mm  （长*宽*高）</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可满足故障设计线路数：≥16路</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面板数据测量孔：≥40个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点火开关：≥1个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档位开关：≥1个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制动开关：≥1个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加速开关：≥1个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（10）高精度测量平台</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整体尺寸：≥530*145mm  （长*宽）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精度等级：≥国标00级</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抗压强度：≥240-245N/M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吸水率：＜0.13%</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（11）直流电源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输入功率：≥2.2KW</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输入电压：220V AC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输出电压：0-345V DC</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电压显示精度：0.1V</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电流显示精度：0.1A</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三、产品功能要求</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电驱动总成装调与检修工作平台应主要由电机装调区、故障检测区、零件收纳区、动态测试区、减速器装调区、工具收纳区六大功能区组成；平台主体采用整体结构设计，主体外壳采用≥1.5mm厚冷轧板，严格按照钣金加工工艺操作，酸洗、喷塑、丝印；主体框架采用钢结构焊接，表面采用防静电喷涂工艺处理，系统部件通过激光切割和数控加工结构件，配置带锁止功能的万向静音脚轮。</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（1）电机装调区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电机装调区应由电机合装机、驱动电机、电机控制器、减速器、减速器翻转机构、手摇轮等部件组成，可用于驱动电机总成拆装、检修、调试作业，减速器装调、检修、测量作业。驱动电机应选用新能源汽车原车驱动电机，应主要包含转子总成、定子总成、三相转接板、三相接线柱、后端盖、温度传感器、旋变传感器等，配和合装机能够满足用户对驱动电机的拆装调试需求。</w:t>
            </w:r>
          </w:p>
          <w:p w14:paraId="286C71E8">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驱动电机合装机应包含长顶针、短顶针、定子固定板、丝杠螺母机构、锁止滑块、手摇轮合装机底座等部件。合装机控制方式应采用手摇控制，通过配置的手摇轮控制电机拆装过程中的部件移动，以达到合理合装分离电机定子总成与转子总成的目的，同时在拆装过程中应满足转子磁感应强度、三相绕组冷态直流电阻、三相绕组对温度传感器绝缘电阻等数据的测量。</w:t>
            </w:r>
          </w:p>
          <w:p w14:paraId="635AAA72">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合装机主体结构为铝型材切割加工，丝杠模组严格按照丝杠加工工艺操作，通过冷拔、滚花、车螺纹、校正、切断、倒角等一系列加工工艺制作而成，经电镀表面处理可防锈防腐。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（2）故障检测区</w:t>
            </w:r>
          </w:p>
          <w:p w14:paraId="2849B719">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故障盒应由盒体机加工铝制组件、支撑杆、磁吸、机械锁、橡胶脚垫、合页、UV转印铝制测量面板、测量电路板、测量电路板护板、故障设置面板、故障设置板内衬、故障设置电路板、故障设置电路板垫板、点火开关、档位开关、制动开关、加速开关等部件组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测量面板应采用印制铝氧化，同时外覆绝缘膜处理，在保证绝缘的基础上同时保护印制电路图，防止划伤、刮增。通过测量面板电路原理图也可进行故障诊断及数据测量，测量电路板应焊有2mm测量端子（带绝缘套），可与万用表表笔配套测量。</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故障设置板及数据测量板应采用一体化电路板设计，并采用机械贴片焊接，设备采用电弧灭弧保护电路与多重安全保护，故障设置板设计最大路数不少于16路，并设有口字型故障设置区域、及12V正负极电源线路接口，可通过故障设置模块与故障设置线束以及短路插件、断路插件设置断路、短路、虚接、交叉故障。</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故障盒配套故障设置模块，种类规格应不少于短接模块、60Ω电阻、100Ω电阻、500Ω电阻、1K电位计、5K电位计、10K电位计；同时应搭配故障设置线束，红色，黑色各不少于3根，以及短路插件不少于5个和断路插件不少于8个，用以设置驱动系统线路故障，故障类型包含断路、短路、虚接、交叉故障。</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故障盒搭配驱动电机使用，可对驱动系统电源线路、控制器启动线路、开关控制线路、旋变传感器线路、温度传感器线路等进行故障设置与测量，可允许故障设置路数不少于16路，测量孔数据不少于40组。</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（3）零件收纳区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零件收纳区应满足临时收纳拆装时的螺栓、线束、插头及工具，需配置超大双挂钩、超大单挂钩、研磨机拖、小挂钩等红色挂件，便于零件临时收纳取用。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（4）动态测试区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动态测试区应配有不小于23英寸高清显示器，并与设备下方的教学主机相连接，教学主机内配套设备用户手册、电驱动维修手册、减速器维修手册等资源，可满足师生教学使用需求。显示器应与电脑主机相连，主机应满足十代I5处理器及以上，显卡应满足RTX2060及以上，可流畅运行。</w:t>
            </w:r>
          </w:p>
          <w:p w14:paraId="539AE4FC">
            <w:pPr>
              <w:widowControl/>
              <w:jc w:val="left"/>
              <w:rPr>
                <w:rFonts w:hint="eastAsia" w:asciiTheme="minorEastAsia" w:hAnsiTheme="minorEastAsia" w:eastAsiaTheme="minorEastAsia" w:cstheme="minorEastAsia"/>
                <w:color w:val="auto"/>
                <w:sz w:val="20"/>
                <w:szCs w:val="20"/>
                <w:highlight w:val="none"/>
              </w:rPr>
            </w:pPr>
            <w:r>
              <w:rPr>
                <w:rFonts w:hint="eastAsia" w:ascii="仿宋" w:hAnsi="仿宋" w:eastAsia="仿宋" w:cs="仿宋"/>
                <w:color w:val="auto"/>
                <w:kern w:val="0"/>
                <w:szCs w:val="21"/>
                <w:highlight w:val="none"/>
              </w:rPr>
              <w:t>减速器装调区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装调区应配有减速器壳体工装与减速器齿轮组工装，用于变速箱壳体与齿轮组件的清洁、测量、维修等作业，同时需配套有高精度测量平台，用于学生测量齿轮等零部件。高精度测量平台精度应达到00级，不易产生凸纹、毛刺、且稳定不易变形；能够耐酸、耐碱、耐腐蚀、抗磁、不会受潮生锈，使用维护方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（6）工具收纳区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设备下半部分应设有自吸抽屉且根据零部件开模的内衬卡槽。应配备收纳盒、键盘、鼠标、月牙扳手、合装机顶针、输入轴油封安装工具、合装机顶针支架、差速器油封安装工具、电驱动反电动势测试装置、滚花高头螺栓，用于驱动电机的辅助拆装、测量、调试。同时配备空白内衬，用于用户收纳零配件使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四、实训项目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转子总成拆装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定子总成拆装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后端盖拆装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三相接线柱拆装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驱动电机转子磁通量测量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旋变总成拆装、测量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温度传感器拆装、测量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高低压线束拆装、测量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定子绕组对机壳绝缘电阻测量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驱动电机定子绕组冷态直流电阻测量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定子绕组对温度传感器绝缘电阻测量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电机径向间隙测量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电机轴向间隙测量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轴伸径向圆跳动测量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冷却系统气密性检测</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电机反电动势测量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电机与减速器总成拆装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减速器前后壳体拆装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减速器组件清洁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减速器输入轴拆装、测量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减速器中间轴拆装、测量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减速器差速器拆装、测量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减速器油封拆装、测量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电机控制器旋变自学习</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电驱动总成档位测试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电驱动总成加速测试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电驱动总成制动测试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辅助电源故障检修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IG信号故障检修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直流电源故障检修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三相高压线故障检修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温度传感器故障检修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档位开关故障检修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制动开关故障检修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加速开关故障检修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励磁线圈故障检修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正弦线圈故障检修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余弦线圈故障检修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诊断总线故障检修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w:t>
            </w:r>
            <w:r>
              <w:rPr>
                <w:rFonts w:hint="eastAsia" w:asciiTheme="minorEastAsia" w:hAnsiTheme="minorEastAsia" w:eastAsiaTheme="minorEastAsia" w:cstheme="minorEastAsia"/>
                <w:color w:val="auto"/>
                <w:sz w:val="20"/>
                <w:szCs w:val="20"/>
                <w:highlight w:val="none"/>
              </w:rPr>
              <w:t>新能源汽车电机虚拟结构原理软件：</w:t>
            </w:r>
          </w:p>
          <w:p w14:paraId="784F79A0">
            <w:pPr>
              <w:widowControl/>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一、产品功能</w:t>
            </w:r>
          </w:p>
          <w:p w14:paraId="5D092A93">
            <w:pPr>
              <w:widowControl/>
              <w:jc w:val="left"/>
              <w:textAlignment w:val="center"/>
              <w:rPr>
                <w:rFonts w:hint="eastAsia" w:asciiTheme="minorEastAsia" w:hAnsiTheme="minorEastAsia" w:eastAsiaTheme="minorEastAsia" w:cstheme="minorEastAsia"/>
                <w:color w:val="auto"/>
                <w:spacing w:val="1"/>
                <w:sz w:val="20"/>
                <w:szCs w:val="20"/>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1)结构展示：以视频的方式展示直流无刷电机、三相异步电机、永磁同步电机和开关磁阻电机的结构。</w:t>
            </w:r>
            <w:r>
              <w:rPr>
                <w:rFonts w:hint="eastAsia" w:ascii="仿宋" w:hAnsi="仿宋" w:eastAsia="仿宋" w:cs="仿宋"/>
                <w:b/>
                <w:bCs/>
                <w:color w:val="auto"/>
                <w:kern w:val="0"/>
                <w:szCs w:val="21"/>
                <w:highlight w:val="none"/>
              </w:rPr>
              <w:t>（提供相关截图作为佐证材料）</w:t>
            </w:r>
          </w:p>
          <w:p w14:paraId="5A20843F">
            <w:pPr>
              <w:widowControl/>
              <w:jc w:val="left"/>
              <w:rPr>
                <w:rFonts w:ascii="仿宋" w:hAnsi="仿宋" w:eastAsia="仿宋" w:cs="仿宋"/>
                <w:b/>
                <w:bCs/>
                <w:color w:val="auto"/>
                <w:kern w:val="0"/>
                <w:szCs w:val="21"/>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2)原理演示：模拟直流无刷电机、三相异步电机、永磁同步电机和开关磁阻电机的工作原理。</w:t>
            </w:r>
            <w:r>
              <w:rPr>
                <w:rFonts w:hint="eastAsia" w:ascii="仿宋" w:hAnsi="仿宋" w:eastAsia="仿宋" w:cs="仿宋"/>
                <w:b/>
                <w:bCs/>
                <w:color w:val="auto"/>
                <w:kern w:val="0"/>
                <w:szCs w:val="21"/>
                <w:highlight w:val="none"/>
              </w:rPr>
              <w:t>（提供相关截图作为佐证材料）</w:t>
            </w:r>
          </w:p>
          <w:p w14:paraId="4ECB401C">
            <w:pPr>
              <w:widowControl/>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3)展示特效：模拟直流无刷电机、三相异步电机、永磁同步电机和开关磁阻电机运行时的机械运动、电路传递和磁场状态等特效。</w:t>
            </w:r>
            <w:r>
              <w:rPr>
                <w:rFonts w:hint="eastAsia" w:ascii="仿宋" w:hAnsi="仿宋" w:eastAsia="仿宋" w:cs="仿宋"/>
                <w:b/>
                <w:bCs/>
                <w:color w:val="auto"/>
                <w:kern w:val="0"/>
                <w:szCs w:val="21"/>
                <w:highlight w:val="none"/>
              </w:rPr>
              <w:t>（提供相关截图作为佐证材料）</w:t>
            </w:r>
          </w:p>
          <w:p w14:paraId="6667615D">
            <w:pPr>
              <w:widowControl/>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二、内容</w:t>
            </w:r>
          </w:p>
          <w:p w14:paraId="6A3EF63C">
            <w:pPr>
              <w:pStyle w:val="7"/>
              <w:spacing w:line="400" w:lineRule="exact"/>
              <w:jc w:val="both"/>
              <w:rPr>
                <w:rFonts w:ascii="仿宋" w:hAnsi="仿宋" w:eastAsia="仿宋" w:cs="仿宋"/>
                <w:b/>
                <w:bCs/>
                <w:color w:val="auto"/>
                <w:kern w:val="0"/>
                <w:sz w:val="21"/>
                <w:szCs w:val="21"/>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1)直流无刷电机、三相异步电机、永磁同步电机和开关磁阻电机结构展示、原理演示。</w:t>
            </w:r>
            <w:r>
              <w:rPr>
                <w:rFonts w:hint="eastAsia" w:ascii="仿宋" w:hAnsi="仿宋" w:eastAsia="仿宋" w:cs="仿宋"/>
                <w:b/>
                <w:bCs/>
                <w:color w:val="auto"/>
                <w:kern w:val="0"/>
                <w:sz w:val="21"/>
                <w:szCs w:val="21"/>
                <w:highlight w:val="none"/>
              </w:rPr>
              <w:t>（提供相关截图作为佐证材料）</w:t>
            </w:r>
          </w:p>
          <w:p w14:paraId="4536CBB6">
            <w:pPr>
              <w:pStyle w:val="7"/>
              <w:spacing w:line="400" w:lineRule="exact"/>
              <w:jc w:val="both"/>
              <w:rPr>
                <w:rFonts w:ascii="仿宋" w:hAnsi="仿宋" w:eastAsia="仿宋" w:cs="仿宋"/>
                <w:b/>
                <w:bCs/>
                <w:color w:val="auto"/>
                <w:kern w:val="0"/>
                <w:sz w:val="21"/>
                <w:szCs w:val="21"/>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2)结构展示包含电机结构、直流无刷电机结构、开关磁阻电机结构、三相异步电机结构、永磁同步电机结构、直流无刷电机壳体总成结构、直流无刷电机定子总成结构、直流无刷电机转子总成结构、直流无刷电机运行信息反馈组件结构、开关磁阻电机壳体总成结构、开关磁阻电机定子总成结构、开关磁阻电机转子总成结构、开关磁阻电机运行信息反馈组件结构、三相异步电机壳体总成结构、三相异步电机定子总成结构、三相异步电机转子总成结构、三相异步电机运行信息反馈组件结构、永磁同步电机壳体总成结构、永磁同步电机定子总成结构、永磁同步电机转子总成结构、永磁同步电机运行信息反馈组件结构。</w:t>
            </w:r>
            <w:r>
              <w:rPr>
                <w:rFonts w:hint="eastAsia" w:ascii="仿宋" w:hAnsi="仿宋" w:eastAsia="仿宋" w:cs="仿宋"/>
                <w:b/>
                <w:bCs/>
                <w:color w:val="auto"/>
                <w:kern w:val="0"/>
                <w:sz w:val="21"/>
                <w:szCs w:val="21"/>
                <w:highlight w:val="none"/>
              </w:rPr>
              <w:t>（提供相关截图作为佐证材料）</w:t>
            </w:r>
          </w:p>
          <w:p w14:paraId="1070CAB3">
            <w:pPr>
              <w:pStyle w:val="7"/>
              <w:spacing w:line="400" w:lineRule="exact"/>
              <w:jc w:val="both"/>
              <w:rPr>
                <w:rFonts w:hint="eastAsia" w:ascii="仿宋" w:hAnsi="仿宋" w:eastAsia="仿宋" w:cs="仿宋"/>
                <w:color w:val="auto"/>
                <w:kern w:val="0"/>
                <w:sz w:val="21"/>
                <w:szCs w:val="21"/>
                <w:highlight w:val="none"/>
              </w:rPr>
            </w:pPr>
            <w:r>
              <w:rPr>
                <w:rFonts w:hint="eastAsia" w:asciiTheme="minorEastAsia" w:hAnsiTheme="minorEastAsia" w:eastAsiaTheme="minorEastAsia" w:cstheme="minorEastAsia"/>
                <w:color w:val="auto"/>
                <w:kern w:val="0"/>
                <w:sz w:val="20"/>
                <w:szCs w:val="20"/>
                <w:highlight w:val="none"/>
              </w:rPr>
              <w:t>▲</w:t>
            </w:r>
            <w:r>
              <w:rPr>
                <w:rFonts w:hint="eastAsia" w:asciiTheme="minorEastAsia" w:hAnsiTheme="minorEastAsia" w:eastAsiaTheme="minorEastAsia" w:cstheme="minorEastAsia"/>
                <w:color w:val="auto"/>
                <w:sz w:val="20"/>
                <w:szCs w:val="20"/>
                <w:highlight w:val="none"/>
              </w:rPr>
              <w:t>3)原理演示包含电机原理、直流无刷电机原理、开关磁阻电机原理、三相异步电机原理、永磁同步电机原理、直流无刷电机定子总成原理、直流无刷电机转子总成原理、直流无刷电机运行信息反馈组件原理、开关磁阻电机定子总成原理、开关磁阻电机转子总成原理、开关磁阻电机运行信息反馈组件原理、三相异步电机定子总成原理、三相异步电机转子总成原理、三相异步电机运行信息反馈组件原理、永磁同步电机定子总成原理、永磁同步电机转子总成原理、永磁同步电机运行信息反馈组件原理。</w:t>
            </w:r>
            <w:r>
              <w:rPr>
                <w:rFonts w:hint="eastAsia" w:ascii="仿宋" w:hAnsi="仿宋" w:eastAsia="仿宋" w:cs="仿宋"/>
                <w:b/>
                <w:bCs/>
                <w:color w:val="auto"/>
                <w:kern w:val="0"/>
                <w:sz w:val="21"/>
                <w:szCs w:val="21"/>
                <w:highlight w:val="none"/>
              </w:rPr>
              <w:t>（提供相关截图作为佐证材料）</w:t>
            </w:r>
          </w:p>
        </w:tc>
        <w:tc>
          <w:tcPr>
            <w:tcW w:w="560" w:type="dxa"/>
            <w:tcBorders>
              <w:top w:val="single" w:color="auto" w:sz="4" w:space="0"/>
              <w:left w:val="single" w:color="auto" w:sz="4" w:space="0"/>
              <w:bottom w:val="single" w:color="auto" w:sz="4" w:space="0"/>
              <w:right w:val="single" w:color="auto" w:sz="4" w:space="0"/>
            </w:tcBorders>
            <w:vAlign w:val="center"/>
          </w:tcPr>
          <w:p w14:paraId="521CECA0">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AAE876C">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300" w:type="dxa"/>
            <w:tcBorders>
              <w:top w:val="single" w:color="auto" w:sz="4" w:space="0"/>
              <w:left w:val="single" w:color="auto" w:sz="4" w:space="0"/>
              <w:bottom w:val="single" w:color="auto" w:sz="4" w:space="0"/>
              <w:right w:val="single" w:color="auto" w:sz="4" w:space="0"/>
            </w:tcBorders>
            <w:vAlign w:val="center"/>
          </w:tcPr>
          <w:p w14:paraId="548E172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98000.00</w:t>
            </w:r>
          </w:p>
        </w:tc>
      </w:tr>
      <w:tr w14:paraId="15B9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20A84C5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608D557">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汽车资源库显示系统</w:t>
            </w:r>
          </w:p>
        </w:tc>
        <w:tc>
          <w:tcPr>
            <w:tcW w:w="4891" w:type="dxa"/>
            <w:tcBorders>
              <w:top w:val="single" w:color="auto" w:sz="4" w:space="0"/>
              <w:left w:val="single" w:color="auto" w:sz="4" w:space="0"/>
              <w:bottom w:val="single" w:color="auto" w:sz="4" w:space="0"/>
              <w:right w:val="single" w:color="auto" w:sz="4" w:space="0"/>
            </w:tcBorders>
            <w:vAlign w:val="center"/>
          </w:tcPr>
          <w:p w14:paraId="0BED35C3">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汽车教学考试平台</w:t>
            </w:r>
          </w:p>
          <w:p w14:paraId="26343470">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1概述：汽车教学考试平台适用于汽车类专业教师教学、学生电子化阅读学习、考试与练习，汽车专业资料存放。</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2功能特点</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▲2.1有教师管理、学生管理、题库管理、试卷组成、考试管理、历史查询、分数查阅、考试统计等功能；</w:t>
            </w:r>
            <w:r>
              <w:rPr>
                <w:rFonts w:hint="eastAsia" w:ascii="仿宋" w:hAnsi="仿宋" w:eastAsia="仿宋" w:cs="仿宋"/>
                <w:b/>
                <w:bCs/>
                <w:color w:val="auto"/>
                <w:kern w:val="0"/>
                <w:sz w:val="21"/>
                <w:szCs w:val="21"/>
                <w:highlight w:val="none"/>
              </w:rPr>
              <w:t>（提供相关截图作为佐证材料）</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2.2学员登录考试界面答题内容不分先后顺序，可以随意的操作、每项的成绩互不影响；</w:t>
            </w:r>
          </w:p>
          <w:p w14:paraId="3BCC61D0">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考试管理模块包括新建考试、查看和修改考试、密码设置（密码分配后自动按学号形成表格，不能进行修改）、查看密码、随机选题、分发试卷、开始考试、结束考试、成绩统计和考试结果管理以及考生答卷详情；</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2.4学生答卷的每个典型流程中的每一个答题参数，都能完整记录，由系统完成自动打分；系统根据各个试题按照要求自动换算为百分制；有随机抽取考试，抽取的数量和机制有管理员自由设置；</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▲2.5后台具有用户管理、基础信息管理、试题管理、试卷管理、考试管理、个人信息管理、在线用户管理、控制考试等；</w:t>
            </w:r>
            <w:r>
              <w:rPr>
                <w:rFonts w:hint="eastAsia" w:ascii="仿宋" w:hAnsi="仿宋" w:eastAsia="仿宋" w:cs="仿宋"/>
                <w:b/>
                <w:bCs/>
                <w:color w:val="auto"/>
                <w:kern w:val="0"/>
                <w:sz w:val="21"/>
                <w:szCs w:val="21"/>
                <w:highlight w:val="none"/>
              </w:rPr>
              <w:t>（提供相关截图作为佐证材料）</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▲2.6该系统在同一网络环境下运行，学员不需要下载APP或安装软件，通过教师端发送的网页链接或二维码扫码链接就可以进入该系统学习或考试；</w:t>
            </w:r>
            <w:r>
              <w:rPr>
                <w:rFonts w:hint="eastAsia" w:ascii="仿宋" w:hAnsi="仿宋" w:eastAsia="仿宋" w:cs="仿宋"/>
                <w:b/>
                <w:bCs/>
                <w:color w:val="auto"/>
                <w:kern w:val="0"/>
                <w:sz w:val="21"/>
                <w:szCs w:val="21"/>
                <w:highlight w:val="none"/>
              </w:rPr>
              <w:t xml:space="preserve">（提供相关截图作为佐证材料）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2.7平台可以批量上传录入学员信息、试题、课件、电子版教材；批量导出学生成绩等功能；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2.8平台内放置1000道新能源汽车试题；</w:t>
            </w:r>
          </w:p>
          <w:p w14:paraId="2AD13A1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2.9不少于10个车型维修手册电子版；</w:t>
            </w:r>
          </w:p>
          <w:p w14:paraId="37AE297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2.10不少于50个新能源汽车相关教学视频；</w:t>
            </w:r>
          </w:p>
          <w:p w14:paraId="2F78D0E2">
            <w:pPr>
              <w:pStyle w:val="7"/>
              <w:spacing w:line="4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2.11平台里电子教材、实训指导书、工作页、视频、动画等教师可以批量上传与更新。</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二、配套读取器：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液晶屏基本参数：</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液晶屏尺寸：85寸" (英寸)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液晶品牌：AU，LG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点分辨率：1920(RGB)×1080(FHD)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宽 高 比： 16:9 (宽:高)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点 间 距 (横*竖)：0.248×0.744mm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可视区域 (横*竖)：1430.2*805.2mm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亮    度：360cd/m2 (Typ.)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透射对比度：4000:1 (Typ.)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显示颜色：16.7M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色彩饱和度：72%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响应时间：8ms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可视角度：89/89/89/89 (Typ.)(CR≥10) (左/右/上/下)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工作环境：—30－ 80 ℃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理论寿命:50000H</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安卓版配置：</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CPU：I5四代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主板：工控主板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主板构架：X86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内存：4G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硬盘：128G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外部I/O口：2×USB2.0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红外触摸：10点红外触摸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音频输出：≤8Ω5W （R/L）1*2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电源线：中式三角插头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PC电源：12V5A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网络接口：集成网卡，RJ45接口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显示接口：集成显卡，支持HDMI、VGA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音频接口：集成声卡，支持Line-out,MIC-in接口。板载5W功放，支持Spdif光纤输出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扩展总线：2*MINI- PCIE扩展槽 ，支持蓝牙、WIFI、3G、MSATA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操作系统：Windows XP,WINDOWS 7 -32位，64位。Windows 8 等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芯片：982安卓11.0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CPU ：Cortex A53*2 1.3GHz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GPU ：Mail450MP4 600MHZ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RAM ：4G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Flash：32G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Android version ：982安卓11.0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面板：LCD/LED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分辨率：1920*1080/60Hz;3840*2160/60Hz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ATV ：NTSC、PAL、SECAM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DTV ：DTMB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音频输入：支持 3840*2160P 分辨率输入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视频：MPEG-2/4,AVS,H.264,H.265,TS,Realmedia...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音频：MPEG1/2 layer I/II,AC-3(需定制),AAC-Lc,WMA</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外观尺寸（面板）：1482.4*895.1*48.5mm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材质：金属拉丝边框，五金背板，五金底座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重量：整机重量68.4kg左右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颜色：黑色 .</w:t>
            </w:r>
          </w:p>
        </w:tc>
        <w:tc>
          <w:tcPr>
            <w:tcW w:w="560" w:type="dxa"/>
            <w:tcBorders>
              <w:top w:val="single" w:color="auto" w:sz="4" w:space="0"/>
              <w:left w:val="single" w:color="auto" w:sz="4" w:space="0"/>
              <w:bottom w:val="single" w:color="auto" w:sz="4" w:space="0"/>
              <w:right w:val="single" w:color="auto" w:sz="4" w:space="0"/>
            </w:tcBorders>
            <w:vAlign w:val="center"/>
          </w:tcPr>
          <w:p w14:paraId="48F2391B">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2</w:t>
            </w:r>
          </w:p>
        </w:tc>
        <w:tc>
          <w:tcPr>
            <w:tcW w:w="743" w:type="dxa"/>
            <w:tcBorders>
              <w:top w:val="single" w:color="auto" w:sz="4" w:space="0"/>
              <w:left w:val="single" w:color="auto" w:sz="4" w:space="0"/>
              <w:bottom w:val="single" w:color="auto" w:sz="4" w:space="0"/>
              <w:right w:val="single" w:color="auto" w:sz="4" w:space="0"/>
            </w:tcBorders>
            <w:vAlign w:val="center"/>
          </w:tcPr>
          <w:p w14:paraId="0F8593D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12850FC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20800.00</w:t>
            </w:r>
          </w:p>
        </w:tc>
      </w:tr>
      <w:tr w14:paraId="2B34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174C6E6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60184032">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新能源电动车电池管理开发设计实训箱</w:t>
            </w:r>
          </w:p>
        </w:tc>
        <w:tc>
          <w:tcPr>
            <w:tcW w:w="4891" w:type="dxa"/>
            <w:tcBorders>
              <w:top w:val="single" w:color="auto" w:sz="4" w:space="0"/>
              <w:left w:val="single" w:color="auto" w:sz="4" w:space="0"/>
              <w:bottom w:val="single" w:color="auto" w:sz="4" w:space="0"/>
              <w:right w:val="single" w:color="auto" w:sz="4" w:space="0"/>
            </w:tcBorders>
            <w:vAlign w:val="center"/>
          </w:tcPr>
          <w:p w14:paraId="1D63B467">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产品要求：</w:t>
            </w:r>
          </w:p>
          <w:p w14:paraId="150C9F06">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新能源电动车电池结构认知和电池管理系统实训箱是由型铝合金箱体和各个种类的电池以及电池包各类仪表等组成。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1.对主要的常用的电池组，进行充放电实训、检测和电池温度等进行控制和管理。</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2.把以上1、2两部分做在一个实训箱里，一箱多能，节省实训箱数量，同时还方便不同种类的电池之间进行外观和结构的比较，还能进行充放电实验和电池充放电的管理。</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二、配置要求：</w:t>
            </w:r>
          </w:p>
          <w:p w14:paraId="203D6739">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电源开关1个、电源指示灯1个。</w:t>
            </w:r>
          </w:p>
          <w:p w14:paraId="6EADB877">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不同种类不同密度的14500单体电池5个：磷酸铁锂电池、锂离子电池、镍镉电池、碱性电池、镍氢电池以及电池盒各一个 </w:t>
            </w:r>
          </w:p>
          <w:p w14:paraId="198AA75E">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3、由9节电池组成的3P-3S（3串3并）11.1V(通常称为12V)电池包1个。</w:t>
            </w:r>
          </w:p>
          <w:p w14:paraId="7743779E">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4、电压表5个、电流表4个、温度表1个。各个仪表，可以分别对各路充放电的电压和电流就行实时观测，同时还可以对充放电时电池的温度进行观测。</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5、用电器8个：分别由21W和5W 12V和5V的各个灯泡组成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6、充放电选择开关4个，用电器选择开关8个。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7、单体电池充电完成和放电到规定值指示灯各4个。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8、用于存放18650锂离子电池收纳盒2个。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9、温度传感器1个，温度传感器加热系统1套，加热开关1个。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10、冷却风扇1个。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11、交、直流充电器各一个，单体电池充电器有快充和慢充选择。</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12、模拟电池管理系统控制板1套。</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13、检测端子20个，可以检测各个单体电池或者电池包的实时电压。</w:t>
            </w:r>
          </w:p>
          <w:p w14:paraId="7250EA9F">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14、高档豪华一次性挤压成型氧化喷砂铝合金金属箱体1个。</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15、彩色喷绘面板一块。</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16、实训指导书1本。</w:t>
            </w:r>
          </w:p>
          <w:p w14:paraId="2545CA47">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三、实现功能要求：</w:t>
            </w:r>
          </w:p>
          <w:p w14:paraId="016DCAA8">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充分展示不同种类电池的结构和特点，其中包括单体电池密度比较（相同提价下的电池容量），基准电压值检测，电池包串并联结构形式展示；还可以通过各个检测端子对其所对应的单体电池或者电池包进行实时的电压检测。</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2.电池的充电管理：当电池的电压值低到一定程度，通过系统自带的电压表进行观察，可以分别对单体电池或者电池包进行充电和管理，断开各个用电器开关， 打开充电开关，系统会对单体电池或者电池包进行充电，充电到一定电压值时，系统会对充电系统进行干预，使电池不至于因为过度充电而损毁或者缩短电池的使用寿命；同时单体电池充电系统还可以模拟快充和慢充实验，快充实验选择2A电流充电，慢充选择0.5A电流充电，实验中进行观察，看看同一单体电池从同样的电量电压值开始充电，充电完成所需要的时间有什么不同，之所以选择单体电池，是因为充放电时间相对于电池包而言，用时相对较短；充电完毕，电池管理系统会切断充电电路，对电池进行保护。</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电池的放电管理，当电池充足电以后，打开放电开关，对系统中的不同瓦数的用电器（灯泡）进行放电实验，对于同一个单体电池或者电池包，在同样的电压值下进行不同瓦数的用电器放电，观测放到一定电压值所需的时间差别，同时还可以在系统自带的仪表上观察不同瓦数的用电器放电时的电流差别；同时当电池电压达到一定值时，电源管理系统会切断电池和用电器之间的电路，对电池进行保护。</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4.电池的温度控制和管理：不论单体电池充电还是放电，当电池温度达到一定值时，电池管理系统会对电池进行降温处理，也就是会自动启动冷却风扇（或者冷却水泵），对电池进行保护；这里通过温度传感器加热系统，对温度传感器进行加热处理，通过自然环境温度对温度传感器进行冷却处理，以此来模拟电池的升温和降温以及实时的起动对应的保护措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5.电池管理系统控制板：可对电池过充和过放以及电池温度达到一定值时，对电池进行保护，即具有二次开发功能。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6.通过编程后的单片机系统控制板，对电池电压、温度进行采样，能够做到实时对电池的状态进行检测，当电池的电压达到一定值和电池的温度达到一定数值时，对过度充电和过度放电以及高温进行干预和保护。</w:t>
            </w:r>
          </w:p>
          <w:p w14:paraId="6C043FBB">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7.可实现系统二次开发</w:t>
            </w:r>
          </w:p>
          <w:p w14:paraId="7A0DEBAE">
            <w:pPr>
              <w:pStyle w:val="7"/>
              <w:wordWrap w:val="0"/>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四、设备参数</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1、工作电压AC220V,DC12V,DC5V;</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2、重量8KG（±0.5 KG</w:t>
            </w:r>
          </w:p>
        </w:tc>
        <w:tc>
          <w:tcPr>
            <w:tcW w:w="560" w:type="dxa"/>
            <w:tcBorders>
              <w:top w:val="single" w:color="auto" w:sz="4" w:space="0"/>
              <w:left w:val="single" w:color="auto" w:sz="4" w:space="0"/>
              <w:bottom w:val="single" w:color="auto" w:sz="4" w:space="0"/>
              <w:right w:val="single" w:color="auto" w:sz="4" w:space="0"/>
            </w:tcBorders>
            <w:vAlign w:val="center"/>
          </w:tcPr>
          <w:p w14:paraId="03177C9C">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7140CA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1736C51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12800.00</w:t>
            </w:r>
          </w:p>
        </w:tc>
      </w:tr>
      <w:tr w14:paraId="5FBE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13F28FEC">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F15DAC3">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新能源电动车电机开发实训箱</w:t>
            </w:r>
          </w:p>
        </w:tc>
        <w:tc>
          <w:tcPr>
            <w:tcW w:w="4891" w:type="dxa"/>
            <w:tcBorders>
              <w:top w:val="single" w:color="auto" w:sz="4" w:space="0"/>
              <w:left w:val="single" w:color="auto" w:sz="4" w:space="0"/>
              <w:bottom w:val="single" w:color="auto" w:sz="4" w:space="0"/>
              <w:right w:val="single" w:color="auto" w:sz="4" w:space="0"/>
            </w:tcBorders>
            <w:vAlign w:val="center"/>
          </w:tcPr>
          <w:p w14:paraId="54762A14">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一、参数要求：</w:t>
            </w:r>
          </w:p>
          <w:p w14:paraId="543926CB">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选用新能源车厂家常用的交流永磁同步电机和异步电机，对它的结构组成，工作原理，进行展示和运行，电路采用MCU技术集成电路板，可实现系统二次开发，充分体现电动机和发电机之间的角色互换。</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二、功能要求：</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1、了解常用永磁同步电机和异步感应电机的结构组成和特点：永磁同步电机由带有线圈的定子、永磁体转子、和电机壳体组成；异步感应电机由带有线圈的定子、鼠笼式转子、电机壳体以及调速反馈器组成。</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按面板上绘制的电机连线图，连接电机和电源；电机上电作为电动机功能运行演示，给永磁同步电机上电运转，通过调整变频器上的调速旋钮，控制电机的转速，改变其正反转开关位置，观察其旋转方向的变化；给异步感应电机上电，通过调整异步电机调速器控制其转速与输出扭矩，改变其正反转开关位置，观察其旋转方向的变化。</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电机断电，储能轮惯性运行转变为发电机功能演示：分别将两个运转中的电机断电，使其依靠惯性继续运转，此时已经没有了动力源，此时高速运转的转子，通过气固有的磁性切割定子线圈，使其产生感应电压，把能量回收指示灯点亮，转速越高，能量回收指示灯越亮。</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4、通过观察面板上的交流电压表数值变化，看其和转速以及输出力矩的关系。</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5、通过以上实验，验证结论：对于电机而言，改变频率会改变其转速，改变电压会改变其输出扭矩。</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6、可实现系统二次开发</w:t>
            </w:r>
            <w:r>
              <w:rPr>
                <w:rFonts w:hint="eastAsia" w:ascii="仿宋" w:hAnsi="仿宋" w:eastAsia="仿宋" w:cs="仿宋"/>
                <w:color w:val="auto"/>
                <w:kern w:val="0"/>
                <w:sz w:val="21"/>
                <w:szCs w:val="21"/>
                <w:highlight w:val="none"/>
              </w:rPr>
              <w:br w:type="textWrapping"/>
            </w:r>
            <w:r>
              <w:rPr>
                <w:rFonts w:hint="eastAsia" w:ascii="仿宋" w:hAnsi="仿宋" w:eastAsia="仿宋" w:cs="仿宋"/>
                <w:b/>
                <w:bCs/>
                <w:color w:val="auto"/>
                <w:kern w:val="0"/>
                <w:sz w:val="21"/>
                <w:szCs w:val="21"/>
                <w:highlight w:val="none"/>
              </w:rPr>
              <w:t>▲投标时需提供</w:t>
            </w:r>
            <w:r>
              <w:rPr>
                <w:rFonts w:hint="eastAsia" w:ascii="仿宋" w:hAnsi="仿宋" w:eastAsia="仿宋" w:cs="仿宋"/>
                <w:b/>
                <w:bCs/>
                <w:color w:val="auto"/>
                <w:kern w:val="0"/>
                <w:sz w:val="21"/>
                <w:szCs w:val="21"/>
                <w:highlight w:val="none"/>
                <w:lang w:val="en-US" w:eastAsia="zh-CN"/>
              </w:rPr>
              <w:t>国家认可的</w:t>
            </w:r>
            <w:r>
              <w:rPr>
                <w:rFonts w:hint="eastAsia" w:ascii="仿宋" w:hAnsi="仿宋" w:eastAsia="仿宋" w:cs="仿宋"/>
                <w:b/>
                <w:bCs/>
                <w:color w:val="auto"/>
                <w:kern w:val="0"/>
                <w:sz w:val="21"/>
                <w:szCs w:val="21"/>
                <w:highlight w:val="none"/>
              </w:rPr>
              <w:t>第三方检测机构出具的有效的新能源电动车电机开发实训箱检验报告复印件加盖供应商公章。</w:t>
            </w:r>
          </w:p>
        </w:tc>
        <w:tc>
          <w:tcPr>
            <w:tcW w:w="560" w:type="dxa"/>
            <w:tcBorders>
              <w:top w:val="single" w:color="auto" w:sz="4" w:space="0"/>
              <w:left w:val="single" w:color="auto" w:sz="4" w:space="0"/>
              <w:bottom w:val="single" w:color="auto" w:sz="4" w:space="0"/>
              <w:right w:val="single" w:color="auto" w:sz="4" w:space="0"/>
            </w:tcBorders>
            <w:vAlign w:val="center"/>
          </w:tcPr>
          <w:p w14:paraId="2F92184F">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12BB4B0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3639BAC3">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13500.00</w:t>
            </w:r>
          </w:p>
        </w:tc>
      </w:tr>
      <w:tr w14:paraId="7F1A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2BCCA668">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00A1BA1">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新能源汽车电工电子实训箱</w:t>
            </w:r>
          </w:p>
        </w:tc>
        <w:tc>
          <w:tcPr>
            <w:tcW w:w="4891" w:type="dxa"/>
            <w:tcBorders>
              <w:top w:val="single" w:color="auto" w:sz="4" w:space="0"/>
              <w:left w:val="single" w:color="auto" w:sz="4" w:space="0"/>
              <w:bottom w:val="single" w:color="auto" w:sz="4" w:space="0"/>
              <w:right w:val="single" w:color="auto" w:sz="4" w:space="0"/>
            </w:tcBorders>
            <w:vAlign w:val="center"/>
          </w:tcPr>
          <w:p w14:paraId="1ED2A0DE">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功能特点</w:t>
            </w:r>
          </w:p>
          <w:p w14:paraId="11723307">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总体工艺：采用3mm厚绿色优质电路板，背面固定有磁铁，元件板可以吸附在黑板上和学生的实训板上，方便学生实训和教师教学。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1.学生实训用彩色液晶示波器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采用数字彩色液晶屏，采样频率1M，自动量程，界面友好，单通道，工作电源采用12V直流电源，示波器可以吸附于任何铁质板上。（配小示波器）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2.波形信号发生器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液晶显示设定波形内容，可以产生方波、正弦波、阶梯波、三角波和杂波，频率和占空比可以任意调节，输出振幅可以调节，输出为TTL电平和对称波输出，输出频率范围：0-500KHz。</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3.小型万用表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外形尺寸：500MM×400MM×250MM。</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交流电压档：0-20V</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毫伏档：0mV-2V</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直流电压档：0-20V</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直流电流档：0-2A</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电阻档：0-2M</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交流电流档0-2A</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4.可充电锂电池组</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0-4A大电流输出锂电池电源，具备断路自保护功能，输出电压类型为12V、5V和1-12V连续可调三种电压，锂电池可以反复充电。</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   5.实训指导书</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按照规划好的实训项目编制实训指导书，实训指导书按照项目细分目的和要求、实训课时、实训器材、原理与应用、实训步骤(讲解、演示、汽车上的应用、学生演示、考核、教学延伸)、注意事项、实训小结等编写。</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二、可以完成基本实验电路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（一）特性实训电路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1.欧姆定律实训电路</w:t>
            </w:r>
          </w:p>
          <w:p w14:paraId="651C5481">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2.电功率实训电路、串并联实训特性电路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3.惠斯通电桥实训电路</w:t>
            </w:r>
          </w:p>
          <w:p w14:paraId="0AE2C537">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4.热敏电阻特性实训电路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5.光敏电阻特性实训电路</w:t>
            </w:r>
          </w:p>
          <w:p w14:paraId="38B4751F">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6.磁簧管特性实训电路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7.二极管特性实训电路</w:t>
            </w:r>
          </w:p>
          <w:p w14:paraId="7DFDEB31">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8.稳压二极管特性电路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9.发光二极管特性实训电路</w:t>
            </w:r>
          </w:p>
          <w:p w14:paraId="1134BB34">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10.全波和半波整流实训电路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11.光敏二极管特性实训电路</w:t>
            </w:r>
          </w:p>
          <w:p w14:paraId="2EFE6BDF">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12.三极管特性实训电路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13.场效应管特性实训电路</w:t>
            </w:r>
          </w:p>
          <w:p w14:paraId="717D0367">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14.可控硅特性实训电路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15.双极放大电路实训</w:t>
            </w:r>
          </w:p>
          <w:p w14:paraId="63F88BDD">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16.继电器控制实训电路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17.7段数码管特性实训电路</w:t>
            </w:r>
          </w:p>
          <w:p w14:paraId="511A8A74">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18.楞次定律实训电路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19.变压器实训电路</w:t>
            </w:r>
          </w:p>
          <w:p w14:paraId="023E76EF">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20.互感特性实训电路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21.霍尔传感器特性电路</w:t>
            </w:r>
          </w:p>
          <w:p w14:paraId="31656CCB">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22.各种电位器特性电路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23.电容充放电实训电路</w:t>
            </w:r>
          </w:p>
          <w:p w14:paraId="1B0B638B">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24.555时基实训电路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25.运算放大器特性电路</w:t>
            </w:r>
          </w:p>
          <w:p w14:paraId="1EF69407">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26.比较器特性实训电路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27.压电陶瓷特性实训电路</w:t>
            </w:r>
          </w:p>
          <w:p w14:paraId="7499A3C9">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28.三端集成稳压实训电路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29.光电耦合特性实训电路</w:t>
            </w:r>
          </w:p>
          <w:p w14:paraId="452D4EA7">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30.电容的串并联实训电路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（二）在汽车上的应用实训电路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1.三极管驱动执行器开关电路</w:t>
            </w:r>
          </w:p>
          <w:p w14:paraId="762F4796">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2.整流稳压滤波电源实训电路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3.定时延时实训电路</w:t>
            </w:r>
          </w:p>
          <w:p w14:paraId="0EDA4D6A">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4.汽车直流升压点火电路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5.压电陶瓷特性测量汽车爆震</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6.自动灯光控制电路实训(光敏二极管应用)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7.汽车夜间会车自动变光电路实训(光敏电阻应用)</w:t>
            </w:r>
          </w:p>
          <w:p w14:paraId="67D8A22A">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8.汽车水温自动控制电路实训(窗口比较器应用)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9.场效应管驱动汽车功率元件</w:t>
            </w:r>
          </w:p>
          <w:p w14:paraId="7CD20A1C">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10.汽车空调阳光强度风量(控制风扇转速)电路实训(光敏二极管特性应用)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11.汽车仪表灯光亮度调节(可变电阻器特性应用)</w:t>
            </w:r>
          </w:p>
          <w:p w14:paraId="20DAC0BF">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12.汽车氧传感器浓稀指示电路实训(比较器特性应用)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13.光电耦合自动控制电机运转电路(光电耦合特性电路)</w:t>
            </w:r>
          </w:p>
          <w:p w14:paraId="03211A82">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14.机油液位报警电路实训(555时基电路应用)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15.车速传感器信号模拟电路(555时基频率发生电路应用)</w:t>
            </w:r>
          </w:p>
          <w:p w14:paraId="2802ACC4">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16.旋转滑阀怠速马达控制电路实训(555时基占空比电路应用)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17.空调风扇转速自动调节电路(555时基占空比及三极管放大原理电路应用)</w:t>
            </w:r>
          </w:p>
          <w:p w14:paraId="09AAB63F">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18.雨刮水液位报警电路实训(舌簧管原理应用)</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19.汽车座椅位置感应电炉实训(霍尔传感器特性应用)</w:t>
            </w:r>
          </w:p>
          <w:p w14:paraId="751E4D99">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20.防盗系统震动报警实训电路</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21.CAN总线实训电路</w:t>
            </w:r>
          </w:p>
        </w:tc>
        <w:tc>
          <w:tcPr>
            <w:tcW w:w="560" w:type="dxa"/>
            <w:tcBorders>
              <w:top w:val="single" w:color="auto" w:sz="4" w:space="0"/>
              <w:left w:val="single" w:color="auto" w:sz="4" w:space="0"/>
              <w:bottom w:val="single" w:color="auto" w:sz="4" w:space="0"/>
              <w:right w:val="single" w:color="auto" w:sz="4" w:space="0"/>
            </w:tcBorders>
            <w:vAlign w:val="center"/>
          </w:tcPr>
          <w:p w14:paraId="2693E80F">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133A5C7F">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40FB2DD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12800.00</w:t>
            </w:r>
          </w:p>
        </w:tc>
      </w:tr>
      <w:tr w14:paraId="0CDD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273CE512">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5A95A480">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汽车电器实验箱</w:t>
            </w:r>
          </w:p>
        </w:tc>
        <w:tc>
          <w:tcPr>
            <w:tcW w:w="4891" w:type="dxa"/>
            <w:tcBorders>
              <w:top w:val="single" w:color="auto" w:sz="4" w:space="0"/>
              <w:left w:val="single" w:color="auto" w:sz="4" w:space="0"/>
              <w:bottom w:val="single" w:color="auto" w:sz="4" w:space="0"/>
              <w:right w:val="single" w:color="auto" w:sz="4" w:space="0"/>
            </w:tcBorders>
            <w:vAlign w:val="center"/>
          </w:tcPr>
          <w:p w14:paraId="39D49E9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一、汽车电器实验箱是新能源汽车整车实训系统中的一部分，帮助学员完成车身电器基础实验。</w:t>
            </w:r>
          </w:p>
          <w:p w14:paraId="2CD4C36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（一）技术要求</w:t>
            </w:r>
          </w:p>
          <w:p w14:paraId="7958F0E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1.产品至少由实训箱体、实训模块、连接线、电源线、实训指导书、教学软件等六部分组成，适用于电器部件连接教学。</w:t>
            </w:r>
          </w:p>
          <w:p w14:paraId="641EA761">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2.功能要求</w:t>
            </w:r>
          </w:p>
          <w:p w14:paraId="07082FF3">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（1）实训模块都是汽车电器功能部件或模拟部件组成。</w:t>
            </w:r>
          </w:p>
          <w:p w14:paraId="60242C7B">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（2）实训模块上有不同颜色的端子，可以根据实训需求选择不同模块进行连接达到实训目的。</w:t>
            </w:r>
          </w:p>
          <w:p w14:paraId="66CB552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（3）电源带有过载模块，防止在实训中多个模块连接时某些线路学员搭接错误或测量错误出现高电压或大电流，既保护实训人员也保护模块不被烧损。</w:t>
            </w:r>
          </w:p>
          <w:p w14:paraId="218EBDA5">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（4）连接线有大小两种型号，对大电流的模块需要大接线，培养学员对线束电流概念。</w:t>
            </w:r>
          </w:p>
          <w:p w14:paraId="7C0E1BCF">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（5）电器模块化后，方便实训，占用实训场地小，在理论教室的课座上就可以完成实训，真正做到课堂理实一体化。</w:t>
            </w:r>
          </w:p>
          <w:p w14:paraId="444DCF3B">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（6）实训模块主要材料采用大中小三种规格模具，整体结构美观大方，防摔和防压，耐油耐腐蚀，便于清洁，模具有一体成型高强度ABS吸塑外观，和实训模块安装为一体。</w:t>
            </w:r>
          </w:p>
          <w:p w14:paraId="7813EE29">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（7）组合开关带过流和过载保护，防止组合电路时错接线路对组合开关造成损坏。</w:t>
            </w:r>
          </w:p>
          <w:p w14:paraId="2FA4920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（8）模块上安装功能电器实物，发强光部件和易碎均有防护装置。</w:t>
            </w:r>
          </w:p>
          <w:p w14:paraId="57830F8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（9）实训模块统一放置实训箱内，每个模块上只安装一个部件或总成件。</w:t>
            </w:r>
          </w:p>
          <w:p w14:paraId="59F87B79">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3.产品规格要求</w:t>
            </w:r>
          </w:p>
          <w:p w14:paraId="2CA5B65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（1）电源电压220VAC转12VDC。</w:t>
            </w:r>
          </w:p>
          <w:p w14:paraId="6C50D1D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（2）实训箱尺寸（mm）：550×400×160（长×宽×高）（±5mm）。</w:t>
            </w:r>
          </w:p>
          <w:p w14:paraId="738FF634">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（3）每套实训箱数量：至少3个。</w:t>
            </w:r>
          </w:p>
          <w:p w14:paraId="74E530E2">
            <w:pPr>
              <w:pStyle w:val="7"/>
              <w:spacing w:line="460" w:lineRule="exact"/>
              <w:jc w:val="both"/>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▲4.设备基本配置需求</w:t>
            </w:r>
            <w:r>
              <w:rPr>
                <w:rFonts w:hint="eastAsia" w:ascii="仿宋" w:hAnsi="仿宋" w:eastAsia="仿宋" w:cs="仿宋"/>
                <w:b/>
                <w:bCs/>
                <w:color w:val="auto"/>
                <w:kern w:val="0"/>
                <w:sz w:val="21"/>
                <w:szCs w:val="21"/>
                <w:highlight w:val="none"/>
              </w:rPr>
              <w:t>（投标时需提供以下实训模块实物照片）</w:t>
            </w:r>
          </w:p>
          <w:p w14:paraId="17914205">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（1）灯泡：H4（2个）、H7（2个）、H9（2个）、双丝刹车灯泡（3个）、示宽灯（4个）、转向灯泡（4个）</w:t>
            </w:r>
          </w:p>
          <w:p w14:paraId="3A9E6D4B">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（2）闪光继电器：三脚型（2个）</w:t>
            </w:r>
          </w:p>
          <w:p w14:paraId="6AD3A7EA">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（3）继电器：4脚（2个）、5脚（2个）</w:t>
            </w:r>
          </w:p>
          <w:p w14:paraId="54DDBBC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（4）保险丝盒：可以同时安装5颗保险丝（1个）</w:t>
            </w:r>
          </w:p>
          <w:p w14:paraId="5978F624">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（5）灯光组合开关：旋钮式（1个）</w:t>
            </w:r>
          </w:p>
          <w:p w14:paraId="108795C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（6）点火开关 ：四个挡位（1个）</w:t>
            </w:r>
          </w:p>
          <w:p w14:paraId="3C8AA154">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（7）电机：可以正反旋转（工作电压12V）（2个）</w:t>
            </w:r>
          </w:p>
          <w:p w14:paraId="2D5BF4C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（8）风扇：工作电压12V（2个）</w:t>
            </w:r>
          </w:p>
          <w:p w14:paraId="3BCA20EE">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（9）蜂鸣器：工作电压12V（1个）</w:t>
            </w:r>
          </w:p>
          <w:p w14:paraId="545E0B7F">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（10）开关：普通开关（ON/OFF档位）（3个）、2档位开关（2档位可选选择）（2个）</w:t>
            </w:r>
          </w:p>
          <w:p w14:paraId="36EBFA74">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（11）电源：220V输入、输出12V/5V、30A/360W（1个）</w:t>
            </w:r>
          </w:p>
          <w:p w14:paraId="15F3FC8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（12）可变电阻：固定档位电阻、3个固定档位（2个）、旋钮调节、连续可调电阻（2个）</w:t>
            </w:r>
          </w:p>
          <w:p w14:paraId="4C2B65F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（13）导线：能把以上所有元件串联起来，组成工作电路（30根）</w:t>
            </w:r>
          </w:p>
          <w:p w14:paraId="37F4756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（14）电烙铁及焊锡：线路及元器件修复用（1套）</w:t>
            </w:r>
          </w:p>
          <w:p w14:paraId="38499A4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（二）配套新能源汽车电器教学软件，包含如下功能：</w:t>
            </w:r>
          </w:p>
          <w:p w14:paraId="7AAFB0A3">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1.软件可播放资源，资源类型包括：MP4，flash等格式。</w:t>
            </w:r>
          </w:p>
          <w:p w14:paraId="4118552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2.MP4资源播放时可暂停、显示资源播放进度，可拖动进度条。</w:t>
            </w:r>
          </w:p>
          <w:p w14:paraId="5D8871D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3.软件上可查阅文本资料，资料类型包括：pdf格式。可显示资料页码、当前页码、可拖动阅读进度条。</w:t>
            </w:r>
          </w:p>
          <w:p w14:paraId="568444C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4.软件出厂可预先导入部分视频，本部分视频不可以下载。</w:t>
            </w:r>
          </w:p>
          <w:p w14:paraId="2B4F9A47">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5.软件具有上传端口，用户可自主上传其制作的视频或文本资源，并可对其上传的资源进行管理，如删除等操作。</w:t>
            </w:r>
          </w:p>
          <w:p w14:paraId="27DE65AB">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6.资源可建立至少二级目录，方便用户按照类别查找，用户可自主建立或删除资源目录。</w:t>
            </w:r>
          </w:p>
          <w:p w14:paraId="19EF1CBA">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7.软件配套资源要求</w:t>
            </w:r>
          </w:p>
          <w:p w14:paraId="052DC99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一、汽车电器基本电路原理</w:t>
            </w:r>
          </w:p>
          <w:p w14:paraId="489C4ECC">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任务一汽车电路基础知识</w:t>
            </w:r>
          </w:p>
          <w:p w14:paraId="2F87BBE1">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配套实训指导书、工作页、二维动画1个</w:t>
            </w:r>
          </w:p>
          <w:p w14:paraId="053F836E">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任务二汽车电路开关与用电设备的基础原理</w:t>
            </w:r>
          </w:p>
          <w:p w14:paraId="70A1BA85">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配套实训指导书、工作页、二维动画1个</w:t>
            </w:r>
          </w:p>
          <w:p w14:paraId="077D7CE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任务三汽车电器娱乐系统结构原理</w:t>
            </w:r>
          </w:p>
          <w:p w14:paraId="742E4645">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配套实训指导书、工作页、二维动画1个</w:t>
            </w:r>
          </w:p>
          <w:p w14:paraId="2E4AAB6B">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二、汽车电路图认识</w:t>
            </w:r>
          </w:p>
          <w:p w14:paraId="019F068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任务一大众汽车电路图认识</w:t>
            </w:r>
          </w:p>
          <w:p w14:paraId="4CC96C83">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任务二丰田汽车电路图认识</w:t>
            </w:r>
          </w:p>
          <w:p w14:paraId="6654BBC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任务三通用汽车电路图认识</w:t>
            </w:r>
          </w:p>
          <w:p w14:paraId="5BB48C9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任务四比亚迪电路图认识</w:t>
            </w:r>
          </w:p>
          <w:p w14:paraId="3882921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▲三、汽车电器线路连接实训，配套实训指导书、工作页、二维动画</w:t>
            </w:r>
            <w:r>
              <w:rPr>
                <w:rFonts w:hint="eastAsia" w:ascii="仿宋" w:hAnsi="仿宋" w:eastAsia="仿宋" w:cs="仿宋"/>
                <w:b/>
                <w:bCs/>
                <w:color w:val="auto"/>
                <w:kern w:val="0"/>
                <w:sz w:val="21"/>
                <w:szCs w:val="21"/>
                <w:highlight w:val="none"/>
              </w:rPr>
              <w:t>（投标时需提供以下任务内容截图，包含实训指导书、工作页、二维动画）</w:t>
            </w:r>
          </w:p>
          <w:p w14:paraId="042C35C9">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任务一汽车小灯电路连接</w:t>
            </w:r>
          </w:p>
          <w:p w14:paraId="2F180BEE">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任务二汽车转向灯电路连接</w:t>
            </w:r>
          </w:p>
          <w:p w14:paraId="488E6DDF">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任务三汽车危险灯线路连接</w:t>
            </w:r>
          </w:p>
          <w:p w14:paraId="1B19D7A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任务四汽车雾灯电路连接</w:t>
            </w:r>
          </w:p>
          <w:p w14:paraId="4972309A">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任务五汽车近光灯电路连接</w:t>
            </w:r>
          </w:p>
          <w:p w14:paraId="3CBF5A1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任务六汽车远光灯电路连接</w:t>
            </w:r>
          </w:p>
          <w:p w14:paraId="13F0E00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任务七汽车音响电路连接</w:t>
            </w:r>
          </w:p>
          <w:p w14:paraId="1ACF500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任务八汽车鼓风机电路连接</w:t>
            </w:r>
          </w:p>
          <w:p w14:paraId="1E3EBE98">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任务九汽车冷却风扇电路连接</w:t>
            </w:r>
          </w:p>
          <w:p w14:paraId="682285B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任务十汽车音响系统电路连接</w:t>
            </w:r>
          </w:p>
          <w:p w14:paraId="0F7095AD">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四、汽车电器电路检测与维修</w:t>
            </w:r>
          </w:p>
          <w:p w14:paraId="6D2AB94E">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任务一汽车电器检测与维修工具介绍与使用方法</w:t>
            </w:r>
          </w:p>
          <w:p w14:paraId="1B13CCAA">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任务二汽车电器电路基本检测与维修思路及注意事项</w:t>
            </w:r>
          </w:p>
          <w:p w14:paraId="619F5BD0">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任务三汽车电器主要部件的检测方法</w:t>
            </w:r>
          </w:p>
          <w:p w14:paraId="39923466">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任务四汽车灯光电路检测与维修</w:t>
            </w:r>
          </w:p>
          <w:p w14:paraId="38F0EDDE">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任务五汽车电器发动机冷却风扇电路检测与维修</w:t>
            </w:r>
          </w:p>
          <w:p w14:paraId="0DE23C10">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任务六汽车电器门窗电路检测与维修</w:t>
            </w:r>
          </w:p>
          <w:p w14:paraId="3B26E032">
            <w:pPr>
              <w:pStyle w:val="7"/>
              <w:spacing w:line="4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任务七汽车音响系统电路检测与维修</w:t>
            </w:r>
          </w:p>
        </w:tc>
        <w:tc>
          <w:tcPr>
            <w:tcW w:w="560" w:type="dxa"/>
            <w:tcBorders>
              <w:top w:val="single" w:color="auto" w:sz="4" w:space="0"/>
              <w:left w:val="single" w:color="auto" w:sz="4" w:space="0"/>
              <w:bottom w:val="single" w:color="auto" w:sz="4" w:space="0"/>
              <w:right w:val="single" w:color="auto" w:sz="4" w:space="0"/>
            </w:tcBorders>
            <w:vAlign w:val="center"/>
          </w:tcPr>
          <w:p w14:paraId="5D73A259">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828156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74CA384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12800.00</w:t>
            </w:r>
          </w:p>
        </w:tc>
      </w:tr>
      <w:tr w14:paraId="714E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17E2CCF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1FF4D99">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新能源整车汽车智能连线实训箱</w:t>
            </w:r>
          </w:p>
        </w:tc>
        <w:tc>
          <w:tcPr>
            <w:tcW w:w="4891" w:type="dxa"/>
            <w:tcBorders>
              <w:top w:val="single" w:color="auto" w:sz="4" w:space="0"/>
              <w:left w:val="single" w:color="auto" w:sz="4" w:space="0"/>
              <w:bottom w:val="single" w:color="auto" w:sz="4" w:space="0"/>
              <w:right w:val="single" w:color="auto" w:sz="4" w:space="0"/>
            </w:tcBorders>
            <w:vAlign w:val="center"/>
          </w:tcPr>
          <w:p w14:paraId="2A50ADFE">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组成</w:t>
            </w:r>
          </w:p>
          <w:p w14:paraId="742FA0B8">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训箱平台系统、纯电动汽车整车动力线路模块、纯电动汽车高压配电系统模块、纯电动汽车降压DC/DC模块、纯电动汽车车载充电机模块、纯电动汽车电机控制器模块、纯电动汽车空调系统模块、纯电动汽车空调结构模块、纯电动汽车充电系统模块、纯电动汽车升压DC/DC控制器模块、纯电动汽车动力电池包模块,纯电动汽车CAN网路模块、纯电动汽车启动系统模块、纯电动汽车制动系模块、混合动力汽车启动系统模块、混合动力汽车驱动系统模块、连接线、实训指导书。</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二、功能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 实验箱采用MCU单片机控制电路设计，电脑自动判别连线是否正确，自动清除错误，智能化程度高，可进行练习和考核。</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 可以完成实训练习接线和考核实训接线两种教学任务。实验时可自动智能判断，功能包括：①连线好坏自动判断功能；②引导学员连线的学习功能；③计时考核功能。</w:t>
            </w:r>
          </w:p>
          <w:p w14:paraId="62359C91">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实训模块连线采用拨插式，能灵活进行电路控制和保护方法设计，连线及拆除方便，可靠性高。</w:t>
            </w:r>
          </w:p>
          <w:p w14:paraId="3DC44BE8">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可进行二次开发，可将程序导入平台，自行开发实训项目</w:t>
            </w:r>
          </w:p>
          <w:p w14:paraId="2EA0C5F8">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教学功能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 新能源汽车高压系统接线实训</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2、新能源汽车关键总成与部件原理实训</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3、新能源汽车核心模块原理实训</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4、新能源汽车重点系统线路接线</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5、利用低压系统电路实现高压系统学习，保证高压系统学习安全性</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6、新能源汽车整车控制原理学习与实训</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7、培养及加强学生对新能源汽车维修的整体思维能力与实训能力</w:t>
            </w:r>
          </w:p>
          <w:p w14:paraId="68D787E5">
            <w:pPr>
              <w:pStyle w:val="7"/>
              <w:spacing w:line="400" w:lineRule="exact"/>
              <w:jc w:val="both"/>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▲投标时需提供</w:t>
            </w:r>
            <w:r>
              <w:rPr>
                <w:rFonts w:hint="eastAsia" w:ascii="仿宋" w:hAnsi="仿宋" w:eastAsia="仿宋" w:cs="仿宋"/>
                <w:b/>
                <w:bCs/>
                <w:color w:val="auto"/>
                <w:kern w:val="0"/>
                <w:sz w:val="21"/>
                <w:szCs w:val="21"/>
                <w:highlight w:val="none"/>
                <w:lang w:val="en-US" w:eastAsia="zh-CN"/>
              </w:rPr>
              <w:t>国家认可的</w:t>
            </w:r>
            <w:r>
              <w:rPr>
                <w:rFonts w:hint="eastAsia" w:ascii="仿宋" w:hAnsi="仿宋" w:eastAsia="仿宋" w:cs="仿宋"/>
                <w:b/>
                <w:bCs/>
                <w:color w:val="auto"/>
                <w:kern w:val="0"/>
                <w:sz w:val="21"/>
                <w:szCs w:val="21"/>
                <w:highlight w:val="none"/>
              </w:rPr>
              <w:t>第三方检测机构出具的有效的新能源整车汽车智能连线实训箱检验报告复印件加盖供应商公章。</w:t>
            </w:r>
          </w:p>
        </w:tc>
        <w:tc>
          <w:tcPr>
            <w:tcW w:w="560" w:type="dxa"/>
            <w:tcBorders>
              <w:top w:val="single" w:color="auto" w:sz="4" w:space="0"/>
              <w:left w:val="single" w:color="auto" w:sz="4" w:space="0"/>
              <w:bottom w:val="single" w:color="auto" w:sz="4" w:space="0"/>
              <w:right w:val="single" w:color="auto" w:sz="4" w:space="0"/>
            </w:tcBorders>
            <w:vAlign w:val="center"/>
          </w:tcPr>
          <w:p w14:paraId="2F853D00">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2581F68D">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05DC58FE">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13800.00</w:t>
            </w:r>
          </w:p>
        </w:tc>
      </w:tr>
      <w:tr w14:paraId="153B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7240E08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46D9D78">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毫米波雷达便携式实验箱</w:t>
            </w:r>
          </w:p>
        </w:tc>
        <w:tc>
          <w:tcPr>
            <w:tcW w:w="4891" w:type="dxa"/>
            <w:tcBorders>
              <w:top w:val="single" w:color="auto" w:sz="4" w:space="0"/>
              <w:left w:val="single" w:color="auto" w:sz="4" w:space="0"/>
              <w:bottom w:val="single" w:color="auto" w:sz="4" w:space="0"/>
              <w:right w:val="single" w:color="auto" w:sz="4" w:space="0"/>
            </w:tcBorders>
            <w:vAlign w:val="center"/>
          </w:tcPr>
          <w:p w14:paraId="6C3EC5C7">
            <w:pPr>
              <w:pStyle w:val="7"/>
              <w:spacing w:line="3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一、基本要求</w:t>
            </w:r>
          </w:p>
          <w:p w14:paraId="3F36648B">
            <w:pPr>
              <w:pStyle w:val="7"/>
              <w:spacing w:line="360" w:lineRule="exact"/>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实验箱套件参照智能网联汽车实现原理，提取毫米波雷达传感器模块形成功能板块。试验箱包含整套实验设备，可单独直接进行毫米波雷达的实验实训教学。</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二、设备参数</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1、毫米波雷达</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(1)工作频率范围：76GHz - 77GHz；</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(2)探测距离范围（远距）：0.2m - 250m；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(3)距离测量分辨率：远距±1.79m；近距±0.39m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(4)距离测量精度：远距 ±0.40m；近距 ±0.10m</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(5)测角范围： 120°</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(6)速度范围：-400 km/h...+200 km/h (- 去向目标... + 来向目标)</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(7)速度分辨率：远距 0.37km/h，近距 0.43km/h</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(8)速度精度：±0.1 km/h</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(9)探测目标类型：远离目标、靠近目标、静止目标、横穿静止目标、横穿目标；</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(10)提供CAN/CANFD数据输出，至少包含跟踪目标ID、距离、速度、RCS等信息；</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(11)工作温度至少满足：-40℃-85℃；</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(12)工作电压：9-16V；</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(13)防护等级：不低于IP67</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2、显示器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(1)尺寸：15.6寸</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(2)分辨率：1920*1080</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(3)接口：mini HDMI，3.5耳机插孔,内置双喇叭,内置HDR功能</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(4)电源：DC12V</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3、主机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(1)CPU：Intel N100 3.4GHz</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(2)GPU：Intel UHD Graphics 750MHz</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(3)内存：DDR4 3200MHz</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(4)硬盘：M.2 SSD 256G</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三、设备功能</w:t>
            </w:r>
            <w:r>
              <w:rPr>
                <w:rFonts w:hint="eastAsia" w:ascii="仿宋" w:hAnsi="仿宋" w:eastAsia="仿宋" w:cs="仿宋"/>
                <w:color w:val="auto"/>
                <w:kern w:val="0"/>
                <w:sz w:val="22"/>
                <w:szCs w:val="22"/>
                <w:highlight w:val="none"/>
              </w:rPr>
              <w:br w:type="textWrapping"/>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1"/>
                <w:szCs w:val="21"/>
                <w:highlight w:val="none"/>
              </w:rPr>
              <w:t>▲1、系统提供人机友好交流界面，可实时更改雷达参数设置，观测调试效果。</w:t>
            </w:r>
            <w:r>
              <w:rPr>
                <w:rFonts w:hint="eastAsia" w:ascii="仿宋" w:hAnsi="仿宋" w:eastAsia="仿宋" w:cs="仿宋"/>
                <w:b/>
                <w:bCs/>
                <w:color w:val="auto"/>
                <w:kern w:val="0"/>
                <w:sz w:val="21"/>
                <w:szCs w:val="21"/>
                <w:highlight w:val="none"/>
              </w:rPr>
              <w:t xml:space="preserve">（需提供软件界面截图）    </w:t>
            </w:r>
            <w:r>
              <w:rPr>
                <w:rFonts w:hint="eastAsia" w:ascii="仿宋" w:hAnsi="仿宋" w:eastAsia="仿宋" w:cs="仿宋"/>
                <w:b/>
                <w:bCs/>
                <w:color w:val="auto"/>
                <w:kern w:val="0"/>
                <w:sz w:val="21"/>
                <w:szCs w:val="21"/>
                <w:highlight w:val="none"/>
              </w:rPr>
              <w:br w:type="textWrapping"/>
            </w:r>
            <w:r>
              <w:rPr>
                <w:rFonts w:hint="eastAsia" w:ascii="仿宋" w:hAnsi="仿宋" w:eastAsia="仿宋" w:cs="仿宋"/>
                <w:color w:val="auto"/>
                <w:kern w:val="0"/>
                <w:sz w:val="21"/>
                <w:szCs w:val="21"/>
                <w:highlight w:val="none"/>
              </w:rPr>
              <w:t>▲2、可准确识别静态与动态障碍物，显示距离、速度、位置等数据。</w:t>
            </w:r>
            <w:r>
              <w:rPr>
                <w:rFonts w:hint="eastAsia" w:ascii="仿宋" w:hAnsi="仿宋" w:eastAsia="仿宋" w:cs="仿宋"/>
                <w:b/>
                <w:bCs/>
                <w:color w:val="auto"/>
                <w:kern w:val="0"/>
                <w:sz w:val="21"/>
                <w:szCs w:val="21"/>
                <w:highlight w:val="none"/>
              </w:rPr>
              <w:t xml:space="preserve">（需提供软件界面截图 ）  </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xml:space="preserve"> ▲3、毫米波雷达测调试系统:可以设置毫米波雷在x，y上的坐标值，实现外部参数的标定，显示标定后的毫米波检测图像，修改x，y坐标后可以看到障碍物相对于坐标原点的变化；检测结果可通过ROI区域设置，实现需求区域障碍物检测过滤。  </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四、主要课程任务</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1)毫米波雷达基础认知与原理</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2)CAN盒的作用与连接方式</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3)CAN的配置使用</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4)毫米波调试软件操作实验</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5)毫米波雷达的基本配置</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6）显示设置与雷达数据</w:t>
            </w:r>
          </w:p>
        </w:tc>
        <w:tc>
          <w:tcPr>
            <w:tcW w:w="560" w:type="dxa"/>
            <w:tcBorders>
              <w:top w:val="single" w:color="auto" w:sz="4" w:space="0"/>
              <w:left w:val="single" w:color="auto" w:sz="4" w:space="0"/>
              <w:bottom w:val="single" w:color="auto" w:sz="4" w:space="0"/>
              <w:right w:val="single" w:color="auto" w:sz="4" w:space="0"/>
            </w:tcBorders>
            <w:vAlign w:val="center"/>
          </w:tcPr>
          <w:p w14:paraId="24BC0F13">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5D9B18ED">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21831D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35500.00</w:t>
            </w:r>
          </w:p>
        </w:tc>
      </w:tr>
      <w:tr w14:paraId="117E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2F51D5A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E8ABCE6">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摄像头便携式实验箱</w:t>
            </w:r>
          </w:p>
        </w:tc>
        <w:tc>
          <w:tcPr>
            <w:tcW w:w="4891" w:type="dxa"/>
            <w:tcBorders>
              <w:top w:val="single" w:color="auto" w:sz="4" w:space="0"/>
              <w:left w:val="single" w:color="auto" w:sz="4" w:space="0"/>
              <w:bottom w:val="single" w:color="auto" w:sz="4" w:space="0"/>
              <w:right w:val="single" w:color="auto" w:sz="4" w:space="0"/>
            </w:tcBorders>
          </w:tcPr>
          <w:p w14:paraId="2B7DBD7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基本要求</w:t>
            </w:r>
          </w:p>
          <w:p w14:paraId="11DA461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实验箱参照智能网联汽车实现原理，提取摄像头传感器模块形成功能板块。试验箱包含整套实验设备，可单独直接进行摄像头的实验实训教学。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二、设备参数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1、双目摄像头：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(1)sensor IMX291，lens Size 1/2.8，</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(2)USB3.0接口，</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(3)最高有效像素硬件200万像素 1920（H）*1080(V)，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(4)输出图像格式MJPEG/YUV2(YUVY）</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(5)支持最高帧率 1920*1080p  50帧/YUV/MJPEG</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(6)探测目标类型车辆、行人、交通标志、红绿灯等。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2、显示器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(1)尺寸：15.6寸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(2)分辨率：1920*1080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(3)接口：mini HDMI，3.5耳机插孔,内置双喇叭,内置HDR功能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(4)电源：DC12V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3、主机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(1)CPU：ARM Cortex-A78AEV8.2 64bit@1.5GHz(六核)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(2)GPU：搭载16个TensorCore的512核NVIDAAAmpere架构GPU@625Mhz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(3)算力：20TOPS</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(4)内存：4GB 64-bit LPDDR5、34 GB/S</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(5)USB接口：3×USB3.0+1 USB2.0+1 Type-C</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(6)视频编码：1080p30由1-2个CPU核心提供支持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(7)视频解码：H.265(4K60，2×4K30，5×1080p60，11×1080p30)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(8)GPIO引脚数：40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三、虚拟头盔配置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1)喷漆面罩外壳</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2)虚拟眼镜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3)面罩头箍</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4)面罩定位传感器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5)虚拟眼镜数据线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四、视觉识别技术系统</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▲1、通过软件进行摄像头的内参标定，生成标定文件；可加载不同的标定文件，观察摄像头的畸变矫正效果。</w:t>
            </w:r>
            <w:r>
              <w:rPr>
                <w:rFonts w:hint="eastAsia" w:ascii="仿宋" w:hAnsi="仿宋" w:eastAsia="仿宋" w:cs="仿宋"/>
                <w:b/>
                <w:bCs/>
                <w:color w:val="auto"/>
                <w:kern w:val="0"/>
                <w:szCs w:val="21"/>
                <w:highlight w:val="none"/>
              </w:rPr>
              <w:t xml:space="preserve">（需提供软件界面截图 ）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▲2、提供目标识别算法和车道线识别算法；通过加载不同识别算法，界面显示不同的识别功能，进行不同项目的功能实训。</w:t>
            </w:r>
            <w:r>
              <w:rPr>
                <w:rFonts w:hint="eastAsia" w:ascii="仿宋" w:hAnsi="仿宋" w:eastAsia="仿宋" w:cs="仿宋"/>
                <w:b/>
                <w:bCs/>
                <w:color w:val="auto"/>
                <w:kern w:val="0"/>
                <w:szCs w:val="21"/>
                <w:highlight w:val="none"/>
              </w:rPr>
              <w:t>（需提供软件界面截图 ）</w:t>
            </w:r>
            <w:r>
              <w:rPr>
                <w:rFonts w:hint="eastAsia" w:ascii="仿宋" w:hAnsi="仿宋" w:eastAsia="仿宋" w:cs="仿宋"/>
                <w:color w:val="auto"/>
                <w:kern w:val="0"/>
                <w:szCs w:val="21"/>
                <w:highlight w:val="none"/>
              </w:rPr>
              <w:t xml:space="preserve"> ▲3、多种数据源输入，可调用摄像头实时数据、录制的数据包、视频图像、仿真实训台输出图像；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五、主要课程任务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1.摄像头的基本原理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2.摄像头的连接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3.摄像头的标定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4.摄像头多数据源的实验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5.障碍物识别实验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6.车道线识别实验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7.车辆测距实验</w:t>
            </w:r>
          </w:p>
        </w:tc>
        <w:tc>
          <w:tcPr>
            <w:tcW w:w="560" w:type="dxa"/>
            <w:tcBorders>
              <w:top w:val="single" w:color="auto" w:sz="4" w:space="0"/>
              <w:left w:val="single" w:color="auto" w:sz="4" w:space="0"/>
              <w:bottom w:val="single" w:color="auto" w:sz="4" w:space="0"/>
              <w:right w:val="single" w:color="auto" w:sz="4" w:space="0"/>
            </w:tcBorders>
            <w:vAlign w:val="center"/>
          </w:tcPr>
          <w:p w14:paraId="7DBF9B3F">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AB3B74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1B89D35E">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32800.00</w:t>
            </w:r>
          </w:p>
        </w:tc>
      </w:tr>
      <w:tr w14:paraId="348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39D0660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4F5AEB5">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激光雷达便携式实验箱</w:t>
            </w:r>
          </w:p>
        </w:tc>
        <w:tc>
          <w:tcPr>
            <w:tcW w:w="4891" w:type="dxa"/>
            <w:tcBorders>
              <w:top w:val="single" w:color="auto" w:sz="4" w:space="0"/>
              <w:left w:val="single" w:color="auto" w:sz="4" w:space="0"/>
              <w:bottom w:val="single" w:color="auto" w:sz="4" w:space="0"/>
              <w:right w:val="single" w:color="auto" w:sz="4" w:space="0"/>
            </w:tcBorders>
          </w:tcPr>
          <w:p w14:paraId="203C2B2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一、基本要求</w:t>
            </w:r>
          </w:p>
          <w:p w14:paraId="3F51138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实验箱参照智能网联汽车实现原理，提取激光雷达传感器模块形成功能板块。试验箱包含整套实验设备，可单独直接进行激光雷达的实验实训教学。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二、设备参数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1、激光雷达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(1)水平视角：360度；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(2)垂直视场角：-16°- +14°</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(3)探测距离：150m</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(4)测距准度：±3cm</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(5)测距通道不低于16线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(6)提供百兆以太网数据输出，包含距离、旋转角度、反射率等信息</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(7)工作温度至少满足：-20℃-85℃</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(8)工作电压：9-32V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(9)防护等级：不低于IP67</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2、显示器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(1)尺寸：15.6寸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(2)分辨率：1920*1080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(3)接口：mini HDMI，3.5耳机插孔,内置双喇叭,内置HDR功能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(4)电源：DC12V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3、主机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(1)CPU：ARM Cortex-A78AEV8.2 64bit@1.5GHz(六核)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(2)GPU：搭载16个TensorCore的512核NVIDAAAmpere架构GPU@625Mhz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(3)算力：20TOPS</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(4)内存：4GB 64-bit LPDDR5、34 GB/S</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(5)USB接口：3×USB3.0+1 USB2.0+1 Type-C</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(6)视频编码：1080p30由1-2个CPU核心提供支持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(7)视频解码：H.265(4K60，2×4K30，5×1080p60，11×1080p30)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(8)GPIO引脚数：40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三、激光雷达测调试系统</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▲1、通过上位机软件设置激光雷达参数，包括以太网、时间、电机参数等；接收激光雷达数据流，可视化显示点云。</w:t>
            </w:r>
            <w:r>
              <w:rPr>
                <w:rFonts w:hint="eastAsia" w:ascii="仿宋" w:hAnsi="仿宋" w:eastAsia="仿宋" w:cs="仿宋"/>
                <w:b/>
                <w:bCs/>
                <w:color w:val="auto"/>
                <w:kern w:val="0"/>
                <w:szCs w:val="21"/>
                <w:highlight w:val="none"/>
              </w:rPr>
              <w:t xml:space="preserve">（需提供软件界面截图 ）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▲2、可以通过软件设置激光雷达的外部参数x，y，z的值和俯仰角，航向角，翻滚角的值进行标定；</w:t>
            </w:r>
            <w:r>
              <w:rPr>
                <w:rFonts w:hint="eastAsia" w:ascii="仿宋" w:hAnsi="仿宋" w:eastAsia="仿宋" w:cs="仿宋"/>
                <w:b/>
                <w:bCs/>
                <w:color w:val="auto"/>
                <w:kern w:val="0"/>
                <w:szCs w:val="21"/>
                <w:highlight w:val="none"/>
              </w:rPr>
              <w:t>（需提供软件界面截图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▲3、通过激光雷达感知算法控件，通过调节探测范围、滤波阀值、分割参数等参数，改变点云识别状态并对障碍物进行标识，实现对激光雷达识别算法的理解；可以测出障碍物与试验台自身的真实距离。</w:t>
            </w:r>
            <w:r>
              <w:rPr>
                <w:rFonts w:hint="eastAsia" w:ascii="仿宋" w:hAnsi="仿宋" w:eastAsia="仿宋" w:cs="仿宋"/>
                <w:b/>
                <w:bCs/>
                <w:color w:val="auto"/>
                <w:kern w:val="0"/>
                <w:szCs w:val="21"/>
                <w:highlight w:val="none"/>
              </w:rPr>
              <w:t xml:space="preserve">（需提供软件界面截图 ）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▲4、设置安全区域，安全区域内障碍物将被标志识别。</w:t>
            </w:r>
            <w:r>
              <w:rPr>
                <w:rFonts w:hint="eastAsia" w:ascii="仿宋" w:hAnsi="仿宋" w:eastAsia="仿宋" w:cs="仿宋"/>
                <w:b/>
                <w:bCs/>
                <w:color w:val="auto"/>
                <w:kern w:val="0"/>
                <w:szCs w:val="21"/>
                <w:highlight w:val="none"/>
              </w:rPr>
              <w:t xml:space="preserve">（需提供软件界面截图 ）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▲5、多种数据源输入，可调用激光雷达实时数据，录制的数据包、仿真实训台输出点云。</w:t>
            </w:r>
          </w:p>
          <w:p w14:paraId="2466BBAC">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四、主要课程任务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1.激光雷达基本认知与原理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2.激光雷达的选型</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3.激光雷达的安装与电气接口</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4.激光雷达的配置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5.激光雷达多种数据源实验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6.障碍物识别实验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7.激光雷达的外参标定</w:t>
            </w:r>
          </w:p>
        </w:tc>
        <w:tc>
          <w:tcPr>
            <w:tcW w:w="560" w:type="dxa"/>
            <w:tcBorders>
              <w:top w:val="single" w:color="auto" w:sz="4" w:space="0"/>
              <w:left w:val="single" w:color="auto" w:sz="4" w:space="0"/>
              <w:bottom w:val="single" w:color="auto" w:sz="4" w:space="0"/>
              <w:right w:val="single" w:color="auto" w:sz="4" w:space="0"/>
            </w:tcBorders>
            <w:vAlign w:val="center"/>
          </w:tcPr>
          <w:p w14:paraId="143A6D9C">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208BAF06">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9C6393F">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42800.00</w:t>
            </w:r>
          </w:p>
        </w:tc>
      </w:tr>
      <w:tr w14:paraId="48E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68F3226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9A3B1D8">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超声波雷达便携式实验箱</w:t>
            </w:r>
          </w:p>
        </w:tc>
        <w:tc>
          <w:tcPr>
            <w:tcW w:w="4891" w:type="dxa"/>
            <w:tcBorders>
              <w:top w:val="single" w:color="auto" w:sz="4" w:space="0"/>
              <w:left w:val="single" w:color="auto" w:sz="4" w:space="0"/>
              <w:bottom w:val="single" w:color="auto" w:sz="4" w:space="0"/>
              <w:right w:val="single" w:color="auto" w:sz="4" w:space="0"/>
            </w:tcBorders>
          </w:tcPr>
          <w:p w14:paraId="17EA94D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一、基本要求</w:t>
            </w:r>
          </w:p>
          <w:p w14:paraId="1D5BFEC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实验箱参照智能网联汽车实现原理，提取超声波传感器模块形成功能板块。试验箱包含整套实验设备，可单独直接进行超声波雷达的实验实训教学。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二、设备参数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1、超声波雷达：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(1)测距范围：130mm―5000mm，盲区13cm；</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(2)波束角10~60度可调；</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(3)处理板和探头工作温度 -40~85度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(4)精度: 5mm（近距离） 探测距离的0.5%（远距离）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(5)工作电源：+12V～24V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(6)工作电流：&lt;200mA</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2、显示器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(1)尺寸：15.6寸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(2)分辨率：1920*1080</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(3)接口：mini HDMI，3.5耳机插孔,内置双喇叭,内置HDR功能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(4)电源：DC12V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3、主机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(1)CPU：Intel N100 3.4GHz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(2)GPU：Intel UHD Graphics 750MHz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(3)内存：DDR4 3200MHz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(4)硬盘：M.2 SSD 256G</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三、设备功能</w:t>
            </w:r>
          </w:p>
          <w:p w14:paraId="6D48EA0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▲通过发送不同指令，超声波模块可返回不同探测模式的数据，可演示不同探测模式下的探测精度和探测范围。</w:t>
            </w:r>
            <w:r>
              <w:rPr>
                <w:rFonts w:hint="eastAsia" w:ascii="仿宋" w:hAnsi="仿宋" w:eastAsia="仿宋" w:cs="仿宋"/>
                <w:b/>
                <w:bCs/>
                <w:color w:val="auto"/>
                <w:kern w:val="0"/>
                <w:szCs w:val="21"/>
                <w:highlight w:val="none"/>
              </w:rPr>
              <w:t xml:space="preserve">（需提供软件界面截图 ）    </w:t>
            </w:r>
            <w:r>
              <w:rPr>
                <w:rFonts w:hint="eastAsia" w:ascii="仿宋" w:hAnsi="仿宋" w:eastAsia="仿宋" w:cs="仿宋"/>
                <w:b/>
                <w:bCs/>
                <w:color w:val="auto"/>
                <w:kern w:val="0"/>
                <w:szCs w:val="21"/>
                <w:highlight w:val="none"/>
              </w:rPr>
              <w:br w:type="textWrapping"/>
            </w:r>
            <w:r>
              <w:rPr>
                <w:rFonts w:hint="eastAsia" w:ascii="仿宋" w:hAnsi="仿宋" w:eastAsia="仿宋" w:cs="仿宋"/>
                <w:color w:val="auto"/>
                <w:kern w:val="0"/>
                <w:szCs w:val="21"/>
                <w:highlight w:val="none"/>
              </w:rPr>
              <w:t>主要课程任务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1.超声波雷达的基础认知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2.超声波雷达的配置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3.超声波和CAN通信的连接和调试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4.比较不同超声波测距指令的性能差异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5.分析超声波测距模块在不同感知模式下的表现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6.探究超声波测距模块的可靠性</w:t>
            </w:r>
          </w:p>
        </w:tc>
        <w:tc>
          <w:tcPr>
            <w:tcW w:w="560" w:type="dxa"/>
            <w:tcBorders>
              <w:top w:val="single" w:color="auto" w:sz="4" w:space="0"/>
              <w:left w:val="single" w:color="auto" w:sz="4" w:space="0"/>
              <w:bottom w:val="single" w:color="auto" w:sz="4" w:space="0"/>
              <w:right w:val="single" w:color="auto" w:sz="4" w:space="0"/>
            </w:tcBorders>
            <w:vAlign w:val="center"/>
          </w:tcPr>
          <w:p w14:paraId="21463BE6">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1E74B30F">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7E060B6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35500.00</w:t>
            </w:r>
          </w:p>
        </w:tc>
      </w:tr>
      <w:tr w14:paraId="767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28F3218F">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D8E230D">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3层多用途工具车</w:t>
            </w:r>
          </w:p>
        </w:tc>
        <w:tc>
          <w:tcPr>
            <w:tcW w:w="4891" w:type="dxa"/>
            <w:tcBorders>
              <w:top w:val="single" w:color="auto" w:sz="4" w:space="0"/>
              <w:left w:val="single" w:color="auto" w:sz="4" w:space="0"/>
              <w:bottom w:val="single" w:color="auto" w:sz="4" w:space="0"/>
              <w:right w:val="single" w:color="auto" w:sz="4" w:space="0"/>
            </w:tcBorders>
          </w:tcPr>
          <w:p w14:paraId="60E396D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参数要求：</w:t>
            </w:r>
          </w:p>
          <w:p w14:paraId="161DBBC0">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1.净重（kg）17.4</w:t>
            </w:r>
          </w:p>
          <w:p w14:paraId="0DB876D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2.静态额定承重（kg）100</w:t>
            </w:r>
          </w:p>
          <w:p w14:paraId="78B3D18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3.外形尺寸长宽高(CM)84*40*920</w:t>
            </w:r>
          </w:p>
          <w:p w14:paraId="2579DD18">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4.动态额定承重（kg）50                        5.贯穿式横梁设计，承载力更强                 6.采用弧形立柱设计，避免与工件磕碰          7.立柱折边增加对中间托盘的支撑              8.大尺寸轴承轮，承载力更强，推行更顺畅</w:t>
            </w:r>
          </w:p>
        </w:tc>
        <w:tc>
          <w:tcPr>
            <w:tcW w:w="560" w:type="dxa"/>
            <w:tcBorders>
              <w:top w:val="single" w:color="auto" w:sz="4" w:space="0"/>
              <w:left w:val="single" w:color="auto" w:sz="4" w:space="0"/>
              <w:bottom w:val="single" w:color="auto" w:sz="4" w:space="0"/>
              <w:right w:val="single" w:color="auto" w:sz="4" w:space="0"/>
            </w:tcBorders>
            <w:vAlign w:val="center"/>
          </w:tcPr>
          <w:p w14:paraId="4F23AC46">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2694C90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300" w:type="dxa"/>
            <w:tcBorders>
              <w:top w:val="single" w:color="auto" w:sz="4" w:space="0"/>
              <w:left w:val="single" w:color="auto" w:sz="4" w:space="0"/>
              <w:bottom w:val="single" w:color="auto" w:sz="4" w:space="0"/>
              <w:right w:val="single" w:color="auto" w:sz="4" w:space="0"/>
            </w:tcBorders>
            <w:vAlign w:val="center"/>
          </w:tcPr>
          <w:p w14:paraId="34F0017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1280.00</w:t>
            </w:r>
          </w:p>
        </w:tc>
      </w:tr>
      <w:tr w14:paraId="1169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762B582A">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F7949A6">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自动变速箱油更换机</w:t>
            </w:r>
          </w:p>
        </w:tc>
        <w:tc>
          <w:tcPr>
            <w:tcW w:w="4891" w:type="dxa"/>
            <w:tcBorders>
              <w:top w:val="single" w:color="auto" w:sz="4" w:space="0"/>
              <w:left w:val="single" w:color="auto" w:sz="4" w:space="0"/>
              <w:bottom w:val="single" w:color="auto" w:sz="4" w:space="0"/>
              <w:right w:val="single" w:color="auto" w:sz="4" w:space="0"/>
            </w:tcBorders>
          </w:tcPr>
          <w:p w14:paraId="2B0B2EA9">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一、产品要求</w:t>
            </w:r>
          </w:p>
          <w:p w14:paraId="6709DC90">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不用区分进回油管，全自动识别进出油方向，新旧油灯带时间、视觉感更强零压换油，功能更强大，电子称一键归零，操作更智能，变速箱散热器油压直观显示。                                   1.功率≥120W</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2.重量≥60KG</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3.电压≥DC12V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4.容积≥20L</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5.滤清器精度 ≥5um</w:t>
            </w:r>
          </w:p>
        </w:tc>
        <w:tc>
          <w:tcPr>
            <w:tcW w:w="560" w:type="dxa"/>
            <w:tcBorders>
              <w:top w:val="single" w:color="auto" w:sz="4" w:space="0"/>
              <w:left w:val="single" w:color="auto" w:sz="4" w:space="0"/>
              <w:bottom w:val="single" w:color="auto" w:sz="4" w:space="0"/>
              <w:right w:val="single" w:color="auto" w:sz="4" w:space="0"/>
            </w:tcBorders>
            <w:vAlign w:val="center"/>
          </w:tcPr>
          <w:p w14:paraId="005F71FC">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68A472B6">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07D1A9B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7800.00</w:t>
            </w:r>
          </w:p>
        </w:tc>
      </w:tr>
      <w:tr w14:paraId="632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09C6080D">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5A85E1A">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自动变速箱换油接头（86件）</w:t>
            </w:r>
          </w:p>
        </w:tc>
        <w:tc>
          <w:tcPr>
            <w:tcW w:w="4891" w:type="dxa"/>
            <w:tcBorders>
              <w:top w:val="single" w:color="auto" w:sz="4" w:space="0"/>
              <w:left w:val="single" w:color="auto" w:sz="4" w:space="0"/>
              <w:bottom w:val="single" w:color="auto" w:sz="4" w:space="0"/>
              <w:right w:val="single" w:color="auto" w:sz="4" w:space="0"/>
            </w:tcBorders>
          </w:tcPr>
          <w:p w14:paraId="572EEFFF">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一、参数要求：</w:t>
            </w:r>
          </w:p>
          <w:p w14:paraId="3EBA00D9">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配合同品牌的自动变速箱油更换机使用，可以覆盖市面上约≥95%的车型，共≥86件 （一体快接式）；</w:t>
            </w:r>
          </w:p>
        </w:tc>
        <w:tc>
          <w:tcPr>
            <w:tcW w:w="560" w:type="dxa"/>
            <w:tcBorders>
              <w:top w:val="single" w:color="auto" w:sz="4" w:space="0"/>
              <w:left w:val="single" w:color="auto" w:sz="4" w:space="0"/>
              <w:bottom w:val="single" w:color="auto" w:sz="4" w:space="0"/>
              <w:right w:val="single" w:color="auto" w:sz="4" w:space="0"/>
            </w:tcBorders>
            <w:vAlign w:val="center"/>
          </w:tcPr>
          <w:p w14:paraId="00BF5E4D">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48915ECD">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0BEECC7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3850.00</w:t>
            </w:r>
          </w:p>
        </w:tc>
      </w:tr>
      <w:tr w14:paraId="0F46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67BB647C">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BFF354C">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废油接取机</w:t>
            </w:r>
          </w:p>
        </w:tc>
        <w:tc>
          <w:tcPr>
            <w:tcW w:w="4891" w:type="dxa"/>
            <w:tcBorders>
              <w:top w:val="single" w:color="auto" w:sz="4" w:space="0"/>
              <w:left w:val="single" w:color="auto" w:sz="4" w:space="0"/>
              <w:bottom w:val="single" w:color="auto" w:sz="4" w:space="0"/>
              <w:right w:val="single" w:color="auto" w:sz="4" w:space="0"/>
            </w:tcBorders>
          </w:tcPr>
          <w:p w14:paraId="58AC5C5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一、规格参数：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1.极限真空度:-0.8bar以上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2.储油桶:≥70L</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3.量杯:≥10L</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4.接油半径:≥294mm</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5.气源:8-10bar</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6.整机高度：(1390-1700)±30mm</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7.最快抽油速度3L/min</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8.整机保修：整机1年，量杯3年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9.真空度0.85bar，抽油速度快</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10.实现一次充气，拔出气源，连续抽取10台车的废油接油机偏心设计，接油范围远高于同心设计接油盘扶手保护套，操作舒适滚轮带轴承，经久耐用，降杆两节设计，提高密封性，配置工具盘，方便工具摆放，自动焊接，焊接质量稳定可靠，抽油手柄人体工程学设计，舒适操作；</w:t>
            </w:r>
          </w:p>
          <w:p w14:paraId="675FEE4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11.净重（kg）29 ；</w:t>
            </w:r>
          </w:p>
          <w:p w14:paraId="664587E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12.高耐腐量杯，防龟裂防漏油，耐酸碱 端盖密封设计，防漏气，抗压能力强手动平衡气压，可单独量杯抽真空，量杯光滑度高，废油不易挂壁。</w:t>
            </w:r>
          </w:p>
        </w:tc>
        <w:tc>
          <w:tcPr>
            <w:tcW w:w="560" w:type="dxa"/>
            <w:tcBorders>
              <w:top w:val="single" w:color="auto" w:sz="4" w:space="0"/>
              <w:left w:val="single" w:color="auto" w:sz="4" w:space="0"/>
              <w:bottom w:val="single" w:color="auto" w:sz="4" w:space="0"/>
              <w:right w:val="single" w:color="auto" w:sz="4" w:space="0"/>
            </w:tcBorders>
            <w:vAlign w:val="center"/>
          </w:tcPr>
          <w:p w14:paraId="147BFF97">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kern w:val="0"/>
                <w:szCs w:val="21"/>
                <w:highlight w:val="none"/>
              </w:rPr>
              <w:t>1</w:t>
            </w:r>
          </w:p>
        </w:tc>
        <w:tc>
          <w:tcPr>
            <w:tcW w:w="743" w:type="dxa"/>
            <w:tcBorders>
              <w:top w:val="single" w:color="auto" w:sz="4" w:space="0"/>
              <w:left w:val="single" w:color="auto" w:sz="4" w:space="0"/>
              <w:bottom w:val="single" w:color="auto" w:sz="4" w:space="0"/>
              <w:right w:val="single" w:color="auto" w:sz="4" w:space="0"/>
            </w:tcBorders>
            <w:vAlign w:val="center"/>
          </w:tcPr>
          <w:p w14:paraId="740906B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300" w:type="dxa"/>
            <w:tcBorders>
              <w:top w:val="single" w:color="auto" w:sz="4" w:space="0"/>
              <w:left w:val="single" w:color="auto" w:sz="4" w:space="0"/>
              <w:bottom w:val="single" w:color="auto" w:sz="4" w:space="0"/>
              <w:right w:val="single" w:color="auto" w:sz="4" w:space="0"/>
            </w:tcBorders>
            <w:vAlign w:val="center"/>
          </w:tcPr>
          <w:p w14:paraId="19528F0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1980.00</w:t>
            </w:r>
          </w:p>
        </w:tc>
      </w:tr>
      <w:tr w14:paraId="380F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16C291B3">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D413EB9">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新能源安全防护套装</w:t>
            </w:r>
          </w:p>
        </w:tc>
        <w:tc>
          <w:tcPr>
            <w:tcW w:w="4891" w:type="dxa"/>
            <w:tcBorders>
              <w:top w:val="single" w:color="auto" w:sz="4" w:space="0"/>
              <w:left w:val="single" w:color="auto" w:sz="4" w:space="0"/>
              <w:bottom w:val="single" w:color="auto" w:sz="4" w:space="0"/>
              <w:right w:val="single" w:color="auto" w:sz="4" w:space="0"/>
            </w:tcBorders>
          </w:tcPr>
          <w:p w14:paraId="1B0FF69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产品要求</w:t>
            </w:r>
          </w:p>
          <w:p w14:paraId="4E736E8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人员防护套装包括绝缘手套、绝缘胶鞋、护目镜、安全帽、防护衣服、裤子、套装1套。</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1、绝缘手套：天然橡胶制成，耐压等级5KV。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2、绝缘衣服裤子一套。</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3、绝缘胶鞋：防电绝缘。</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4、护目镜：防冲击物，如打磨，研磨等，防热辐射，如电火花，热辐射等。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5、安全帽：绝缘，防撞减震，防喷溅，抗撕裂， 安全帽采用 ABS 硬质材质，无毒、无味、无任何刺激。</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w:t>
            </w:r>
            <w:r>
              <w:rPr>
                <w:rFonts w:hint="eastAsia" w:ascii="仿宋" w:hAnsi="仿宋" w:eastAsia="仿宋" w:cs="仿宋"/>
                <w:b/>
                <w:bCs/>
                <w:color w:val="auto"/>
                <w:kern w:val="0"/>
                <w:szCs w:val="21"/>
                <w:highlight w:val="none"/>
              </w:rPr>
              <w:t xml:space="preserve">  ▲投标时需提供</w:t>
            </w:r>
            <w:r>
              <w:rPr>
                <w:rFonts w:hint="eastAsia" w:ascii="仿宋" w:hAnsi="仿宋" w:eastAsia="仿宋" w:cs="仿宋"/>
                <w:b/>
                <w:bCs/>
                <w:color w:val="auto"/>
                <w:kern w:val="0"/>
                <w:sz w:val="21"/>
                <w:szCs w:val="21"/>
                <w:highlight w:val="none"/>
                <w:lang w:val="en-US" w:eastAsia="zh-CN"/>
              </w:rPr>
              <w:t>国家认可的</w:t>
            </w:r>
            <w:r>
              <w:rPr>
                <w:rFonts w:hint="eastAsia" w:ascii="仿宋" w:hAnsi="仿宋" w:eastAsia="仿宋" w:cs="仿宋"/>
                <w:b/>
                <w:bCs/>
                <w:color w:val="auto"/>
                <w:kern w:val="0"/>
                <w:szCs w:val="21"/>
                <w:highlight w:val="none"/>
              </w:rPr>
              <w:t>第三方检测机构出具的有效的特种安全防护产品（电绝缘服）检验检测报告复印件加盖供应商公章。</w:t>
            </w:r>
          </w:p>
        </w:tc>
        <w:tc>
          <w:tcPr>
            <w:tcW w:w="560" w:type="dxa"/>
            <w:tcBorders>
              <w:top w:val="single" w:color="auto" w:sz="4" w:space="0"/>
              <w:left w:val="single" w:color="auto" w:sz="4" w:space="0"/>
              <w:bottom w:val="single" w:color="auto" w:sz="4" w:space="0"/>
              <w:right w:val="single" w:color="auto" w:sz="4" w:space="0"/>
            </w:tcBorders>
            <w:vAlign w:val="center"/>
          </w:tcPr>
          <w:p w14:paraId="3D63CD97">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8D2FB9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110997C3">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2700.00</w:t>
            </w:r>
          </w:p>
        </w:tc>
      </w:tr>
      <w:tr w14:paraId="237A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4EB1F35E">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6A8BB9F8">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新能源毫欧表</w:t>
            </w:r>
          </w:p>
        </w:tc>
        <w:tc>
          <w:tcPr>
            <w:tcW w:w="4891" w:type="dxa"/>
            <w:tcBorders>
              <w:top w:val="single" w:color="auto" w:sz="4" w:space="0"/>
              <w:left w:val="single" w:color="auto" w:sz="4" w:space="0"/>
              <w:bottom w:val="single" w:color="auto" w:sz="4" w:space="0"/>
              <w:right w:val="single" w:color="auto" w:sz="4" w:space="0"/>
            </w:tcBorders>
          </w:tcPr>
          <w:p w14:paraId="0D6A44D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一、参数要求：</w:t>
            </w:r>
          </w:p>
          <w:p w14:paraId="40E005EF">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1.三位半液晶显示屏，最大读数1999</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2.低电池指示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3.过载指示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4.调零</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5.量程：20m/200m/2/20/200/2000Ω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6.分辨率：0.01m/0.1m/1m/10m/100m/1Ω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7.精度：±(1.0%+3)</w:t>
            </w:r>
          </w:p>
        </w:tc>
        <w:tc>
          <w:tcPr>
            <w:tcW w:w="560" w:type="dxa"/>
            <w:tcBorders>
              <w:top w:val="single" w:color="auto" w:sz="4" w:space="0"/>
              <w:left w:val="single" w:color="auto" w:sz="4" w:space="0"/>
              <w:bottom w:val="single" w:color="auto" w:sz="4" w:space="0"/>
              <w:right w:val="single" w:color="auto" w:sz="4" w:space="0"/>
            </w:tcBorders>
            <w:vAlign w:val="center"/>
          </w:tcPr>
          <w:p w14:paraId="6D507824">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431DE082">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6C3AB69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2650.00</w:t>
            </w:r>
          </w:p>
        </w:tc>
      </w:tr>
      <w:tr w14:paraId="646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31C98A30">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ED99FBD">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工位安全防护套装</w:t>
            </w:r>
          </w:p>
        </w:tc>
        <w:tc>
          <w:tcPr>
            <w:tcW w:w="4891" w:type="dxa"/>
            <w:tcBorders>
              <w:top w:val="single" w:color="auto" w:sz="4" w:space="0"/>
              <w:left w:val="single" w:color="auto" w:sz="4" w:space="0"/>
              <w:bottom w:val="single" w:color="auto" w:sz="4" w:space="0"/>
              <w:right w:val="single" w:color="auto" w:sz="4" w:space="0"/>
            </w:tcBorders>
          </w:tcPr>
          <w:p w14:paraId="3DD1EC4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产品要求</w:t>
            </w:r>
          </w:p>
          <w:p w14:paraId="396238BC">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工位安全保护套装包括警示牌、隔离带套装、绝缘防护垫等各1套。</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1、警示牌：绝缘材质制作，表面喷涂"危险，请勿靠近”字样与带电符号。</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2、隔离带套装：可再次利用，对操作空间进行隔离；最长5m；可伸缩，每套6根围成一个工位。</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3、绝缘防护垫：最高耐压10KV，尺寸：5m x 1m x 5mm  （长x宽x厚度)</w:t>
            </w:r>
          </w:p>
        </w:tc>
        <w:tc>
          <w:tcPr>
            <w:tcW w:w="560" w:type="dxa"/>
            <w:tcBorders>
              <w:top w:val="single" w:color="auto" w:sz="4" w:space="0"/>
              <w:left w:val="single" w:color="auto" w:sz="4" w:space="0"/>
              <w:bottom w:val="single" w:color="auto" w:sz="4" w:space="0"/>
              <w:right w:val="single" w:color="auto" w:sz="4" w:space="0"/>
            </w:tcBorders>
            <w:vAlign w:val="center"/>
          </w:tcPr>
          <w:p w14:paraId="08274F14">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6711706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311295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2100.00</w:t>
            </w:r>
          </w:p>
        </w:tc>
      </w:tr>
      <w:tr w14:paraId="0E32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08EF251C">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1D0BCA9F">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万用接线盒</w:t>
            </w:r>
          </w:p>
        </w:tc>
        <w:tc>
          <w:tcPr>
            <w:tcW w:w="4891" w:type="dxa"/>
            <w:tcBorders>
              <w:top w:val="single" w:color="auto" w:sz="4" w:space="0"/>
              <w:left w:val="single" w:color="auto" w:sz="4" w:space="0"/>
              <w:bottom w:val="single" w:color="auto" w:sz="4" w:space="0"/>
              <w:right w:val="single" w:color="auto" w:sz="4" w:space="0"/>
            </w:tcBorders>
          </w:tcPr>
          <w:p w14:paraId="6868EDB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一、参数要求：</w:t>
            </w:r>
          </w:p>
          <w:p w14:paraId="1C751313">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208接线盒有多种型号的探针、接头以及接线，宽窄厚薄不一的片状、圆形接头或探针以及凸凹配对的连接器，可以满足各型汽车接插头引 线的需求，而且可以很好的配合万用表以及示波器等测量工具使用。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汽车信号测量套线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 套线类型：79种型号共计100个探针，接头和接线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接头形状：宽窄不一的片状，圆形接头</w:t>
            </w:r>
          </w:p>
        </w:tc>
        <w:tc>
          <w:tcPr>
            <w:tcW w:w="560" w:type="dxa"/>
            <w:tcBorders>
              <w:top w:val="single" w:color="auto" w:sz="4" w:space="0"/>
              <w:left w:val="single" w:color="auto" w:sz="4" w:space="0"/>
              <w:bottom w:val="single" w:color="auto" w:sz="4" w:space="0"/>
              <w:right w:val="single" w:color="auto" w:sz="4" w:space="0"/>
            </w:tcBorders>
            <w:vAlign w:val="center"/>
          </w:tcPr>
          <w:p w14:paraId="52698835">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59B3DF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1FA4BEA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3850.00</w:t>
            </w:r>
          </w:p>
        </w:tc>
      </w:tr>
      <w:tr w14:paraId="40B1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3D216878">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4BCBC7A8">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示波器</w:t>
            </w:r>
          </w:p>
        </w:tc>
        <w:tc>
          <w:tcPr>
            <w:tcW w:w="4891" w:type="dxa"/>
            <w:tcBorders>
              <w:top w:val="single" w:color="auto" w:sz="4" w:space="0"/>
              <w:left w:val="single" w:color="auto" w:sz="4" w:space="0"/>
              <w:bottom w:val="single" w:color="auto" w:sz="4" w:space="0"/>
              <w:right w:val="single" w:color="auto" w:sz="4" w:space="0"/>
            </w:tcBorders>
          </w:tcPr>
          <w:p w14:paraId="63B75BFC">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一、参数要求：</w:t>
            </w:r>
          </w:p>
          <w:p w14:paraId="0C50B83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通道汽车专用示波器，25MHza超高采样频率，快速，精确；直接选择测试部件类型，更有针对性；次级点火可同时显示波形、火花电压、燃烧时间及燃烧电压等；“杂波捕捉”功能可快速捕捉、显示并可保存非常态信号波形；图表式万用表测试速度和精度远远超越普通万用表，测试结果以数字和波形同屏显示；嵌入的参考信息库提供操作步骤、参考波形、工作原理及故障诊断提示等；可与电脑联机并同步显示，适时抓取和打印波形图强大的帮助系统可帮助您快速找到答案；USB接口支持仪器实现快速升级。</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.次级点火可同时显示波形、火花电压、燃烧时间及燃烧电压等； 可快速捕捉、显示并可保存非常态信号波形；测试结果以数字和波形同屏显示；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 可与电脑联机并同步显示，适时抓取和打印波形图；强大的帮助系统可帮助您快速找到答案； USB接口支持仪器实现快速升级；内置电池；该仪器通过CE认证；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横向：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3.1 采样速率：25M/秒,记录长度：1000点,刷新速率：实时，滚动,准确度：±（0.1%+1像点）；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3.2 扫描速率：1μs至50s,在1、2、5序列（示波器模式）5s至24小时，在1、2、5序列（万用表模式）；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4.纵向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4.1 带宽：直流 至5MHz；-3dB,分辨率：8位,耦合：交流、直流、GND,输入阻抗：1MΩ/70pF；</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 最大输入电压：300V,V/DIV(伏/格)：50mV至100V，在1、2、5序列,准确度：±3%；</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 .触发：触发源 ：CH A,CH B,触发器（外部触发）；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7.灵敏度(CH A) ：&lt;1.0div(信号输入组电压)至5MHz；</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8.灵敏度（触发）：0.2Vp-p（峰值至峰值电压）；</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9.模式：单次脉冲，普通，自动；</w:t>
            </w:r>
          </w:p>
        </w:tc>
        <w:tc>
          <w:tcPr>
            <w:tcW w:w="560" w:type="dxa"/>
            <w:tcBorders>
              <w:top w:val="single" w:color="auto" w:sz="4" w:space="0"/>
              <w:left w:val="single" w:color="auto" w:sz="4" w:space="0"/>
              <w:bottom w:val="single" w:color="auto" w:sz="4" w:space="0"/>
              <w:right w:val="single" w:color="auto" w:sz="4" w:space="0"/>
            </w:tcBorders>
            <w:vAlign w:val="center"/>
          </w:tcPr>
          <w:p w14:paraId="0FB84F35">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2CC35855">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5D207192">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12800.00</w:t>
            </w:r>
          </w:p>
        </w:tc>
      </w:tr>
      <w:tr w14:paraId="11AA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000B8BE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1ED9861">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新型数字万用表</w:t>
            </w:r>
          </w:p>
        </w:tc>
        <w:tc>
          <w:tcPr>
            <w:tcW w:w="4891" w:type="dxa"/>
            <w:tcBorders>
              <w:top w:val="single" w:color="auto" w:sz="4" w:space="0"/>
              <w:left w:val="single" w:color="auto" w:sz="4" w:space="0"/>
              <w:bottom w:val="single" w:color="auto" w:sz="4" w:space="0"/>
              <w:right w:val="single" w:color="auto" w:sz="4" w:space="0"/>
            </w:tcBorders>
          </w:tcPr>
          <w:p w14:paraId="32FB986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一、参数要求</w:t>
            </w:r>
          </w:p>
          <w:p w14:paraId="7911A49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（1）类型；数字表。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（2）款式；手持式。                          （3）用途；专用于电工，专业技师，学生以及家用等。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（4）直流电压量程；600mV/6V/60V/600V/1000V.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600uA/6uA/60mA/600mA/20A。</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（5）交流电压量程；600mV/6V/60V/750V.</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机身尺寸：183*88*56mm。</w:t>
            </w:r>
          </w:p>
        </w:tc>
        <w:tc>
          <w:tcPr>
            <w:tcW w:w="560" w:type="dxa"/>
            <w:tcBorders>
              <w:top w:val="single" w:color="auto" w:sz="4" w:space="0"/>
              <w:left w:val="single" w:color="auto" w:sz="4" w:space="0"/>
              <w:bottom w:val="single" w:color="auto" w:sz="4" w:space="0"/>
              <w:right w:val="single" w:color="auto" w:sz="4" w:space="0"/>
            </w:tcBorders>
            <w:vAlign w:val="center"/>
          </w:tcPr>
          <w:p w14:paraId="34E42F84">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6</w:t>
            </w:r>
          </w:p>
        </w:tc>
        <w:tc>
          <w:tcPr>
            <w:tcW w:w="743" w:type="dxa"/>
            <w:tcBorders>
              <w:top w:val="single" w:color="auto" w:sz="4" w:space="0"/>
              <w:left w:val="single" w:color="auto" w:sz="4" w:space="0"/>
              <w:bottom w:val="single" w:color="auto" w:sz="4" w:space="0"/>
              <w:right w:val="single" w:color="auto" w:sz="4" w:space="0"/>
            </w:tcBorders>
            <w:vAlign w:val="center"/>
          </w:tcPr>
          <w:p w14:paraId="30FF9BC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59078C9D">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350.00</w:t>
            </w:r>
          </w:p>
        </w:tc>
      </w:tr>
      <w:tr w14:paraId="0841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4A2AB7D7">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A6A1E2F">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不锈钢定制实训工作展示角</w:t>
            </w:r>
          </w:p>
        </w:tc>
        <w:tc>
          <w:tcPr>
            <w:tcW w:w="4891" w:type="dxa"/>
            <w:tcBorders>
              <w:top w:val="single" w:color="auto" w:sz="4" w:space="0"/>
              <w:left w:val="single" w:color="auto" w:sz="4" w:space="0"/>
              <w:bottom w:val="single" w:color="auto" w:sz="4" w:space="0"/>
              <w:right w:val="single" w:color="auto" w:sz="4" w:space="0"/>
            </w:tcBorders>
          </w:tcPr>
          <w:p w14:paraId="5414EC7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一、不锈钢定制实训工作展示角要求：</w:t>
            </w:r>
          </w:p>
          <w:p w14:paraId="41C10AD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304不锈钢，工作台规格尺寸：长*宽*高≧（1500*700*800mm），工作台分二层，安装轮子可移动，要求外观美观实用。</w:t>
            </w:r>
          </w:p>
        </w:tc>
        <w:tc>
          <w:tcPr>
            <w:tcW w:w="560" w:type="dxa"/>
            <w:tcBorders>
              <w:top w:val="single" w:color="auto" w:sz="4" w:space="0"/>
              <w:left w:val="single" w:color="auto" w:sz="4" w:space="0"/>
              <w:bottom w:val="single" w:color="auto" w:sz="4" w:space="0"/>
              <w:right w:val="single" w:color="auto" w:sz="4" w:space="0"/>
            </w:tcBorders>
            <w:vAlign w:val="center"/>
          </w:tcPr>
          <w:p w14:paraId="25C8CF7D">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4</w:t>
            </w:r>
          </w:p>
        </w:tc>
        <w:tc>
          <w:tcPr>
            <w:tcW w:w="743" w:type="dxa"/>
            <w:tcBorders>
              <w:top w:val="single" w:color="auto" w:sz="4" w:space="0"/>
              <w:left w:val="single" w:color="auto" w:sz="4" w:space="0"/>
              <w:bottom w:val="single" w:color="auto" w:sz="4" w:space="0"/>
              <w:right w:val="single" w:color="auto" w:sz="4" w:space="0"/>
            </w:tcBorders>
            <w:vAlign w:val="center"/>
          </w:tcPr>
          <w:p w14:paraId="23CCC6E7">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01F75341">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3250.00</w:t>
            </w:r>
          </w:p>
        </w:tc>
      </w:tr>
      <w:tr w14:paraId="2C01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57018134">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CC1C03A">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不锈钢移动工具车</w:t>
            </w:r>
          </w:p>
        </w:tc>
        <w:tc>
          <w:tcPr>
            <w:tcW w:w="4891" w:type="dxa"/>
            <w:tcBorders>
              <w:top w:val="single" w:color="auto" w:sz="4" w:space="0"/>
              <w:left w:val="single" w:color="auto" w:sz="4" w:space="0"/>
              <w:bottom w:val="single" w:color="auto" w:sz="4" w:space="0"/>
              <w:right w:val="single" w:color="auto" w:sz="4" w:space="0"/>
            </w:tcBorders>
          </w:tcPr>
          <w:p w14:paraId="1FF82F0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一、不锈钢移动工具柜技术要求：</w:t>
            </w:r>
          </w:p>
          <w:p w14:paraId="0F314E6E">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304不锈钢，移动工具车规格尺寸：根据实际需求定制，工作台分二层含门锁，安装轮子可移动，要求外观美观实用。</w:t>
            </w:r>
          </w:p>
        </w:tc>
        <w:tc>
          <w:tcPr>
            <w:tcW w:w="560" w:type="dxa"/>
            <w:tcBorders>
              <w:top w:val="single" w:color="auto" w:sz="4" w:space="0"/>
              <w:left w:val="single" w:color="auto" w:sz="4" w:space="0"/>
              <w:bottom w:val="single" w:color="auto" w:sz="4" w:space="0"/>
              <w:right w:val="single" w:color="auto" w:sz="4" w:space="0"/>
            </w:tcBorders>
            <w:vAlign w:val="center"/>
          </w:tcPr>
          <w:p w14:paraId="719A837C">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4</w:t>
            </w:r>
          </w:p>
        </w:tc>
        <w:tc>
          <w:tcPr>
            <w:tcW w:w="743" w:type="dxa"/>
            <w:tcBorders>
              <w:top w:val="single" w:color="auto" w:sz="4" w:space="0"/>
              <w:left w:val="single" w:color="auto" w:sz="4" w:space="0"/>
              <w:bottom w:val="single" w:color="auto" w:sz="4" w:space="0"/>
              <w:right w:val="single" w:color="auto" w:sz="4" w:space="0"/>
            </w:tcBorders>
            <w:vAlign w:val="center"/>
          </w:tcPr>
          <w:p w14:paraId="4FB32EB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81440A8">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3850.00</w:t>
            </w:r>
          </w:p>
        </w:tc>
      </w:tr>
      <w:tr w14:paraId="5AF4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44D56F8B">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63698C2A">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新能源汽车覆盖件修复实训台</w:t>
            </w:r>
          </w:p>
        </w:tc>
        <w:tc>
          <w:tcPr>
            <w:tcW w:w="4891" w:type="dxa"/>
            <w:tcBorders>
              <w:top w:val="single" w:color="auto" w:sz="4" w:space="0"/>
              <w:left w:val="single" w:color="auto" w:sz="4" w:space="0"/>
              <w:bottom w:val="single" w:color="auto" w:sz="4" w:space="0"/>
              <w:right w:val="single" w:color="auto" w:sz="4" w:space="0"/>
            </w:tcBorders>
          </w:tcPr>
          <w:p w14:paraId="63331F9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一、功能要求</w:t>
            </w:r>
          </w:p>
          <w:p w14:paraId="3B4FD91E">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该实训台是结合新能源汽车钣金专业教学要求与技术标准设计制作，具有多功能、实用性与易操作、节约实训耗材、节约实训工位、实训操作安全、作业环境规范等特点。可满足新能源汽车钣金专业一体化的教学需要，适用于新能源汽车钣金专业的职业培训和技能鉴定考核。</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1.该实训台所有夹具与模具材料均采用45号以上模具钢，可以同时进行钢板焊接、门板修复、手工制作、板件分离、钢板切割、钢板打磨、板件更换等钣金基础技能实训。</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2.外形尺寸：≧1500×1500×1800mm(长×宽×高)，可分解拆装。</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3.实训台额定电源：AC 380V±10%(三相四线) 50Hz，63A</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4.实训台额定重量：≧800kg</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5.配备手动折弯机，具有1.5毫米以内厚度钢板的折弯功能。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6.配备门板损伤机，具备门板损伤压制功能，损伤程度可以手动控制。</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7.配备门板夹定架，具备定位和夹持功能。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8.配备保护焊机和车身外形修复机，具备薄板焊接和门板修复功能。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9.该实训台共分四个实训工位，每个工位均配备专用实训工具：</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门板修复工位配有手工整形工具、双动打磨机和带式打磨机等。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手工制作工位配有手工成型模具、手工整形工具、大剪刀、画图工具等。板件更换工位配有风锯、切割机、风钻、薄板剪切工具等。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钢板焊接工位配有手动打孔器、大力钳夹持工具、切割、打磨工具等。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10.配套“中国劳动社会保障出版社”出版的《汽车维修钣金基础技能实训教材》及配套教学视频及书籍电子档。</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11.配套教学课程包： 配套汽车钣金板件更换操作视频、汽车拆装视频、汽车钣金课程教学计划、教案、钣金考试试卷A、B、C三个模块：（板件更换、门板修复、切割焊接）及教学PPT。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12.配套拆装教学工作页及评分表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内容如下：</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工作页 1—车身材料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工作页 2—保险杠拆装及评分表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工作页 3—发动机盖的拆装与更换及评分表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工作页 4—车门内饰板的拆装与更换及评分表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工作页 5-车门玻璃及玻璃升降器拆装与更换及评分表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▲14.</w:t>
            </w:r>
            <w:r>
              <w:rPr>
                <w:rFonts w:hint="eastAsia" w:ascii="仿宋" w:hAnsi="仿宋" w:eastAsia="仿宋" w:cs="仿宋"/>
                <w:b/>
                <w:bCs/>
                <w:color w:val="auto"/>
                <w:kern w:val="0"/>
                <w:szCs w:val="21"/>
                <w:highlight w:val="none"/>
              </w:rPr>
              <w:t>需提供</w:t>
            </w:r>
            <w:r>
              <w:rPr>
                <w:rFonts w:hint="eastAsia" w:ascii="仿宋" w:hAnsi="仿宋" w:eastAsia="仿宋" w:cs="仿宋"/>
                <w:b/>
                <w:bCs/>
                <w:color w:val="auto"/>
                <w:kern w:val="0"/>
                <w:sz w:val="21"/>
                <w:szCs w:val="21"/>
                <w:highlight w:val="none"/>
                <w:lang w:val="en-US" w:eastAsia="zh-CN"/>
              </w:rPr>
              <w:t>国家认可的</w:t>
            </w:r>
            <w:r>
              <w:rPr>
                <w:rFonts w:hint="eastAsia" w:ascii="仿宋" w:hAnsi="仿宋" w:eastAsia="仿宋" w:cs="仿宋"/>
                <w:b/>
                <w:bCs/>
                <w:color w:val="auto"/>
                <w:kern w:val="0"/>
                <w:szCs w:val="21"/>
                <w:highlight w:val="none"/>
              </w:rPr>
              <w:t>第三方检测机构出具的有效的《汽车维修钣金多功能实训台检验报告》复印件。</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w:t>
            </w:r>
            <w:r>
              <w:rPr>
                <w:rFonts w:hint="eastAsia" w:ascii="仿宋" w:hAnsi="仿宋" w:eastAsia="仿宋" w:cs="仿宋"/>
                <w:b/>
                <w:bCs/>
                <w:color w:val="auto"/>
                <w:kern w:val="0"/>
                <w:szCs w:val="21"/>
                <w:highlight w:val="none"/>
              </w:rPr>
              <w:t>▲15.需提供</w:t>
            </w:r>
            <w:r>
              <w:rPr>
                <w:rFonts w:hint="eastAsia" w:ascii="仿宋" w:hAnsi="仿宋" w:eastAsia="仿宋" w:cs="仿宋"/>
                <w:b/>
                <w:bCs/>
                <w:color w:val="auto"/>
                <w:kern w:val="0"/>
                <w:sz w:val="21"/>
                <w:szCs w:val="21"/>
                <w:highlight w:val="none"/>
                <w:lang w:val="en-US" w:eastAsia="zh-CN"/>
              </w:rPr>
              <w:t>国家认可的</w:t>
            </w:r>
            <w:r>
              <w:rPr>
                <w:rFonts w:hint="eastAsia" w:ascii="仿宋" w:hAnsi="仿宋" w:eastAsia="仿宋" w:cs="仿宋"/>
                <w:b/>
                <w:bCs/>
                <w:color w:val="auto"/>
                <w:kern w:val="0"/>
                <w:szCs w:val="21"/>
                <w:highlight w:val="none"/>
              </w:rPr>
              <w:t>第三方检测机构出具的有效的《储气罐检验报告》复印件。</w:t>
            </w:r>
          </w:p>
        </w:tc>
        <w:tc>
          <w:tcPr>
            <w:tcW w:w="560" w:type="dxa"/>
            <w:tcBorders>
              <w:top w:val="single" w:color="auto" w:sz="4" w:space="0"/>
              <w:left w:val="single" w:color="auto" w:sz="4" w:space="0"/>
              <w:bottom w:val="single" w:color="auto" w:sz="4" w:space="0"/>
              <w:right w:val="single" w:color="auto" w:sz="4" w:space="0"/>
            </w:tcBorders>
            <w:vAlign w:val="center"/>
          </w:tcPr>
          <w:p w14:paraId="0149380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43" w:type="dxa"/>
            <w:tcBorders>
              <w:top w:val="single" w:color="auto" w:sz="4" w:space="0"/>
              <w:left w:val="single" w:color="auto" w:sz="4" w:space="0"/>
              <w:bottom w:val="single" w:color="auto" w:sz="4" w:space="0"/>
              <w:right w:val="single" w:color="auto" w:sz="4" w:space="0"/>
            </w:tcBorders>
            <w:vAlign w:val="center"/>
          </w:tcPr>
          <w:p w14:paraId="70F64B9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33BFAA4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78000.00</w:t>
            </w:r>
          </w:p>
        </w:tc>
      </w:tr>
      <w:tr w14:paraId="3288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7A679EA2">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27</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7A562429">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新能源整体组合式工位</w:t>
            </w:r>
          </w:p>
        </w:tc>
        <w:tc>
          <w:tcPr>
            <w:tcW w:w="4891" w:type="dxa"/>
            <w:tcBorders>
              <w:top w:val="single" w:color="auto" w:sz="4" w:space="0"/>
              <w:left w:val="single" w:color="auto" w:sz="4" w:space="0"/>
              <w:bottom w:val="single" w:color="auto" w:sz="4" w:space="0"/>
              <w:right w:val="single" w:color="auto" w:sz="4" w:space="0"/>
            </w:tcBorders>
          </w:tcPr>
          <w:p w14:paraId="55B63A2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参数要求：</w:t>
            </w:r>
          </w:p>
          <w:p w14:paraId="4AE18405">
            <w:pPr>
              <w:numPr>
                <w:ilvl w:val="0"/>
                <w:numId w:val="1"/>
              </w:num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单个工位尺寸（长宽高）≥2000mm×1200mm×2600mm；每个工位由多块网板组成。（也可根据现场尺寸定制）；</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(2)隔断面板为双层板，面板方孔尺寸为≥10×10mm，保证焊接不变形。面板上部分颜色为深灰色，下部分为浅灰色，采用静电喷涂的方式加工。顶上配置灯架及光源，</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(3)隔断边框切45度斜角焊接成型，颜色为浅灰色；</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(4)面板和外框连接方式为螺栓连接，使用螺丝连接，拆装方便。间隙控制在2-3mm之间；</w:t>
            </w:r>
          </w:p>
          <w:p w14:paraId="489280D8">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（5）每个工位配8个挂钩；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（6）配套专业电源控制箱。</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（7）每个工位配置防火地毯。</w:t>
            </w:r>
          </w:p>
        </w:tc>
        <w:tc>
          <w:tcPr>
            <w:tcW w:w="560" w:type="dxa"/>
            <w:tcBorders>
              <w:top w:val="single" w:color="auto" w:sz="4" w:space="0"/>
              <w:left w:val="single" w:color="auto" w:sz="4" w:space="0"/>
              <w:bottom w:val="single" w:color="auto" w:sz="4" w:space="0"/>
              <w:right w:val="single" w:color="auto" w:sz="4" w:space="0"/>
            </w:tcBorders>
            <w:vAlign w:val="center"/>
          </w:tcPr>
          <w:p w14:paraId="3765ADD2">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6</w:t>
            </w:r>
          </w:p>
        </w:tc>
        <w:tc>
          <w:tcPr>
            <w:tcW w:w="743" w:type="dxa"/>
            <w:tcBorders>
              <w:top w:val="single" w:color="auto" w:sz="4" w:space="0"/>
              <w:left w:val="single" w:color="auto" w:sz="4" w:space="0"/>
              <w:bottom w:val="single" w:color="auto" w:sz="4" w:space="0"/>
              <w:right w:val="single" w:color="auto" w:sz="4" w:space="0"/>
            </w:tcBorders>
            <w:vAlign w:val="center"/>
          </w:tcPr>
          <w:p w14:paraId="52CA127A">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D33AD36">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8500.00</w:t>
            </w:r>
          </w:p>
        </w:tc>
      </w:tr>
      <w:tr w14:paraId="1F66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40F1C88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0342257">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车身覆盖件折叠实训系统</w:t>
            </w:r>
          </w:p>
        </w:tc>
        <w:tc>
          <w:tcPr>
            <w:tcW w:w="4891" w:type="dxa"/>
            <w:tcBorders>
              <w:top w:val="single" w:color="auto" w:sz="4" w:space="0"/>
              <w:left w:val="single" w:color="auto" w:sz="4" w:space="0"/>
              <w:bottom w:val="single" w:color="auto" w:sz="4" w:space="0"/>
              <w:right w:val="single" w:color="auto" w:sz="4" w:space="0"/>
            </w:tcBorders>
          </w:tcPr>
          <w:p w14:paraId="0B161BA8">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参数要求：</w:t>
            </w:r>
          </w:p>
          <w:p w14:paraId="6A2FAA69">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1.车身覆盖件折叠实训系统，外形尺寸：≥（1040*700*920）mm(长*宽*高)。内置车门与翼子板调节固定，侧面可以调节间隙大小，配套固定脚杯及万向轮方便移动；配套操作教学视频。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2.台架采用国标方通；设计双面四方管≥（40*40）mm，四方管壁厚≥3mm，骨架能够自由调节，旋转功能，不锈钢材质能良好的防腐抗锈，坚固耐用；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3.要求可以安装各种车型门与翼子板、具能安装喷漆门板、翼子板、小损伤修复、整形修复、车门与翼子板间隙调节、车门锁机检修等功能（如丰田系列、大众系列、通用系列等各种车型前车门与前翼子板）；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4.车门内饰板、玻璃及升降器、锁机、后视镜、可安装拆装调整；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5.应具备原子灰刮涂、中涂底漆喷涂、面漆喷涂、清漆喷涂、两块覆盖件车门及翼子板可以在台架上旋转打开同时操作的功能。</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▲提供《车门及翼子板修复台架》配套操作视频、</w:t>
            </w:r>
          </w:p>
        </w:tc>
        <w:tc>
          <w:tcPr>
            <w:tcW w:w="560" w:type="dxa"/>
            <w:tcBorders>
              <w:top w:val="single" w:color="auto" w:sz="4" w:space="0"/>
              <w:left w:val="single" w:color="auto" w:sz="4" w:space="0"/>
              <w:bottom w:val="single" w:color="auto" w:sz="4" w:space="0"/>
              <w:right w:val="single" w:color="auto" w:sz="4" w:space="0"/>
            </w:tcBorders>
            <w:vAlign w:val="center"/>
          </w:tcPr>
          <w:p w14:paraId="41A968B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43" w:type="dxa"/>
            <w:tcBorders>
              <w:top w:val="single" w:color="auto" w:sz="4" w:space="0"/>
              <w:left w:val="single" w:color="auto" w:sz="4" w:space="0"/>
              <w:bottom w:val="single" w:color="auto" w:sz="4" w:space="0"/>
              <w:right w:val="single" w:color="auto" w:sz="4" w:space="0"/>
            </w:tcBorders>
            <w:vAlign w:val="center"/>
          </w:tcPr>
          <w:p w14:paraId="1B22336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0A19EB5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3850.00</w:t>
            </w:r>
          </w:p>
        </w:tc>
      </w:tr>
      <w:tr w14:paraId="2AE2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419722B8">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69D8C24C">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焊接实训车</w:t>
            </w:r>
          </w:p>
        </w:tc>
        <w:tc>
          <w:tcPr>
            <w:tcW w:w="4891" w:type="dxa"/>
            <w:tcBorders>
              <w:top w:val="single" w:color="auto" w:sz="4" w:space="0"/>
              <w:left w:val="single" w:color="auto" w:sz="4" w:space="0"/>
              <w:bottom w:val="single" w:color="auto" w:sz="4" w:space="0"/>
              <w:right w:val="single" w:color="auto" w:sz="4" w:space="0"/>
            </w:tcBorders>
          </w:tcPr>
          <w:p w14:paraId="3BA2CAEE">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参数要求：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1.规格：（长*宽*高：≥700*500*900（含支架高度：1600）mm；</w:t>
            </w:r>
          </w:p>
          <w:p w14:paraId="6F4FE6D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2.重量：：≥20㎏ ；</w:t>
            </w:r>
          </w:p>
          <w:p w14:paraId="675708B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3.材质：≥30*30*2.0mm方通加工而成；台面板采用高强度加工制作而成，板厚：≧3mm；功能：焊接工作台配有焊接支架可根据操作人员身高进行上下调节、可多角度旋转变换；方便钣金焊接、点焊等功能。</w:t>
            </w:r>
          </w:p>
        </w:tc>
        <w:tc>
          <w:tcPr>
            <w:tcW w:w="560" w:type="dxa"/>
            <w:tcBorders>
              <w:top w:val="single" w:color="auto" w:sz="4" w:space="0"/>
              <w:left w:val="single" w:color="auto" w:sz="4" w:space="0"/>
              <w:bottom w:val="single" w:color="auto" w:sz="4" w:space="0"/>
              <w:right w:val="single" w:color="auto" w:sz="4" w:space="0"/>
            </w:tcBorders>
            <w:vAlign w:val="center"/>
          </w:tcPr>
          <w:p w14:paraId="10F71DA5">
            <w:pPr>
              <w:widowControl/>
              <w:jc w:val="center"/>
              <w:textAlignment w:val="center"/>
              <w:rPr>
                <w:rFonts w:hint="eastAsia" w:ascii="仿宋" w:hAnsi="仿宋" w:eastAsia="仿宋" w:cs="仿宋"/>
                <w:color w:val="auto"/>
                <w:szCs w:val="21"/>
                <w:highlight w:val="none"/>
                <w:lang w:bidi="ar"/>
              </w:rPr>
            </w:pPr>
            <w:r>
              <w:rPr>
                <w:rFonts w:hint="eastAsia" w:ascii="宋体" w:hAnsi="宋体" w:cs="宋体"/>
                <w:color w:val="auto"/>
                <w:kern w:val="0"/>
                <w:sz w:val="22"/>
                <w:szCs w:val="22"/>
                <w:highlight w:val="none"/>
                <w:lang w:bidi="ar"/>
              </w:rPr>
              <w:t>3</w:t>
            </w:r>
          </w:p>
        </w:tc>
        <w:tc>
          <w:tcPr>
            <w:tcW w:w="743" w:type="dxa"/>
            <w:tcBorders>
              <w:top w:val="single" w:color="auto" w:sz="4" w:space="0"/>
              <w:left w:val="single" w:color="auto" w:sz="4" w:space="0"/>
              <w:bottom w:val="single" w:color="auto" w:sz="4" w:space="0"/>
              <w:right w:val="single" w:color="auto" w:sz="4" w:space="0"/>
            </w:tcBorders>
            <w:vAlign w:val="center"/>
          </w:tcPr>
          <w:p w14:paraId="7338F464">
            <w:pPr>
              <w:widowControl/>
              <w:jc w:val="center"/>
              <w:textAlignment w:val="center"/>
              <w:rPr>
                <w:rFonts w:hint="eastAsia" w:ascii="仿宋" w:hAnsi="仿宋" w:eastAsia="仿宋" w:cs="仿宋"/>
                <w:color w:val="auto"/>
                <w:szCs w:val="21"/>
                <w:highlight w:val="none"/>
              </w:rPr>
            </w:pPr>
            <w:r>
              <w:rPr>
                <w:rFonts w:hint="eastAsia" w:ascii="宋体" w:hAnsi="宋体" w:cs="宋体"/>
                <w:color w:val="auto"/>
                <w:kern w:val="0"/>
                <w:sz w:val="22"/>
                <w:szCs w:val="22"/>
                <w:highlight w:val="none"/>
                <w:lang w:bidi="ar"/>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6B049C08">
            <w:pPr>
              <w:widowControl/>
              <w:jc w:val="center"/>
              <w:textAlignment w:val="center"/>
              <w:rPr>
                <w:rFonts w:hint="eastAsia" w:ascii="仿宋" w:hAnsi="仿宋" w:eastAsia="仿宋" w:cs="仿宋"/>
                <w:color w:val="auto"/>
                <w:szCs w:val="21"/>
                <w:highlight w:val="none"/>
              </w:rPr>
            </w:pPr>
            <w:r>
              <w:rPr>
                <w:rFonts w:hint="eastAsia" w:ascii="宋体" w:hAnsi="宋体" w:cs="宋体"/>
                <w:color w:val="auto"/>
                <w:kern w:val="0"/>
                <w:sz w:val="22"/>
                <w:szCs w:val="22"/>
                <w:highlight w:val="none"/>
                <w:lang w:bidi="ar"/>
              </w:rPr>
              <w:t>1780.00</w:t>
            </w:r>
          </w:p>
        </w:tc>
      </w:tr>
      <w:tr w14:paraId="5AB8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5BF50E29">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549255AF">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气路/电路 安装（含材料）</w:t>
            </w:r>
          </w:p>
        </w:tc>
        <w:tc>
          <w:tcPr>
            <w:tcW w:w="4891" w:type="dxa"/>
            <w:tcBorders>
              <w:top w:val="single" w:color="auto" w:sz="4" w:space="0"/>
              <w:left w:val="single" w:color="auto" w:sz="4" w:space="0"/>
              <w:bottom w:val="single" w:color="auto" w:sz="4" w:space="0"/>
              <w:right w:val="single" w:color="auto" w:sz="4" w:space="0"/>
            </w:tcBorders>
          </w:tcPr>
          <w:p w14:paraId="0CEDEC1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参数要求：</w:t>
            </w:r>
          </w:p>
          <w:p w14:paraId="1E87468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1.气路：采用国标 H-PVR 管（主管 40#60米.分管 20#40米）H-PVR 管最高耐高压 16 巴.可以耐高温 60 度、耐低温-20 度、与 PPR 管相比，H-PVR管带钢性，不易变形；8*12mm软气管60米、快速接头15套；</w:t>
            </w:r>
          </w:p>
          <w:p w14:paraId="46A9CC3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2.电源主线要求国标10平方米200米、6平方200米、2.5平方200米、总电源箱、开关1批。</w:t>
            </w:r>
          </w:p>
        </w:tc>
        <w:tc>
          <w:tcPr>
            <w:tcW w:w="560" w:type="dxa"/>
            <w:tcBorders>
              <w:top w:val="single" w:color="auto" w:sz="4" w:space="0"/>
              <w:left w:val="single" w:color="auto" w:sz="4" w:space="0"/>
              <w:bottom w:val="single" w:color="auto" w:sz="4" w:space="0"/>
              <w:right w:val="single" w:color="auto" w:sz="4" w:space="0"/>
            </w:tcBorders>
            <w:vAlign w:val="center"/>
          </w:tcPr>
          <w:p w14:paraId="7B0D0B29">
            <w:pPr>
              <w:widowControl/>
              <w:jc w:val="center"/>
              <w:textAlignment w:val="center"/>
              <w:rPr>
                <w:rFonts w:hint="eastAsia" w:ascii="仿宋" w:hAnsi="仿宋" w:eastAsia="仿宋" w:cs="仿宋"/>
                <w:color w:val="auto"/>
                <w:szCs w:val="21"/>
                <w:highlight w:val="none"/>
                <w:lang w:bidi="ar"/>
              </w:rPr>
            </w:pPr>
            <w:r>
              <w:rPr>
                <w:rFonts w:hint="eastAsia" w:ascii="宋体" w:hAnsi="宋体" w:cs="宋体"/>
                <w:color w:val="auto"/>
                <w:kern w:val="0"/>
                <w:sz w:val="22"/>
                <w:szCs w:val="22"/>
                <w:highlight w:val="none"/>
                <w:lang w:bidi="ar"/>
              </w:rPr>
              <w:t>1</w:t>
            </w:r>
          </w:p>
        </w:tc>
        <w:tc>
          <w:tcPr>
            <w:tcW w:w="743" w:type="dxa"/>
            <w:tcBorders>
              <w:top w:val="single" w:color="auto" w:sz="4" w:space="0"/>
              <w:left w:val="single" w:color="auto" w:sz="4" w:space="0"/>
              <w:bottom w:val="single" w:color="auto" w:sz="4" w:space="0"/>
              <w:right w:val="single" w:color="auto" w:sz="4" w:space="0"/>
            </w:tcBorders>
            <w:vAlign w:val="center"/>
          </w:tcPr>
          <w:p w14:paraId="3E721D47">
            <w:pPr>
              <w:widowControl/>
              <w:jc w:val="center"/>
              <w:textAlignment w:val="center"/>
              <w:rPr>
                <w:rFonts w:hint="eastAsia" w:ascii="仿宋" w:hAnsi="仿宋" w:eastAsia="仿宋" w:cs="仿宋"/>
                <w:color w:val="auto"/>
                <w:szCs w:val="21"/>
                <w:highlight w:val="none"/>
              </w:rPr>
            </w:pPr>
            <w:r>
              <w:rPr>
                <w:rFonts w:hint="eastAsia" w:ascii="宋体" w:hAnsi="宋体" w:cs="宋体"/>
                <w:color w:val="auto"/>
                <w:kern w:val="0"/>
                <w:sz w:val="22"/>
                <w:szCs w:val="22"/>
                <w:highlight w:val="none"/>
                <w:lang w:bidi="ar"/>
              </w:rPr>
              <w:t>批</w:t>
            </w:r>
          </w:p>
        </w:tc>
        <w:tc>
          <w:tcPr>
            <w:tcW w:w="1300" w:type="dxa"/>
            <w:tcBorders>
              <w:top w:val="single" w:color="auto" w:sz="4" w:space="0"/>
              <w:left w:val="single" w:color="auto" w:sz="4" w:space="0"/>
              <w:bottom w:val="single" w:color="auto" w:sz="4" w:space="0"/>
              <w:right w:val="single" w:color="auto" w:sz="4" w:space="0"/>
            </w:tcBorders>
            <w:vAlign w:val="center"/>
          </w:tcPr>
          <w:p w14:paraId="3ADA1086">
            <w:pPr>
              <w:widowControl/>
              <w:jc w:val="center"/>
              <w:textAlignment w:val="center"/>
              <w:rPr>
                <w:rFonts w:hint="eastAsia" w:ascii="仿宋" w:hAnsi="仿宋" w:eastAsia="仿宋" w:cs="仿宋"/>
                <w:color w:val="auto"/>
                <w:szCs w:val="21"/>
                <w:highlight w:val="none"/>
              </w:rPr>
            </w:pPr>
            <w:r>
              <w:rPr>
                <w:rFonts w:hint="eastAsia" w:ascii="宋体" w:hAnsi="宋体" w:cs="宋体"/>
                <w:color w:val="auto"/>
                <w:kern w:val="0"/>
                <w:sz w:val="22"/>
                <w:szCs w:val="22"/>
                <w:highlight w:val="none"/>
                <w:lang w:bidi="ar"/>
              </w:rPr>
              <w:t>6700.00</w:t>
            </w:r>
          </w:p>
        </w:tc>
      </w:tr>
      <w:tr w14:paraId="0D4D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7B15F5A2">
            <w:pPr>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52DF3AA">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新能源专业内涵建设服务</w:t>
            </w:r>
          </w:p>
        </w:tc>
        <w:tc>
          <w:tcPr>
            <w:tcW w:w="4891" w:type="dxa"/>
            <w:tcBorders>
              <w:top w:val="single" w:color="auto" w:sz="4" w:space="0"/>
              <w:left w:val="single" w:color="auto" w:sz="4" w:space="0"/>
              <w:bottom w:val="single" w:color="auto" w:sz="4" w:space="0"/>
              <w:right w:val="single" w:color="auto" w:sz="4" w:space="0"/>
            </w:tcBorders>
          </w:tcPr>
          <w:p w14:paraId="6EE990A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能源汽车维修专业内涵建设服务必须坚持以习近平新时代中国特色社会主义思想为指导，以桂北地区经济建设对高技能人才的需求为导向，依据《国家中长期人才发展规划》和《高技能人才队伍建设中长期规划》，按照《国家高技能人才振兴计划》的要求，全面加强桂林市第二技工学校自治区级高技能人才培训基地内涵建设，提升新能源汽车维修专业高技能人才培养能力，走质量型内涵式发展之路，进一步增强和凸显自治区高技能人才培训基地的示范、辐射和引领作用，推进技能培训工作整体水平和基础能力建设。服务内容包括：项目组织与管理改革、人才培养模式创新、课程改革、一体化教材开发、师资队伍建设、校企合作开发专利、基地建设材料汇总并提炼工作经验等。签订合同后七个工作日内，中标人必须提供完善的内涵建设实施方案并得到学校认可，否则不予签订合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一、项目组织与管理改革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设置项目专门组织机构，人员分工明确，责任到人。健全培训管理、财务管理、资产管理、风险管理等制度，运行规范，项目档案及相关资料完整。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1.指导学校成立项目组织机构，并制定有关项目建设的管理办法及建设资金管理办法。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2.指导新能源汽车维修专业根据《实施方案》完成各项目组具体任务分解表。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3.指导并完成学校相关培训管理、财务管理、资产管理、风险管理等制度。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4.指导并完成各专业项目档案。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（3）必须提交的服务成果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学校有关项目建设的管理办法。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 学校有关项目建设资金的管理办法。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各项目组成员具体建设任务分工表。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 学校相关培训管理制度。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 学校相关财务管理制度。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 学校相关资产管理制度。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 学校相关风险管理制度。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8．新能源汽车维修专业按《实施方案》整理的材料总目录。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二、人才培养模式创新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要坚持工学结合的人才培训模式，以科学定位为立足点，优化培训层次结构，以对接产业为切入点，强化培训特色，适应区域产业需求，明晰人才培训目标，紧贴产业转型升级，优化产业结构布局，强化学员素质培养，改进培训教学过程。</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1.组织学校教师开展行业企业调研，指导并完成新能源汽车维修专业的岗位技能（能力）调研分析报告。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2.通过召开实践专家访谈会，组织专家指导并提炼新能源汽车维修专业的典型工作任务。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3.组织专家指导高技能人才培训模式、人才培训方案结构、人才培训方案编写的方法。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4.指导并完成新能源汽车维修专业的高技能人才培训方案。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5.指导并完成佐证材料的整理。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（3）必须提交的服务成果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 新能源汽车维修专业高技能人才培训模式工作方案。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新能源汽车维修专业岗位技能（能力）调研分析报告。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新能源汽车维修专业高技能人才培训方案（试行版）。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新能源汽车维修专业高技能人才培训方案（修订版）。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新能源汽车维修专业高技能人才培训方案修订说明。</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三、课程改革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通过校企合作、建立一体化课程开发团队、共同进行企业新能源汽车维修专业人才岗位调研、组织专家提炼课程典型工作任务开展座谈研讨、专家论证、试运行等方式最后得出适合社会发展、企业满意的人才培训一体化课程标准和培训实施方案。课程标准和课程实施方案要求建立以国家职业鉴定标准为依据、以工作任务为导向、以综合职业能力培养为核心的高技能人才培训课程，针对广西、桂林地区经济社会的发展需求，围绕新能源汽车维修专业人才培养目标，以校企合作为载体，改革创新一体化课程，开发出一套高级工层次一体化课程标准、课程实施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1.组织学校教师开展行业企业调研，指导并完成新能源汽车维修专业的岗位技能（能力）调研分析报告。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2.通过召开实践专家访谈会，组织专家指导并提炼新能源汽车维修专业的典型工作任务。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3.组织专家指导并完成新能源汽车维修专业一体化课程标准。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4.指导并完成新能源汽车维修专业的高技能人才培训一体化课程实施方案。</w:t>
            </w:r>
          </w:p>
          <w:p w14:paraId="115E6275">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5.指导并完成专业典型工作任务提取访谈会、一体化课程框架审定会、一体化课程标准审定会、一体化课程实施方案专家审定会及佐证材料的整理。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 新能源汽车维修专业高技能人才培训课程设置工作方案。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新能源汽车维修专业岗位技能（能力）调研分析报告。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新能源汽车维修专业高技能人才培训课程体系（中、高级工）。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新能源汽车维修专业高技能人才培训一体化课程标准（中、高级工）。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新能源汽车维修专业高技能人才培训一体化课程实施方案（中、高级工）。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 新能源汽车维修专业高技能人才培训课程设置实施情况总结报告。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四、一体化教材开发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紧紧依托行业优势，以为企业培训满足其岗位需求的高技能人才为最终目标，组织相关人员、采用走访、问卷调查、座谈会等方式，对全国具有代表性的新能源汽车维修行业企业、部分省市的职业院校进行调研，组织行业和技能教育方面的专家对培训教材内容、编写模式等进行深入探讨，然后由专业教师和企业专家共同编写出工学结合的专业特色培训教材及实训工作页。培训教材内容以工作任务为主线编排，创建与之对应的学习领域及学习情境，融入国家职业资格标准，创新培训教材内容，确保培训教材能反映当前的新能源汽车维修技术发展趋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1.组织学校教师开展行业企业调研，指导并完成新能源汽车维修专业高技能人才培训系列教材开发工作方案。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2.指导并完成新能源汽车维修专业高技能人才培训系列教材编写大纲。</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3.组织专家指导并完成新能源汽车维修专业高技能人才培训系列校本教材《电控发动机检测与维修》、《汽车空调检测与维修》、《电控车身检测与维修》等模块高级工层次工作页；</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4.指导并完成以上高技能人才培训系列教材开发佐证材料的整理。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5.免费提供每本各5套打印教材样板。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1.《电控发动机检测与维修》、《汽车空调检测与维修》、《电控车身检测与维修》高级工层次等3本高技能人才培训教材工作页。</w:t>
            </w:r>
          </w:p>
          <w:p w14:paraId="6CF3E09E">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2.组织专家指导并完成汽车专业高技能人才培训系列教材1本并公开出版；</w:t>
            </w:r>
          </w:p>
          <w:p w14:paraId="62FCFD7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①教材编写及出版要求：</w:t>
            </w:r>
          </w:p>
          <w:p w14:paraId="1E959A6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1）完成《新能源汽车构造》教材的建设和出版。教材预计字数 30 万字左右。包括但不限于：选题报批、书号申请、封面设计、装帧设计、制作制版、版式设计、内容审稿、编辑加工、修图制图、书稿排版、样稿校对、印刷装订、书本运输、售后服务等全部相关工作。 </w:t>
            </w:r>
          </w:p>
          <w:p w14:paraId="6C51FE4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2）稿件审核：文稿以文字、图片为主。供应商需根据校方要求进行审核。完成审核工作，并经校方确认。 </w:t>
            </w:r>
          </w:p>
          <w:p w14:paraId="20957404">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3）编辑：供应商应根据校方的要求，对最终定稿进行编辑，封面、内页版式设计，稿件校对等。完成定稿工作，并经校方确认。 </w:t>
            </w:r>
          </w:p>
          <w:p w14:paraId="20907F2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印刷：收到齐清定稿件即最终定稿文件后 3-6 个月内出版，印刷即在正式出版后 7-10 天内印刷入库发货。 </w:t>
            </w:r>
          </w:p>
          <w:p w14:paraId="626B538F">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4）样书数量：根据校方需求提供样书5册。供应商应按前期制作提供样稿之要求按时、按质完成，印刷品质量以经校方批准签字的样稿为准进行验收。</w:t>
            </w:r>
          </w:p>
          <w:p w14:paraId="4A7184F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②采购要求 </w:t>
            </w:r>
          </w:p>
          <w:p w14:paraId="0006E6C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1）使用 ISBN 号正规出版。 </w:t>
            </w:r>
          </w:p>
          <w:p w14:paraId="23D01B1D">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2）封面四色印刷，250 克铜版纸，内文双色印刷，70 克胶版纸。 </w:t>
            </w:r>
          </w:p>
          <w:p w14:paraId="01ACF192">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3）套印准确、（彩色）批量无大的色差。印刷墨色均匀，字迹清晰，无明显缺笔断划，不影响阅读，条码印刷清晰，无透印或字迹灰白，版面整洁干净。 </w:t>
            </w:r>
          </w:p>
          <w:p w14:paraId="62BC1A78">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4）外观整洁，书背平直，封面覆膜无起皱，起泡。裁切方正，尺寸符合标准，无严重破头，刀花，连刀页。平装胶订书封面与书芯胶粘牢固，无严重空泡，侧胶宽度符合要求。内页无缺页，倒页，白页，破页，掉页和错页，书钉平服。 </w:t>
            </w:r>
          </w:p>
          <w:p w14:paraId="655062C8">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5）产品均应按采购人要求的数量及标准保护措施进行包装，这类包装应适应于运输、防潮、防散落和防野蛮装卸，以确保该印刷服务产品安全无损地运抵指定现场并堆放到位。</w:t>
            </w:r>
          </w:p>
          <w:p w14:paraId="57EA86CB">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 完成高技能人才培训教材开发实施情况总结报告。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五、师资队伍建设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为了进一步提升骨干教师及“双高型”教师实践操作能力，校企合作提高师资队伍专业建设能力和专业教学能力，到企业挂职锻炼。培训项目以师资队伍教育教学能力和技术实践能力为重点，以校企合作方式进行骨干教师培训，开阔教师视野，掌握新方法，培养持续发展思想观念、提升学习能力和教科研能力。学校主导完成，中标企业在培养骨干教师、“双高型”教师培养方面调动自身资源协助学校完成合作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（2）服务内容</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（一）骨干教师培养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1.指导并完成新能源汽车维修专业高技能人才培训骨干教师培养方案。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根据人才培养目标，按岗位核心课程要求制定骨干教师认定标准。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培养专业基础理论扎实，对本专业课程有较强把握，对新技术有较强跟踪能力，并能承担一些实际项目的骨干教师2名。</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 指导并完成新能源汽车维修专业高技能人才培训骨干教师培养佐证材料的整理。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（二）“双高型”教师培养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1.指导并完成新能源汽车维修专业高技能人才培训“双高型”教师培养方案。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提供3名教师培训1次；培训时间不少于10天。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按照新能源汽车维修专业的培养目标，结合岗位的实际培养素质优良、实践经验丰富的双高型教师3人。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建立专业教师到企事业单位实践制度，坚持“工学结合”，针对“双高型”教师的具体情况，安排区内外行业企业挂职锻炼和实践技能培训。</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指导并完成新能源汽车维修专业高技能人才培训“双高型”教师培养佐证材料的整理。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 新能源汽车维修专业高技能人才培训师资队伍建设工作方案。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新能源汽车维修专业骨干教师培养方案。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新能源汽车维修专业骨干教师建设过程材料汇总。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新能源汽车维修专业骨干教师建设工作总结。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新能源汽车维修专业“双高型”教师培养方案。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 新能源汽车维修专业“双高型”教师建设过程材料汇总。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7. 新能源汽车维修专业“双高型”教师建设工作总结。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六、校企合作开发专利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（1）服务要求</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推动产学研结合，充分发挥学校新能源汽车维修专业的人才、技术、科研成果方面的优势，深入合作企业调研，通过对合作企业的部分生产难题，进行科学的设计和优化，开发出新产品。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（2）服务成果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至少申请汽车类实用新型专利1份（有效期5年）。</w:t>
            </w:r>
          </w:p>
          <w:p w14:paraId="5B42086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七、建设材料汇总，并提炼工作经验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（1）构建完善的高技能人才培训体系总目录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1.1创新高技能人才培训模式</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一、新能源汽车维修专业创新高技能人才培训模式工作方案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三、新能源汽车维修专业高技能人才培训方案（试行版）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四、新能源汽车维修专业高技能人才培训方案（修订版）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五、新能源汽车维修专业高技能人才培训方案修订情况说明</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六、新能源汽车维修专业高技能人才培训模式论证材料汇总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（一）专业调研过程材料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 企业共建专业人才培养模式建设团队的名单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企业调研活动记录表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企业调研教师签到表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企业调研专家签到表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调研照片</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（二）人才培养方案编制过程材料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 “典型工作任务提取”访谈会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（1）会议请示报告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（2）企业实践专家访谈会方案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（4）职业能力分析表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（5）实践专家访谈会签到表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（6）“典型工作任务提取”实践专家访谈会总结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 “一体化课程框架”审定会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（1）会议请示报告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（2）会议签到表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（4）新能源汽车维修专业《一体化课程框架》审核意见表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（5）审定会总结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 “人才培养方案编制”专题座谈会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（1）“人才培养方案编制”专题座谈会申请报告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（2）“人才培养方案编制”专题座谈会工作安排</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（3）“人才培养方案编制”专题座谈会会议纪要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（4）“人才培养方案编制”专题座谈会会议签到表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（5）“人才培养方案编制”专题座谈会总结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 人才培养方案专家审定会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（1）“人才培养方案”专家审定会申请报告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（3）“人才培养方案”专家审定会会议签到表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（4）“人才培养方案”专家审定会总结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 人才培养模式改革专家座谈会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（1）人才培养模式改革专家座谈会请示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（2）人才培养模式改革专家座谈会方案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（3）会议内容及活动进程及安排表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（4）与会人员名单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（5）与会人员签到表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（6）人才培养模式改革专家座谈会会议纪要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（7）教学效果专家评价问卷</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八、新能源汽车维修专业创新高技能人才培训模式实施情况总结报告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1.2课程改革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一、新能源汽车维修专业高技能人才培训课程设置改革工作方案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二、新能源汽车维修岗位技能（能力）调研分析报告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三、新能源汽车维修专业高技能人才培训课程模块开发论证报告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四、新能源汽车维修专业培训课程建设研讨材料汇总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“典型工作任务提取”访谈会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（1）会议请示报告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（2）企业实践专家访谈会方案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（4）职业能力分析表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（5）实践专家访谈会签到表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（6）企业实践专家指导（劳务费）签领表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（7）“典型工作任务提取”实践专家访谈会总结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 “一体化课程框架”审定会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（1）会议请示报告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（2）会议签到表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（5）新能源汽车维修专业《一体化课程框架》审核意见表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（6）审定会总结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“一体化课程标准”审定会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（1）会议请示报告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（2）会议签到表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（5）新能源汽车维修专业《一体化课程标准》审核意见表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（6）审定会总结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五、新能源汽车维修专业高技能人才培训课程体系及核心专业课程建设方案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六、新能源汽车维修专业高技能人才培训课程体系（高级工）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七、新能源汽车维修专业高技能人才培训核心专业课程标准（含考核标准）（高级工）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八、新能源汽车维修专业高技能人才培训核心专业课实施方案（高级工）</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九、新能源汽车维修专业高技能人才培训课程设置改革实施情况总结报告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1.3一体化教材开发</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一、新能源汽车维修专业高技能人才培训教材开发工作方案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二、新能源汽车维修专业高技能人才培训课程模块开发论证报告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三、新能源汽车维修专业高技能人才培训课程体系及核心专业课程建设方案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四、新能源汽车维修专业培训课程建设研讨材料汇总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1.合作开发新能源汽车维修专业高技能人才培训系列丛书建设方案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2.项目建设申请报告审查会议纪要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3.《合作开发新能源汽车维修专业高技能人才培训系列丛书项目》课题任务书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4.合作开发新能源汽车维修专业高技能人才培训系列丛书项目总结报告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5.项目绩效评价报告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五、校企合作完成的高技能人才培训教材</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《电控发动机检测与维修》、《汽车空调检测与维修》、《电控车身检测与维修》高级工层次</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六、新能源汽车维修专业高技能人才培训教材开发实训情况总结报告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1.4师资队伍建设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一、新能源汽车维修专业高技能人才培训师资队伍建设工作方案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二、新能源汽车维修专业高技能人才培训骨干教师培养方案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三、新能源汽车维修专业高技能人才培训骨干教师建设材料汇总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1.骨干教师培养对象情况及各类证书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（1）骨干教师培养对象信息表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（2）骨干教师培养对象申报表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（3）骨干教师培养对象个人职业生涯发展规划</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（4）骨干教师培养对象学历证明</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（5）骨干教师培养对象职业资格证明</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（6）骨干教师培养对象教师资格证</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2.学习、培训、企业实践材料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（1）骨干教师培养对象培训请示报告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（2）骨干教师培养对象培训过程材料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（3）骨干教师培养对象培训总结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（4）骨干教师培养对象企业实践材料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3.参与专业建设活动记录及教学改革、教研活动记录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（1）专业建设活动记录及教学改革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（2）骨干教师培养对象指导青年教师活动（传帮带）证明材料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4.撰写教学、教改论文，参与校本讲义或教材编写工作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（1）骨干教师培养对象撰写发表教学、教改论文证明材料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（2）骨干教师培养对象主编（或参编）教材证明材料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5.校级示范课或专业教育教学讲座资料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6.骨干教师培养对象年度考核表及总结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（1）2年度骨干教师培养对象年度考核表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（2）2年度骨干教师培养对象年度总结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（3）2年度的专业带头人培养对象年度培养总结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7.骨干教师培养对象绩效证明</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四、新能源汽车维修专业高技能人才培训骨干教师建设工作总结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五、新能源汽车维修专业高技能人才培训“双高型”教师培养方案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六、新能源汽车维修专业高技能人才培训“双高型”教师建设材料汇总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“双高型”教师情况及各类证书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  学习培训、下厂锻炼证明材料及相关总结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“双高型”教师承担教学、教研任务证明材料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 “双高型”教师承担课程建设任务、完成的校内特色教材或讲议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5.教科研成果项目、发表论文的证明材料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6.培训后效果证明材料(学历、职称证明、技能等级等)</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7.培养青年教师活动记录及相关成效证明材料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8. “双高型”教师年度考核表及年度总结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七、新能源汽车维修专业高技能人才培训“双高型”教师建设工作总结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八、新能源汽车维修专业高技能人才培训企业兼职教师培养方案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九、新能源汽车维修专业高技能人才培训企业兼职教师建设材料汇总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1.桂林市第二技工学校校外兼职教师管理暂行办法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2.聘用的企业专家聘书、学历证明、职称证明等材料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3.聘用的兼职教师聘书、学历证明、职称证明等材料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4.企业专家指导专业建设材料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5.对兼职教师教学能力进行培训的材料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6.兼职教师开展教学材料（样件）</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十、新能源汽车维修专业高技能人才培训企业兼职教师建设工作总结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十一、新能源汽车维修专业实训教师汇总表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十二、新能源汽车维修专业高级职称教师、高级技师汇总表及相应证书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十三、新能源汽车维修专业高技能人才培训师资队伍建设实施情况总结报告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1.5培训装备提升</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一、新能源汽车维修专业培训装备提升工作方案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二、实训室建设材料及使用情况汇总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三、总体建设：新能源汽车维修实训中心1间。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（一）新能源汽车维修实训中心</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1.新能源汽车维修实训中心建设方案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2.新能源汽车维修实训中心建设审批报告、专项经费审批表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3.新能源汽车维修实训中心公开招标合同、设备采购合同及采购清单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4.新能源汽车维修实训中心场景图集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5.新能源汽车维修实训中心制度汇编</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6.新能源汽车维修实训中心运行材料</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（1）新能源汽车维修实训中心教学安排表及教学日志</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（2）新能源汽车维修实训中心开展教学检查记录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（3）新能源汽车维修实训中心使用情况登记表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（4）新能源汽车维修实训中心开展教学工作图集</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7. 新能源汽车维修实训中心设备一览表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8.新能源汽车维修实训中心绩效分析报告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四、实训室建设绩效分析</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 新能源汽车维修实训中心绩效分析报告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五、设备购置合同</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六、主要培训设备一览表及培训设备台帐</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七、新能源汽车维修专业培训装备提升实施情况总结报告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1.6能力评价建设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一、新能源汽车维修专业高技能人才培训能力评价建设工作方案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二、行业企业专家参与能力评价建设材料汇总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三、培训考核评价体系方案（试行稿）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四、培训考核评价体系方案（修订稿）</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五、培训课程教学评价方案实施过程材料汇总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六、（培训）学员参加技能培训鉴定考核材料汇总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七、新能源汽车维修专业高技能人才培训能力评价建设实施情况总结报告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（2）校企合作提升培训能力总目录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2.1校企合作机制创新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一、新能源汽车维修专业高技能人才培训校企合作机制创新工作方案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二、新能源汽车维修专业高技能人才培训校企合作专家指导分会名册与证书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三、新能源汽车维修专业高技能人才培训校企合作专家指导分会会议记录汇编</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四、新能源汽车维修专业高技能人才培训校企合作专家指导分会活动材料汇总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五、新增1家企业的（培训）合作协议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六、新能源汽车维修专业高技能人才培训校企合作机制创新实施情况总结报告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2.2校企共建师资提升平台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一、新能源汽车维修专业校企共建师资提升平台工作方案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二、新能源汽车维修专业教师到企业参加生产实践材料汇总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三、新能源汽车维修专业教师参与企业技术攻关或设备改造材料汇总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四、企业专家培训专业教师材料汇总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五、新能源汽车维修专业教师实践技能素质提升总结</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六、新能源汽车维修专业校企共建师资提升平台实施情况总结报告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2.3校企共建实习实训基地</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一、新能源汽车维修专业校企共建实习实训基地工作方案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二、新能源汽车维修专业校外实习基地建设合作（含合作项目）协议书汇总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三、新能源汽车维修专业校外实习基地管理制度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四、新能源汽车维修专业学生（培训学员）校外实训基地材料汇总（含成绩和实习报告）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五、新能源汽车维修专业校外实习（企业）指导教师材料汇总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六、新能源汽车维修专业校企共建实习实训基地实施情况总结报告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2.4校企共育技师队伍</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一、新能源汽车维修专业校企共育技师队伍工作方案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二、新能源汽车维修专业学生（培训学员）职业素养和职业能力培养培训平台建设方案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三、新能源汽车维修专业校企共育技师队伍的3层管理组织架构</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四、新能源汽车维修专业校企共育技师队伍“双主体”育人方案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五、新能源汽车维修专业校企共育技师队伍材料汇总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2025年——2027年桂林市社会化技师高级工培训鉴定材料汇总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六、新能源汽车维修专业校企共育技师队伍实施情况总结报告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2.5提升社会服务能力</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一、新能源汽车维修专业提升社会服务能力工作方案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二、新能源汽车维修专业对外开展技术服务材料汇总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三、新能源汽车维修专业面向企业开展培训鉴定材料汇总</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六、新能源汽车维修专业提升社会服务能力实施情况总结报告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（3）提炼培训基地建设工作经验总目录</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3.1高技能人才培训体系建设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一、新能源汽车维修专业高技能人才培训体系建设工作方案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二、新能源汽车维修专业高技能人才培训体系建设研究成果汇编</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三、《汽车检测与维修专业高技能人才培训模式改革与实践研究》论文1篇并公开发表</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四、新能源汽车维修专业高技能人才培训体系建设实施情况总结报告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3.2校企合作高技能人才培训机制建设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一、新能源汽车维修专业校企合作高技能人才培训机制建设工作方案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二、新能源汽车维修专业校企合作提升高技能人才培训质量研究成果汇编</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三、《校企合作共育高技能人才》论文1篇并公开发</w:t>
            </w:r>
          </w:p>
          <w:p w14:paraId="0F49AF3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四、新能源汽车维修专业校企合作高技能人才培训机制建设实施情况总结报告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3.3高技能人才能力评价模式建设</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一、新能源汽车维修专业高技能人才能力评价模式建设工作方案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二、新能源汽车维修专业高技能人才能力评价模式课题研究成果汇编</w:t>
            </w:r>
          </w:p>
        </w:tc>
        <w:tc>
          <w:tcPr>
            <w:tcW w:w="560" w:type="dxa"/>
            <w:tcBorders>
              <w:top w:val="single" w:color="auto" w:sz="4" w:space="0"/>
              <w:left w:val="single" w:color="auto" w:sz="4" w:space="0"/>
              <w:bottom w:val="single" w:color="auto" w:sz="4" w:space="0"/>
              <w:right w:val="single" w:color="auto" w:sz="4" w:space="0"/>
            </w:tcBorders>
            <w:vAlign w:val="center"/>
          </w:tcPr>
          <w:p w14:paraId="18D38941">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43" w:type="dxa"/>
            <w:tcBorders>
              <w:top w:val="single" w:color="auto" w:sz="4" w:space="0"/>
              <w:left w:val="single" w:color="auto" w:sz="4" w:space="0"/>
              <w:bottom w:val="single" w:color="auto" w:sz="4" w:space="0"/>
              <w:right w:val="single" w:color="auto" w:sz="4" w:space="0"/>
            </w:tcBorders>
            <w:vAlign w:val="center"/>
          </w:tcPr>
          <w:p w14:paraId="064545E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套</w:t>
            </w:r>
          </w:p>
        </w:tc>
        <w:tc>
          <w:tcPr>
            <w:tcW w:w="1300" w:type="dxa"/>
            <w:tcBorders>
              <w:top w:val="single" w:color="auto" w:sz="4" w:space="0"/>
              <w:left w:val="single" w:color="auto" w:sz="4" w:space="0"/>
              <w:bottom w:val="single" w:color="auto" w:sz="4" w:space="0"/>
              <w:right w:val="single" w:color="auto" w:sz="4" w:space="0"/>
            </w:tcBorders>
            <w:vAlign w:val="center"/>
          </w:tcPr>
          <w:p w14:paraId="2A9766BE">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200000.00</w:t>
            </w:r>
          </w:p>
        </w:tc>
      </w:tr>
      <w:tr w14:paraId="048A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14:paraId="68A45CD5">
            <w:pPr>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核心产品：本项目核心产品为</w:t>
            </w:r>
            <w:bookmarkStart w:id="17" w:name="OLE_LINK21"/>
            <w:r>
              <w:rPr>
                <w:rFonts w:hint="eastAsia" w:ascii="仿宋" w:hAnsi="仿宋" w:eastAsia="仿宋" w:cs="仿宋"/>
                <w:b/>
                <w:color w:val="auto"/>
                <w:szCs w:val="21"/>
                <w:highlight w:val="none"/>
              </w:rPr>
              <w:t>第</w:t>
            </w:r>
            <w:r>
              <w:rPr>
                <w:rFonts w:hint="eastAsia" w:ascii="仿宋" w:hAnsi="仿宋" w:eastAsia="仿宋" w:cs="仿宋"/>
                <w:b/>
                <w:color w:val="auto"/>
                <w:szCs w:val="21"/>
                <w:highlight w:val="none"/>
                <w:u w:val="single"/>
              </w:rPr>
              <w:t xml:space="preserve">  2 </w:t>
            </w:r>
            <w:r>
              <w:rPr>
                <w:rFonts w:hint="eastAsia" w:ascii="仿宋" w:hAnsi="仿宋" w:eastAsia="仿宋" w:cs="仿宋"/>
                <w:b/>
                <w:color w:val="auto"/>
                <w:szCs w:val="21"/>
                <w:highlight w:val="none"/>
              </w:rPr>
              <w:t>项标的</w:t>
            </w:r>
            <w:bookmarkEnd w:id="17"/>
            <w:r>
              <w:rPr>
                <w:rFonts w:hint="eastAsia" w:ascii="仿宋" w:hAnsi="仿宋" w:eastAsia="仿宋" w:cs="仿宋"/>
                <w:b/>
                <w:color w:val="auto"/>
                <w:szCs w:val="21"/>
                <w:highlight w:val="none"/>
                <w:u w:val="single"/>
              </w:rPr>
              <w:t xml:space="preserve"> 故障设置与检测连接平台</w:t>
            </w:r>
            <w:r>
              <w:rPr>
                <w:rFonts w:hint="eastAsia" w:ascii="仿宋" w:hAnsi="仿宋" w:eastAsia="仿宋" w:cs="仿宋"/>
                <w:b/>
                <w:color w:val="auto"/>
                <w:szCs w:val="21"/>
                <w:highlight w:val="none"/>
              </w:rPr>
              <w:t>。</w:t>
            </w:r>
          </w:p>
        </w:tc>
      </w:tr>
      <w:tr w14:paraId="6495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14:paraId="4613118E">
            <w:pPr>
              <w:adjustRightInd w:val="0"/>
              <w:snapToGrid w:val="0"/>
              <w:spacing w:line="460" w:lineRule="exact"/>
              <w:jc w:val="left"/>
              <w:textAlignment w:val="center"/>
              <w:rPr>
                <w:rFonts w:hint="eastAsia" w:ascii="仿宋" w:hAnsi="仿宋" w:eastAsia="仿宋" w:cs="仿宋"/>
                <w:b/>
                <w:color w:val="auto"/>
                <w:szCs w:val="21"/>
                <w:highlight w:val="none"/>
              </w:rPr>
            </w:pPr>
            <w:r>
              <w:rPr>
                <w:rFonts w:hint="eastAsia" w:ascii="仿宋" w:hAnsi="仿宋" w:eastAsia="仿宋" w:cs="仿宋"/>
                <w:color w:val="auto"/>
                <w:highlight w:val="none"/>
              </w:rPr>
              <w:t>★</w:t>
            </w:r>
            <w:r>
              <w:rPr>
                <w:rFonts w:hint="eastAsia" w:ascii="仿宋" w:hAnsi="仿宋" w:eastAsia="仿宋" w:cs="仿宋"/>
                <w:b/>
                <w:color w:val="auto"/>
                <w:szCs w:val="21"/>
                <w:highlight w:val="none"/>
              </w:rPr>
              <w:t>二、商务要求</w:t>
            </w:r>
          </w:p>
        </w:tc>
      </w:tr>
      <w:tr w14:paraId="0E36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51BA3D11">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（一）售后服务</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70C5983A">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质保期：系指中标供应商提供的产品在非使用者人为破坏情况下，出现任何质量问题造成产品不能使用时，由中标供应商免费维修、更换以确保产品正常使用的时间期限。此时间期限从合同验收合格之日起计算。具体是指合同验收合格后365日内。</w:t>
            </w:r>
          </w:p>
          <w:p w14:paraId="676DEE37">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免费保修期内，一旦发生产品质量及安装问题，供应商保证在接到通知24小时内赶到现场，进行免费维修或更换有缺陷的设备或部件；响应时间：6小时响应；修复时间：48小时内；冗余服务：在24小时内或紧急情况下，未能修复，提供具有同样功能的设备供使用单位使用。</w:t>
            </w:r>
          </w:p>
          <w:p w14:paraId="7F58ABA3">
            <w:pPr>
              <w:wordWrap w:val="0"/>
              <w:spacing w:line="400" w:lineRule="exac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3、在质保期内，供应商应无偿并迅速更换由于元件缺陷及制造工艺等问题而发生故障的产品。质保期满以后，供应商应按其在桂林地区同类产品的优惠价格提供保修服务。</w:t>
            </w:r>
          </w:p>
          <w:p w14:paraId="07BD8F7E">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4、保修期：系指中标供应商提供的产品不能正常使用时，中标供应商可收取费用，同时提供维修、更换以确保产品正常使用的时间期限。此时间期限从质保期期满之日起计算。具体是指质保期满后365日内。</w:t>
            </w:r>
          </w:p>
        </w:tc>
      </w:tr>
      <w:tr w14:paraId="6F10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5E6EC167">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（二）交付时间和地点</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59FE6A01">
            <w:pPr>
              <w:adjustRightInd w:val="0"/>
              <w:snapToGrid w:val="0"/>
              <w:spacing w:line="460" w:lineRule="exact"/>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1.交付时间：</w:t>
            </w:r>
            <w:r>
              <w:rPr>
                <w:rFonts w:hint="eastAsia" w:ascii="仿宋" w:hAnsi="仿宋" w:eastAsia="仿宋" w:cs="仿宋"/>
                <w:b/>
                <w:color w:val="auto"/>
                <w:szCs w:val="21"/>
                <w:highlight w:val="none"/>
                <w:lang w:eastAsia="zh-CN"/>
              </w:rPr>
              <w:t>自签订合同之日起60个日历天，完成交付实训设备。</w:t>
            </w:r>
          </w:p>
          <w:p w14:paraId="10357D2F">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2.交付地点：广西桂林市内采购人指定地点。</w:t>
            </w:r>
          </w:p>
        </w:tc>
      </w:tr>
      <w:tr w14:paraId="67D3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5D567507">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（三）付款条件（进度和方式）</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58D4692E">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签订合同后7个工作日内付40%预付款，项目验收合格后付剩下的60%，成交供应商应开具足额发票给采购人，采购人收到发票后，按要求拨付相关款项(无息)。</w:t>
            </w:r>
          </w:p>
        </w:tc>
      </w:tr>
      <w:tr w14:paraId="1BB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47A50032">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（四）包装和运输</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20055562">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1.原厂原包装，包装完好完整、无破损、未开封。</w:t>
            </w:r>
          </w:p>
          <w:p w14:paraId="07A95491">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2.包装及运输方式应综合考虑运输距离、防潮、防震、防锈和防破损装卸等要求。</w:t>
            </w:r>
          </w:p>
          <w:p w14:paraId="061DE87D">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3.国家对包装及运输有相关强制性标准或要求的，中标人应当执行。</w:t>
            </w:r>
          </w:p>
          <w:p w14:paraId="446CC486">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4.产品（含包装）运抵采购人指定交付地点前发生损坏、丢失等全部风险和责任均由中标人自行承担。</w:t>
            </w:r>
          </w:p>
        </w:tc>
      </w:tr>
      <w:tr w14:paraId="06E4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1AA20435">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（五）保险</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54882AF0">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本项目执行中相关的一切税费、保险均由投标人全部自行负担。</w:t>
            </w:r>
          </w:p>
        </w:tc>
      </w:tr>
      <w:tr w14:paraId="2155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764D8A20">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（六）验收标准</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17B8F087">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1.投标人提供的产品必须符合国家强制执行的相关质量标准要求以及产品制造厂家合格产品的出厂质量标准。</w:t>
            </w:r>
          </w:p>
          <w:p w14:paraId="2CF02B1C">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设备需全新、完好、无破损，产品到货后，采购人现场根据招标文件要求及投标文件承诺逐条对应进行核验，如产品不满足招标文件要求、投标文件承诺或国家强制执行的相关质量标准要求以及产品制造厂家合格产品的出厂质量标准，采购人有权不予验收，由此造成采购人的经济损失由中标人承担全部赔偿责任。</w:t>
            </w:r>
          </w:p>
          <w:p w14:paraId="14B29044">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3.验收其他要求按合同条款以及政府采购相关法律法规规定执行。</w:t>
            </w:r>
          </w:p>
        </w:tc>
      </w:tr>
      <w:tr w14:paraId="5493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5C695E43">
            <w:pPr>
              <w:adjustRightInd w:val="0"/>
              <w:snapToGrid w:val="0"/>
              <w:spacing w:line="460" w:lineRule="exact"/>
              <w:jc w:val="center"/>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（七）进口产品说明</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51521245">
            <w:pPr>
              <w:adjustRightInd w:val="0"/>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本项目不接受进口产品（即通过中国海关报关验放进入中国境内且产自关境外的产品）参与投标，如有此类产品参与投标的，投标文件按无效处理。</w:t>
            </w:r>
          </w:p>
        </w:tc>
      </w:tr>
      <w:tr w14:paraId="7F01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14:paraId="44C92D2F">
            <w:pPr>
              <w:adjustRightInd w:val="0"/>
              <w:snapToGrid w:val="0"/>
              <w:spacing w:line="4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（八）采购预算</w:t>
            </w:r>
          </w:p>
        </w:tc>
        <w:tc>
          <w:tcPr>
            <w:tcW w:w="8332" w:type="dxa"/>
            <w:gridSpan w:val="5"/>
            <w:tcBorders>
              <w:top w:val="single" w:color="auto" w:sz="4" w:space="0"/>
              <w:left w:val="single" w:color="auto" w:sz="4" w:space="0"/>
              <w:bottom w:val="single" w:color="auto" w:sz="4" w:space="0"/>
              <w:right w:val="single" w:color="auto" w:sz="4" w:space="0"/>
            </w:tcBorders>
            <w:vAlign w:val="center"/>
          </w:tcPr>
          <w:p w14:paraId="74D73465">
            <w:pPr>
              <w:adjustRightInd w:val="0"/>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本项目政府采购预算金额为人民币</w:t>
            </w:r>
            <w:r>
              <w:rPr>
                <w:rFonts w:hint="eastAsia" w:ascii="仿宋" w:hAnsi="仿宋" w:eastAsia="仿宋" w:cs="仿宋"/>
                <w:b/>
                <w:color w:val="auto"/>
                <w:szCs w:val="21"/>
                <w:highlight w:val="none"/>
                <w:u w:val="single"/>
              </w:rPr>
              <w:t>壹佰万元整（¥1000000.00）</w:t>
            </w:r>
            <w:r>
              <w:rPr>
                <w:rFonts w:hint="eastAsia" w:ascii="仿宋" w:hAnsi="仿宋" w:eastAsia="仿宋" w:cs="仿宋"/>
                <w:b/>
                <w:color w:val="auto"/>
                <w:szCs w:val="21"/>
                <w:highlight w:val="none"/>
              </w:rPr>
              <w:t>，投标报价超出采购预算金额的，投标文件按无效处理。</w:t>
            </w:r>
          </w:p>
        </w:tc>
      </w:tr>
      <w:tr w14:paraId="64B5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14:paraId="0A316391">
            <w:pPr>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注：1、本“采购需求”中标注</w:t>
            </w:r>
            <w:r>
              <w:rPr>
                <w:rFonts w:hint="eastAsia" w:ascii="仿宋" w:hAnsi="仿宋" w:eastAsia="仿宋" w:cs="仿宋"/>
                <w:b/>
                <w:color w:val="auto"/>
                <w:highlight w:val="none"/>
              </w:rPr>
              <w:t>★</w:t>
            </w:r>
            <w:r>
              <w:rPr>
                <w:rFonts w:hint="eastAsia" w:ascii="仿宋" w:hAnsi="仿宋" w:eastAsia="仿宋" w:cs="仿宋"/>
                <w:b/>
                <w:color w:val="auto"/>
                <w:szCs w:val="21"/>
                <w:highlight w:val="none"/>
              </w:rPr>
              <w:t>号项的条款以及招标文件中要求“必须提供”的条款均为实质性要求，投标人对实质性要求若有任意一项不满足，投标文件按无效处理。</w:t>
            </w:r>
          </w:p>
          <w:p w14:paraId="23C5575E">
            <w:pPr>
              <w:pStyle w:val="5"/>
              <w:ind w:firstLine="0" w:firstLineChars="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2、本项目采购需求中标注▲号项为重要技术要求，</w:t>
            </w:r>
            <w:r>
              <w:rPr>
                <w:rFonts w:hint="eastAsia"/>
                <w:b/>
                <w:color w:val="auto"/>
                <w:highlight w:val="none"/>
              </w:rPr>
              <w:t>负偏离将导致严重扣分，但不导致投标无效。</w:t>
            </w:r>
          </w:p>
        </w:tc>
      </w:tr>
      <w:bookmarkEnd w:id="15"/>
    </w:tbl>
    <w:p w14:paraId="1FFBA79D">
      <w:pPr>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br w:type="page"/>
      </w:r>
    </w:p>
    <w:p w14:paraId="145A080E">
      <w:pPr>
        <w:spacing w:line="32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附件1：</w:t>
      </w:r>
    </w:p>
    <w:p w14:paraId="5CF3C8A4">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中小微企业划型标准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14:paraId="3AFC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blHeader/>
          <w:jc w:val="center"/>
        </w:trPr>
        <w:tc>
          <w:tcPr>
            <w:tcW w:w="2317" w:type="dxa"/>
            <w:shd w:val="clear" w:color="auto" w:fill="FFFFFF"/>
            <w:vAlign w:val="center"/>
          </w:tcPr>
          <w:p w14:paraId="0F652754">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行业名称</w:t>
            </w:r>
          </w:p>
        </w:tc>
        <w:tc>
          <w:tcPr>
            <w:tcW w:w="1500" w:type="dxa"/>
            <w:shd w:val="clear" w:color="auto" w:fill="FFFFFF"/>
            <w:vAlign w:val="center"/>
          </w:tcPr>
          <w:p w14:paraId="36A27CA3">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指标名称</w:t>
            </w:r>
          </w:p>
        </w:tc>
        <w:tc>
          <w:tcPr>
            <w:tcW w:w="777" w:type="dxa"/>
            <w:shd w:val="clear" w:color="auto" w:fill="FFFFFF"/>
            <w:vAlign w:val="center"/>
          </w:tcPr>
          <w:p w14:paraId="129438C2">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计量</w:t>
            </w:r>
            <w:r>
              <w:rPr>
                <w:rFonts w:hint="eastAsia" w:ascii="仿宋" w:hAnsi="仿宋" w:eastAsia="仿宋" w:cs="仿宋"/>
                <w:b/>
                <w:bCs/>
                <w:color w:val="auto"/>
                <w:kern w:val="0"/>
                <w:szCs w:val="21"/>
                <w:highlight w:val="none"/>
              </w:rPr>
              <w:br w:type="textWrapping"/>
            </w:r>
            <w:r>
              <w:rPr>
                <w:rFonts w:hint="eastAsia" w:ascii="仿宋" w:hAnsi="仿宋" w:eastAsia="仿宋" w:cs="仿宋"/>
                <w:b/>
                <w:bCs/>
                <w:color w:val="auto"/>
                <w:kern w:val="0"/>
                <w:szCs w:val="21"/>
                <w:highlight w:val="none"/>
              </w:rPr>
              <w:t>单位</w:t>
            </w:r>
          </w:p>
        </w:tc>
        <w:tc>
          <w:tcPr>
            <w:tcW w:w="1233" w:type="dxa"/>
            <w:shd w:val="clear" w:color="auto" w:fill="FFFFFF"/>
            <w:vAlign w:val="center"/>
          </w:tcPr>
          <w:p w14:paraId="5B521F26">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大型</w:t>
            </w:r>
          </w:p>
        </w:tc>
        <w:tc>
          <w:tcPr>
            <w:tcW w:w="1864" w:type="dxa"/>
            <w:shd w:val="clear" w:color="auto" w:fill="FFFFFF"/>
            <w:vAlign w:val="center"/>
          </w:tcPr>
          <w:p w14:paraId="7881E93D">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中型</w:t>
            </w:r>
          </w:p>
        </w:tc>
        <w:tc>
          <w:tcPr>
            <w:tcW w:w="1684" w:type="dxa"/>
            <w:shd w:val="clear" w:color="auto" w:fill="FFFFFF"/>
            <w:vAlign w:val="center"/>
          </w:tcPr>
          <w:p w14:paraId="2ADDD3B4">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小型</w:t>
            </w:r>
          </w:p>
        </w:tc>
        <w:tc>
          <w:tcPr>
            <w:tcW w:w="965" w:type="dxa"/>
            <w:shd w:val="clear" w:color="auto" w:fill="FFFFFF"/>
            <w:vAlign w:val="center"/>
          </w:tcPr>
          <w:p w14:paraId="1B0F74B0">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微型</w:t>
            </w:r>
          </w:p>
        </w:tc>
      </w:tr>
      <w:tr w14:paraId="5EE5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Align w:val="center"/>
          </w:tcPr>
          <w:p w14:paraId="7AE37849">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农、林、牧、渔业</w:t>
            </w:r>
          </w:p>
        </w:tc>
        <w:tc>
          <w:tcPr>
            <w:tcW w:w="1500" w:type="dxa"/>
            <w:vAlign w:val="center"/>
          </w:tcPr>
          <w:p w14:paraId="038A87C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748694B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6A03DA4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864" w:type="dxa"/>
            <w:vAlign w:val="center"/>
          </w:tcPr>
          <w:p w14:paraId="30DA308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500≤Y＜20000</w:t>
            </w:r>
          </w:p>
        </w:tc>
        <w:tc>
          <w:tcPr>
            <w:tcW w:w="1684" w:type="dxa"/>
            <w:vAlign w:val="center"/>
          </w:tcPr>
          <w:p w14:paraId="3D83CD1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50≤Y＜500</w:t>
            </w:r>
          </w:p>
        </w:tc>
        <w:tc>
          <w:tcPr>
            <w:tcW w:w="965" w:type="dxa"/>
            <w:vAlign w:val="center"/>
          </w:tcPr>
          <w:p w14:paraId="045F810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14:paraId="374C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159DE2A2">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 *</w:t>
            </w:r>
          </w:p>
        </w:tc>
        <w:tc>
          <w:tcPr>
            <w:tcW w:w="1500" w:type="dxa"/>
            <w:vAlign w:val="center"/>
          </w:tcPr>
          <w:p w14:paraId="650C0D0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1A5DD8B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1D50676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14:paraId="309CDD9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14:paraId="0CED187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14:paraId="7ED11CD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6549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0B433EC2">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2DCB5AD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6D69A79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094EA3B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864" w:type="dxa"/>
            <w:vAlign w:val="center"/>
          </w:tcPr>
          <w:p w14:paraId="28EAAFB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2000≤Y＜40000</w:t>
            </w:r>
          </w:p>
        </w:tc>
        <w:tc>
          <w:tcPr>
            <w:tcW w:w="1684" w:type="dxa"/>
            <w:vAlign w:val="center"/>
          </w:tcPr>
          <w:p w14:paraId="4E63E75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300≤Y＜2000</w:t>
            </w:r>
          </w:p>
        </w:tc>
        <w:tc>
          <w:tcPr>
            <w:tcW w:w="965" w:type="dxa"/>
            <w:vAlign w:val="center"/>
          </w:tcPr>
          <w:p w14:paraId="69AE784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14:paraId="1412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3F3D201F">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建筑业</w:t>
            </w:r>
          </w:p>
        </w:tc>
        <w:tc>
          <w:tcPr>
            <w:tcW w:w="1500" w:type="dxa"/>
            <w:vAlign w:val="center"/>
          </w:tcPr>
          <w:p w14:paraId="27060AA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2DD33D6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1BE83E2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Y≥80000</w:t>
            </w:r>
          </w:p>
        </w:tc>
        <w:tc>
          <w:tcPr>
            <w:tcW w:w="1864" w:type="dxa"/>
            <w:vAlign w:val="center"/>
          </w:tcPr>
          <w:p w14:paraId="37A49FC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6000≤Y＜80000</w:t>
            </w:r>
          </w:p>
        </w:tc>
        <w:tc>
          <w:tcPr>
            <w:tcW w:w="1684" w:type="dxa"/>
            <w:vAlign w:val="center"/>
          </w:tcPr>
          <w:p w14:paraId="41917D3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300≤Y＜6000</w:t>
            </w:r>
          </w:p>
        </w:tc>
        <w:tc>
          <w:tcPr>
            <w:tcW w:w="965" w:type="dxa"/>
            <w:vAlign w:val="center"/>
          </w:tcPr>
          <w:p w14:paraId="057C7E9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14:paraId="06FC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1C525889">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1E1B34F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14:paraId="14CBE69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6D59CFD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Z≥80000</w:t>
            </w:r>
          </w:p>
        </w:tc>
        <w:tc>
          <w:tcPr>
            <w:tcW w:w="1864" w:type="dxa"/>
            <w:vAlign w:val="center"/>
          </w:tcPr>
          <w:p w14:paraId="2986A87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5000≤Z＜80000</w:t>
            </w:r>
          </w:p>
        </w:tc>
        <w:tc>
          <w:tcPr>
            <w:tcW w:w="1684" w:type="dxa"/>
            <w:vAlign w:val="center"/>
          </w:tcPr>
          <w:p w14:paraId="2DFAD7B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300≤Z＜5000</w:t>
            </w:r>
          </w:p>
        </w:tc>
        <w:tc>
          <w:tcPr>
            <w:tcW w:w="965" w:type="dxa"/>
            <w:vAlign w:val="center"/>
          </w:tcPr>
          <w:p w14:paraId="0B318D0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Z＜300</w:t>
            </w:r>
          </w:p>
        </w:tc>
      </w:tr>
      <w:tr w14:paraId="13F3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2F30AC02">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批发业</w:t>
            </w:r>
          </w:p>
        </w:tc>
        <w:tc>
          <w:tcPr>
            <w:tcW w:w="1500" w:type="dxa"/>
            <w:vAlign w:val="center"/>
          </w:tcPr>
          <w:p w14:paraId="7943A3C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32EE644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7E89DC1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864" w:type="dxa"/>
            <w:vAlign w:val="center"/>
          </w:tcPr>
          <w:p w14:paraId="09CE736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20≤X＜200</w:t>
            </w:r>
          </w:p>
        </w:tc>
        <w:tc>
          <w:tcPr>
            <w:tcW w:w="1684" w:type="dxa"/>
            <w:vAlign w:val="center"/>
          </w:tcPr>
          <w:p w14:paraId="502EA7E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5≤X＜20</w:t>
            </w:r>
          </w:p>
        </w:tc>
        <w:tc>
          <w:tcPr>
            <w:tcW w:w="965" w:type="dxa"/>
            <w:vAlign w:val="center"/>
          </w:tcPr>
          <w:p w14:paraId="28EC7FE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X＜5</w:t>
            </w:r>
          </w:p>
        </w:tc>
      </w:tr>
      <w:tr w14:paraId="0484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75873749">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5F60E56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234E74D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13E4573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864" w:type="dxa"/>
            <w:vAlign w:val="center"/>
          </w:tcPr>
          <w:p w14:paraId="39F1771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5000≤Y＜40000</w:t>
            </w:r>
          </w:p>
        </w:tc>
        <w:tc>
          <w:tcPr>
            <w:tcW w:w="1684" w:type="dxa"/>
            <w:vAlign w:val="center"/>
          </w:tcPr>
          <w:p w14:paraId="7F71D4F0">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1000≤Y＜5000</w:t>
            </w:r>
          </w:p>
        </w:tc>
        <w:tc>
          <w:tcPr>
            <w:tcW w:w="965" w:type="dxa"/>
            <w:vAlign w:val="center"/>
          </w:tcPr>
          <w:p w14:paraId="4D02EE8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w:t>
            </w:r>
          </w:p>
        </w:tc>
      </w:tr>
      <w:tr w14:paraId="6181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6D147D10">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零售业</w:t>
            </w:r>
          </w:p>
        </w:tc>
        <w:tc>
          <w:tcPr>
            <w:tcW w:w="1500" w:type="dxa"/>
            <w:vAlign w:val="center"/>
          </w:tcPr>
          <w:p w14:paraId="460ECB9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40A4642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7DA2E3E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6D0E673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50≤X＜300</w:t>
            </w:r>
          </w:p>
        </w:tc>
        <w:tc>
          <w:tcPr>
            <w:tcW w:w="1684" w:type="dxa"/>
            <w:vAlign w:val="center"/>
          </w:tcPr>
          <w:p w14:paraId="5C9B8A44">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10≤X＜50 </w:t>
            </w:r>
          </w:p>
        </w:tc>
        <w:tc>
          <w:tcPr>
            <w:tcW w:w="965" w:type="dxa"/>
            <w:vAlign w:val="center"/>
          </w:tcPr>
          <w:p w14:paraId="56143D5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55F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40DFCC85">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64B5DFB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30550BD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49B3D0BB">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864" w:type="dxa"/>
            <w:vAlign w:val="center"/>
          </w:tcPr>
          <w:p w14:paraId="125B746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500≤Y＜20000</w:t>
            </w:r>
          </w:p>
        </w:tc>
        <w:tc>
          <w:tcPr>
            <w:tcW w:w="1684" w:type="dxa"/>
            <w:vAlign w:val="center"/>
          </w:tcPr>
          <w:p w14:paraId="598E0895">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100≤Y＜500</w:t>
            </w:r>
          </w:p>
        </w:tc>
        <w:tc>
          <w:tcPr>
            <w:tcW w:w="965" w:type="dxa"/>
            <w:vAlign w:val="center"/>
          </w:tcPr>
          <w:p w14:paraId="38EC228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525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6DA76239">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交通运输业 *</w:t>
            </w:r>
          </w:p>
        </w:tc>
        <w:tc>
          <w:tcPr>
            <w:tcW w:w="1500" w:type="dxa"/>
            <w:vAlign w:val="center"/>
          </w:tcPr>
          <w:p w14:paraId="49700B8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6A765C2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59BA53E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14:paraId="5C30C76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14:paraId="565EFDD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14:paraId="153CA36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753E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5B451E96">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05B3458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497DED4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7F04BC5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14:paraId="73B9757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3000≤Y＜30000</w:t>
            </w:r>
          </w:p>
        </w:tc>
        <w:tc>
          <w:tcPr>
            <w:tcW w:w="1684" w:type="dxa"/>
            <w:vAlign w:val="center"/>
          </w:tcPr>
          <w:p w14:paraId="2CDC7B2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200≤Y＜3000</w:t>
            </w:r>
          </w:p>
        </w:tc>
        <w:tc>
          <w:tcPr>
            <w:tcW w:w="965" w:type="dxa"/>
            <w:vAlign w:val="center"/>
          </w:tcPr>
          <w:p w14:paraId="216D32B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w:t>
            </w:r>
          </w:p>
        </w:tc>
      </w:tr>
      <w:tr w14:paraId="3B2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09D69105">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仓储业*</w:t>
            </w:r>
          </w:p>
        </w:tc>
        <w:tc>
          <w:tcPr>
            <w:tcW w:w="1500" w:type="dxa"/>
            <w:vAlign w:val="center"/>
          </w:tcPr>
          <w:p w14:paraId="0786136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3DA3452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3BA1219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864" w:type="dxa"/>
            <w:vAlign w:val="center"/>
          </w:tcPr>
          <w:p w14:paraId="2F919231">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w:t>
            </w:r>
          </w:p>
        </w:tc>
        <w:tc>
          <w:tcPr>
            <w:tcW w:w="1684" w:type="dxa"/>
            <w:vAlign w:val="center"/>
          </w:tcPr>
          <w:p w14:paraId="7EA2257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20≤X＜100</w:t>
            </w:r>
          </w:p>
        </w:tc>
        <w:tc>
          <w:tcPr>
            <w:tcW w:w="965" w:type="dxa"/>
            <w:vAlign w:val="center"/>
          </w:tcPr>
          <w:p w14:paraId="2D83FA8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4E8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15E58987">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21D9CA2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3B2CDFE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43979C4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14:paraId="2A53426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1000≤Y＜30000</w:t>
            </w:r>
          </w:p>
        </w:tc>
        <w:tc>
          <w:tcPr>
            <w:tcW w:w="1684" w:type="dxa"/>
            <w:vAlign w:val="center"/>
          </w:tcPr>
          <w:p w14:paraId="572872B7">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14:paraId="45C5C0E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7081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6B2FF117">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邮政业</w:t>
            </w:r>
          </w:p>
        </w:tc>
        <w:tc>
          <w:tcPr>
            <w:tcW w:w="1500" w:type="dxa"/>
            <w:vAlign w:val="center"/>
          </w:tcPr>
          <w:p w14:paraId="2940FA0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3CC42C4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4CE30B1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14:paraId="3D2E2C4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14:paraId="2F658A5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14:paraId="657910A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46B6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422F08FB">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2178655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22D3AFF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2E135567">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14:paraId="36C017C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2000≤Y＜30000</w:t>
            </w:r>
          </w:p>
        </w:tc>
        <w:tc>
          <w:tcPr>
            <w:tcW w:w="1684" w:type="dxa"/>
            <w:vAlign w:val="center"/>
          </w:tcPr>
          <w:p w14:paraId="025BF79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14:paraId="1D3649B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41A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5847A771">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住宿业</w:t>
            </w:r>
          </w:p>
        </w:tc>
        <w:tc>
          <w:tcPr>
            <w:tcW w:w="1500" w:type="dxa"/>
            <w:vAlign w:val="center"/>
          </w:tcPr>
          <w:p w14:paraId="4FEF768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30A25EF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6022591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20BF9627">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14:paraId="70F019C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4618D4C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3CFF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067F8F4B">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66A8DBA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76FE8FD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1EE141F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14:paraId="42AB606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684" w:type="dxa"/>
            <w:vAlign w:val="center"/>
          </w:tcPr>
          <w:p w14:paraId="439DABC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14:paraId="12D2D34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582A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3D94D642">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餐饮业</w:t>
            </w:r>
          </w:p>
        </w:tc>
        <w:tc>
          <w:tcPr>
            <w:tcW w:w="1500" w:type="dxa"/>
            <w:vAlign w:val="center"/>
          </w:tcPr>
          <w:p w14:paraId="11EC648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34D8DAD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7E4F6CF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48147F9F">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684" w:type="dxa"/>
            <w:vAlign w:val="center"/>
          </w:tcPr>
          <w:p w14:paraId="5570D7A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650DA97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264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014D11AC">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04ABA71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4836BCC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76F5214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14:paraId="350B5CF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684" w:type="dxa"/>
            <w:vAlign w:val="center"/>
          </w:tcPr>
          <w:p w14:paraId="0FFB43D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14:paraId="356607C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7CBE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14:paraId="328720B1">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信息传输业 *</w:t>
            </w:r>
          </w:p>
        </w:tc>
        <w:tc>
          <w:tcPr>
            <w:tcW w:w="1500" w:type="dxa"/>
            <w:vAlign w:val="center"/>
          </w:tcPr>
          <w:p w14:paraId="04FE015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1F8634A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7A9FDB6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X≥2000</w:t>
            </w:r>
          </w:p>
        </w:tc>
        <w:tc>
          <w:tcPr>
            <w:tcW w:w="1864" w:type="dxa"/>
            <w:vAlign w:val="center"/>
          </w:tcPr>
          <w:p w14:paraId="61B05F8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100≤X＜2000</w:t>
            </w:r>
          </w:p>
        </w:tc>
        <w:tc>
          <w:tcPr>
            <w:tcW w:w="1684" w:type="dxa"/>
            <w:vAlign w:val="center"/>
          </w:tcPr>
          <w:p w14:paraId="464E5DF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4778B4D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7428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14:paraId="2BCC1B21">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503997D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4C828DD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478915B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Y≥100000</w:t>
            </w:r>
          </w:p>
        </w:tc>
        <w:tc>
          <w:tcPr>
            <w:tcW w:w="1864" w:type="dxa"/>
            <w:vAlign w:val="center"/>
          </w:tcPr>
          <w:p w14:paraId="711259A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1000≤Y＜100000</w:t>
            </w:r>
          </w:p>
        </w:tc>
        <w:tc>
          <w:tcPr>
            <w:tcW w:w="1684" w:type="dxa"/>
            <w:vAlign w:val="center"/>
          </w:tcPr>
          <w:p w14:paraId="68055B0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14:paraId="30818717">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3FF7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14:paraId="4744B1C3">
            <w:pPr>
              <w:widowControl/>
              <w:spacing w:line="240" w:lineRule="exact"/>
              <w:jc w:val="left"/>
              <w:rPr>
                <w:rFonts w:hint="eastAsia" w:ascii="仿宋" w:hAnsi="仿宋" w:eastAsia="仿宋" w:cs="仿宋"/>
                <w:color w:val="auto"/>
                <w:spacing w:val="-12"/>
                <w:kern w:val="0"/>
                <w:szCs w:val="21"/>
                <w:highlight w:val="none"/>
              </w:rPr>
            </w:pPr>
            <w:r>
              <w:rPr>
                <w:rFonts w:hint="eastAsia" w:ascii="仿宋" w:hAnsi="仿宋" w:eastAsia="仿宋" w:cs="仿宋"/>
                <w:color w:val="auto"/>
                <w:spacing w:val="-12"/>
                <w:kern w:val="0"/>
                <w:szCs w:val="21"/>
                <w:highlight w:val="none"/>
              </w:rPr>
              <w:t>软件和信息技术服</w:t>
            </w:r>
            <w:r>
              <w:rPr>
                <w:rFonts w:hint="eastAsia" w:ascii="仿宋" w:hAnsi="仿宋" w:eastAsia="仿宋" w:cs="仿宋"/>
                <w:color w:val="auto"/>
                <w:kern w:val="0"/>
                <w:szCs w:val="21"/>
                <w:highlight w:val="none"/>
              </w:rPr>
              <w:t>务业</w:t>
            </w:r>
          </w:p>
        </w:tc>
        <w:tc>
          <w:tcPr>
            <w:tcW w:w="1500" w:type="dxa"/>
            <w:vAlign w:val="center"/>
          </w:tcPr>
          <w:p w14:paraId="31646C1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7494926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02C1CC5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5FC90BBB">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684" w:type="dxa"/>
            <w:vAlign w:val="center"/>
          </w:tcPr>
          <w:p w14:paraId="3ED3F4E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6466347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3A51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14:paraId="06EEADB9">
            <w:pPr>
              <w:widowControl/>
              <w:spacing w:line="240" w:lineRule="exact"/>
              <w:jc w:val="left"/>
              <w:rPr>
                <w:rFonts w:hint="eastAsia" w:ascii="仿宋" w:hAnsi="仿宋" w:eastAsia="仿宋" w:cs="仿宋"/>
                <w:color w:val="auto"/>
                <w:spacing w:val="-12"/>
                <w:kern w:val="0"/>
                <w:szCs w:val="21"/>
                <w:highlight w:val="none"/>
              </w:rPr>
            </w:pPr>
          </w:p>
        </w:tc>
        <w:tc>
          <w:tcPr>
            <w:tcW w:w="1500" w:type="dxa"/>
            <w:vAlign w:val="center"/>
          </w:tcPr>
          <w:p w14:paraId="0D8B347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3067F9F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1FEE536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14:paraId="1503416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1000≤Y＜10000</w:t>
            </w:r>
          </w:p>
        </w:tc>
        <w:tc>
          <w:tcPr>
            <w:tcW w:w="1684" w:type="dxa"/>
            <w:vAlign w:val="center"/>
          </w:tcPr>
          <w:p w14:paraId="38F01CB3">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50≤Y＜1000</w:t>
            </w:r>
          </w:p>
        </w:tc>
        <w:tc>
          <w:tcPr>
            <w:tcW w:w="965" w:type="dxa"/>
            <w:vAlign w:val="center"/>
          </w:tcPr>
          <w:p w14:paraId="6E89DF8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14:paraId="32A1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14:paraId="5F488985">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房地产开发经营</w:t>
            </w:r>
          </w:p>
        </w:tc>
        <w:tc>
          <w:tcPr>
            <w:tcW w:w="1500" w:type="dxa"/>
            <w:vAlign w:val="center"/>
          </w:tcPr>
          <w:p w14:paraId="7CD0A9D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6C10F7AB">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61FA557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Y≥200000</w:t>
            </w:r>
          </w:p>
        </w:tc>
        <w:tc>
          <w:tcPr>
            <w:tcW w:w="1864" w:type="dxa"/>
            <w:vAlign w:val="center"/>
          </w:tcPr>
          <w:p w14:paraId="5BAE1AF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1000≤Y＜200000</w:t>
            </w:r>
          </w:p>
        </w:tc>
        <w:tc>
          <w:tcPr>
            <w:tcW w:w="1684" w:type="dxa"/>
            <w:vAlign w:val="center"/>
          </w:tcPr>
          <w:p w14:paraId="414E247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14:paraId="6DD8D64B">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31C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2317" w:type="dxa"/>
            <w:vMerge w:val="continue"/>
            <w:vAlign w:val="center"/>
          </w:tcPr>
          <w:p w14:paraId="0A15E9AA">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05B1D9F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14:paraId="13032C27">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7BC184B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Z≥10000</w:t>
            </w:r>
          </w:p>
        </w:tc>
        <w:tc>
          <w:tcPr>
            <w:tcW w:w="1864" w:type="dxa"/>
            <w:vAlign w:val="center"/>
          </w:tcPr>
          <w:p w14:paraId="4A0D7BA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5000≤Z＜10000</w:t>
            </w:r>
          </w:p>
        </w:tc>
        <w:tc>
          <w:tcPr>
            <w:tcW w:w="1684" w:type="dxa"/>
            <w:vAlign w:val="center"/>
          </w:tcPr>
          <w:p w14:paraId="024DBCC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2000≤Z＜5000</w:t>
            </w:r>
          </w:p>
        </w:tc>
        <w:tc>
          <w:tcPr>
            <w:tcW w:w="965" w:type="dxa"/>
            <w:vAlign w:val="center"/>
          </w:tcPr>
          <w:p w14:paraId="7B4F71C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Z＜2000</w:t>
            </w:r>
          </w:p>
        </w:tc>
      </w:tr>
      <w:tr w14:paraId="11CD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14:paraId="2201EA9E">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物业管理</w:t>
            </w:r>
          </w:p>
        </w:tc>
        <w:tc>
          <w:tcPr>
            <w:tcW w:w="1500" w:type="dxa"/>
            <w:vAlign w:val="center"/>
          </w:tcPr>
          <w:p w14:paraId="3E92610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10A0204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6A03377B">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14:paraId="187454E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14:paraId="41EA1F59">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965" w:type="dxa"/>
            <w:vAlign w:val="center"/>
          </w:tcPr>
          <w:p w14:paraId="4DC175B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w:t>
            </w:r>
          </w:p>
        </w:tc>
      </w:tr>
      <w:tr w14:paraId="5351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14:paraId="23ED86B5">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6A55825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14:paraId="6D76A42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7B84C78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Y≥5000</w:t>
            </w:r>
          </w:p>
        </w:tc>
        <w:tc>
          <w:tcPr>
            <w:tcW w:w="1864" w:type="dxa"/>
            <w:vAlign w:val="center"/>
          </w:tcPr>
          <w:p w14:paraId="2FE88CCC">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1000≤Y＜5000</w:t>
            </w:r>
          </w:p>
        </w:tc>
        <w:tc>
          <w:tcPr>
            <w:tcW w:w="1684" w:type="dxa"/>
            <w:vAlign w:val="center"/>
          </w:tcPr>
          <w:p w14:paraId="076E2B7B">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500≤Y＜1000</w:t>
            </w:r>
          </w:p>
        </w:tc>
        <w:tc>
          <w:tcPr>
            <w:tcW w:w="965" w:type="dxa"/>
            <w:vAlign w:val="center"/>
          </w:tcPr>
          <w:p w14:paraId="2886B81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Y＜500</w:t>
            </w:r>
          </w:p>
        </w:tc>
      </w:tr>
      <w:tr w14:paraId="2341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14:paraId="6F8C6E4B">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租赁和商务服务业</w:t>
            </w:r>
          </w:p>
        </w:tc>
        <w:tc>
          <w:tcPr>
            <w:tcW w:w="1500" w:type="dxa"/>
            <w:vAlign w:val="center"/>
          </w:tcPr>
          <w:p w14:paraId="797020DD">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5DA9B498">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5282243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65B4AC52">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14:paraId="5F43AB2A">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420A613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1361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14:paraId="20D060F9">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14:paraId="7524F6F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14:paraId="262338A6">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14:paraId="304106C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Z≥120000</w:t>
            </w:r>
          </w:p>
        </w:tc>
        <w:tc>
          <w:tcPr>
            <w:tcW w:w="1864" w:type="dxa"/>
            <w:vAlign w:val="center"/>
          </w:tcPr>
          <w:p w14:paraId="49ACFAC5">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8000≤Z＜120000</w:t>
            </w:r>
          </w:p>
        </w:tc>
        <w:tc>
          <w:tcPr>
            <w:tcW w:w="1684" w:type="dxa"/>
            <w:vAlign w:val="center"/>
          </w:tcPr>
          <w:p w14:paraId="0C1D3D8C">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100≤Z＜8000</w:t>
            </w:r>
          </w:p>
        </w:tc>
        <w:tc>
          <w:tcPr>
            <w:tcW w:w="965" w:type="dxa"/>
            <w:vAlign w:val="center"/>
          </w:tcPr>
          <w:p w14:paraId="58CEDF80">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Z＜100</w:t>
            </w:r>
          </w:p>
        </w:tc>
      </w:tr>
      <w:tr w14:paraId="0878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2317" w:type="dxa"/>
            <w:vAlign w:val="center"/>
          </w:tcPr>
          <w:p w14:paraId="105B337C">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其他未列明行业*</w:t>
            </w:r>
          </w:p>
        </w:tc>
        <w:tc>
          <w:tcPr>
            <w:tcW w:w="1500" w:type="dxa"/>
            <w:vAlign w:val="center"/>
          </w:tcPr>
          <w:p w14:paraId="15D2C662">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14:paraId="52116921">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14:paraId="00FAF46E">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14:paraId="367FC07B">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14:paraId="5E080214">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14:paraId="7444A4EF">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bl>
    <w:p w14:paraId="0DE26E0E">
      <w:pPr>
        <w:spacing w:line="300" w:lineRule="exact"/>
        <w:rPr>
          <w:rFonts w:hint="eastAsia" w:ascii="仿宋" w:hAnsi="仿宋" w:eastAsia="仿宋" w:cs="仿宋"/>
          <w:color w:val="auto"/>
          <w:szCs w:val="21"/>
          <w:highlight w:val="none"/>
        </w:rPr>
      </w:pPr>
      <w:r>
        <w:rPr>
          <w:rFonts w:hint="eastAsia" w:ascii="仿宋" w:hAnsi="仿宋" w:eastAsia="仿宋" w:cs="仿宋"/>
          <w:color w:val="auto"/>
          <w:spacing w:val="8"/>
          <w:kern w:val="0"/>
          <w:szCs w:val="21"/>
          <w:highlight w:val="none"/>
        </w:rPr>
        <w:t>说明：</w:t>
      </w:r>
      <w:r>
        <w:rPr>
          <w:rFonts w:hint="eastAsia" w:ascii="仿宋" w:hAnsi="仿宋" w:eastAsia="仿宋" w:cs="仿宋"/>
          <w:color w:val="auto"/>
          <w:spacing w:val="8"/>
          <w:szCs w:val="21"/>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2A4C363">
      <w:pPr>
        <w:pStyle w:val="2"/>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br w:type="page"/>
      </w:r>
      <w:bookmarkStart w:id="18" w:name="_Toc153888700"/>
      <w:r>
        <w:rPr>
          <w:rFonts w:hint="eastAsia" w:ascii="仿宋" w:hAnsi="仿宋" w:eastAsia="仿宋" w:cs="仿宋"/>
          <w:color w:val="auto"/>
          <w:highlight w:val="none"/>
        </w:rPr>
        <w:t>第四章 评标办法</w:t>
      </w:r>
      <w:bookmarkEnd w:id="14"/>
      <w:bookmarkEnd w:id="18"/>
    </w:p>
    <w:p w14:paraId="45E87E90">
      <w:pPr>
        <w:pStyle w:val="6"/>
        <w:spacing w:line="400" w:lineRule="exact"/>
        <w:ind w:firstLine="433" w:firstLineChars="196"/>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一、评标依据及方式</w:t>
      </w:r>
    </w:p>
    <w:p w14:paraId="034C2CBD">
      <w:pPr>
        <w:pStyle w:val="6"/>
        <w:spacing w:line="4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1.评标依据：评标委员会以招标文件和投标文件为评标依据，对投标人的投标文件进行评审并按百分制打分。</w:t>
      </w:r>
    </w:p>
    <w:p w14:paraId="1C5CFAA5">
      <w:pPr>
        <w:pStyle w:val="6"/>
        <w:spacing w:line="4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2.评标方式：以封闭方式进行评标。</w:t>
      </w:r>
    </w:p>
    <w:p w14:paraId="36085753">
      <w:pPr>
        <w:pStyle w:val="6"/>
        <w:spacing w:line="4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3.根据财库〔2012〕69号文规定，采购人和采购代理机构、评标委员会成员要严格遵守政府采购相关法律制度，依法履行各自职责，公正、客观、审慎地组织和参与评审工作。</w:t>
      </w:r>
    </w:p>
    <w:p w14:paraId="790ACB4A">
      <w:pPr>
        <w:pStyle w:val="6"/>
        <w:spacing w:line="400" w:lineRule="exact"/>
        <w:ind w:firstLine="442" w:firstLineChars="200"/>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二、评标办法</w:t>
      </w:r>
    </w:p>
    <w:p w14:paraId="2E25C24E">
      <w:pPr>
        <w:pStyle w:val="6"/>
        <w:spacing w:line="400" w:lineRule="exact"/>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（一）对进入详评的，采用综合评分法。</w:t>
      </w:r>
    </w:p>
    <w:p w14:paraId="799BFDE1">
      <w:pPr>
        <w:pStyle w:val="6"/>
        <w:spacing w:line="400" w:lineRule="exact"/>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（二）计分办法（按四舍五入取至小数点后二位）</w:t>
      </w:r>
    </w:p>
    <w:p w14:paraId="70678EE1">
      <w:pPr>
        <w:pStyle w:val="6"/>
        <w:spacing w:line="400" w:lineRule="exact"/>
        <w:ind w:firstLine="420"/>
        <w:rPr>
          <w:rFonts w:hint="eastAsia" w:ascii="仿宋" w:hAnsi="仿宋" w:eastAsia="仿宋" w:cs="仿宋"/>
          <w:bCs/>
          <w:color w:val="auto"/>
          <w:sz w:val="22"/>
          <w:szCs w:val="22"/>
          <w:highlight w:val="none"/>
        </w:rPr>
      </w:pPr>
      <w:r>
        <w:rPr>
          <w:rFonts w:hint="eastAsia" w:ascii="仿宋" w:hAnsi="仿宋" w:eastAsia="仿宋" w:cs="仿宋"/>
          <w:b/>
          <w:color w:val="auto"/>
          <w:sz w:val="22"/>
          <w:szCs w:val="22"/>
          <w:highlight w:val="none"/>
        </w:rPr>
        <w:t>1.</w:t>
      </w:r>
      <w:bookmarkStart w:id="19" w:name="OLE_LINK10"/>
      <w:r>
        <w:rPr>
          <w:rFonts w:hint="eastAsia" w:ascii="仿宋" w:hAnsi="仿宋" w:eastAsia="仿宋" w:cs="仿宋"/>
          <w:b/>
          <w:bCs/>
          <w:color w:val="auto"/>
          <w:sz w:val="22"/>
          <w:szCs w:val="22"/>
          <w:highlight w:val="none"/>
        </w:rPr>
        <w:t>价格分……………………………………………………………………………………………30分</w:t>
      </w:r>
    </w:p>
    <w:p w14:paraId="4FE14E8A">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bCs/>
          <w:color w:val="auto"/>
          <w:szCs w:val="21"/>
          <w:highlight w:val="none"/>
        </w:rPr>
        <w:t>（1）符合《政府采购促进中小企业发展管理办法》（财库〔2020〕46号）规定条件且按该办法中规定的格式提供了《中小企业声明函》的，对其投标价给予20%的扣除，扣除后的价格为评标价，即评标价=投标价×（1-20%）。</w:t>
      </w:r>
    </w:p>
    <w:p w14:paraId="118EE744">
      <w:pPr>
        <w:spacing w:line="500" w:lineRule="exact"/>
        <w:ind w:firstLine="422" w:firstLineChars="200"/>
        <w:jc w:val="left"/>
        <w:rPr>
          <w:rFonts w:hint="eastAsia" w:ascii="仿宋" w:hAnsi="仿宋" w:eastAsia="仿宋"/>
          <w:color w:val="auto"/>
          <w:szCs w:val="21"/>
          <w:highlight w:val="none"/>
        </w:rPr>
      </w:pPr>
      <w:r>
        <w:rPr>
          <w:rFonts w:hint="eastAsia" w:ascii="仿宋" w:hAnsi="仿宋" w:eastAsia="仿宋"/>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324ADB18">
      <w:pPr>
        <w:numPr>
          <w:ilvl w:val="0"/>
          <w:numId w:val="2"/>
        </w:num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7CC3F4D1">
      <w:pPr>
        <w:numPr>
          <w:ilvl w:val="0"/>
          <w:numId w:val="2"/>
        </w:num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0493F29C">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对于不属于以上情形的投标人，其投标报价即为评标价。</w:t>
      </w:r>
    </w:p>
    <w:p w14:paraId="3ACF07BD">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（4）价格分采用低价优先法计算，即满足招标文件要求且评标报价最低的评标报价为评标基准价，其价格分为30分。</w:t>
      </w:r>
    </w:p>
    <w:p w14:paraId="3368B8ED">
      <w:pPr>
        <w:spacing w:line="500" w:lineRule="exact"/>
        <w:ind w:firstLine="420" w:firstLineChars="200"/>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（5）</w:t>
      </w:r>
      <w:r>
        <w:rPr>
          <w:rFonts w:hint="eastAsia" w:ascii="仿宋" w:hAnsi="仿宋" w:eastAsia="仿宋"/>
          <w:color w:val="auto"/>
          <w:szCs w:val="21"/>
          <w:highlight w:val="none"/>
        </w:rPr>
        <w:t>价格分计算公式：</w:t>
      </w:r>
      <w:r>
        <w:rPr>
          <w:rFonts w:hint="eastAsia" w:ascii="仿宋" w:hAnsi="仿宋" w:eastAsia="仿宋"/>
          <w:bCs/>
          <w:color w:val="auto"/>
          <w:szCs w:val="21"/>
          <w:highlight w:val="none"/>
        </w:rPr>
        <w:t xml:space="preserve">  </w:t>
      </w:r>
    </w:p>
    <w:p w14:paraId="538B18B7">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bCs/>
          <w:color w:val="auto"/>
          <w:szCs w:val="21"/>
          <w:highlight w:val="none"/>
        </w:rPr>
        <w:t>某投标人价格分 =（最低投标人</w:t>
      </w:r>
      <w:r>
        <w:rPr>
          <w:rFonts w:hint="eastAsia" w:ascii="仿宋" w:hAnsi="仿宋" w:eastAsia="仿宋"/>
          <w:color w:val="auto"/>
          <w:szCs w:val="21"/>
          <w:highlight w:val="none"/>
        </w:rPr>
        <w:t>评标报价</w:t>
      </w:r>
      <w:r>
        <w:rPr>
          <w:rFonts w:hint="eastAsia" w:ascii="仿宋" w:hAnsi="仿宋" w:eastAsia="仿宋"/>
          <w:bCs/>
          <w:color w:val="auto"/>
          <w:szCs w:val="21"/>
          <w:highlight w:val="none"/>
        </w:rPr>
        <w:t>金额/ 某投标人</w:t>
      </w:r>
      <w:r>
        <w:rPr>
          <w:rFonts w:hint="eastAsia" w:ascii="仿宋" w:hAnsi="仿宋" w:eastAsia="仿宋"/>
          <w:color w:val="auto"/>
          <w:szCs w:val="21"/>
          <w:highlight w:val="none"/>
        </w:rPr>
        <w:t>评标报价</w:t>
      </w:r>
      <w:r>
        <w:rPr>
          <w:rFonts w:hint="eastAsia" w:ascii="仿宋" w:hAnsi="仿宋" w:eastAsia="仿宋"/>
          <w:bCs/>
          <w:color w:val="auto"/>
          <w:szCs w:val="21"/>
          <w:highlight w:val="none"/>
        </w:rPr>
        <w:t xml:space="preserve">金额） ×  30分                                                    </w:t>
      </w:r>
    </w:p>
    <w:p w14:paraId="1A3FFC4D">
      <w:pPr>
        <w:spacing w:line="500" w:lineRule="exact"/>
        <w:ind w:firstLine="422" w:firstLineChars="200"/>
        <w:jc w:val="left"/>
        <w:rPr>
          <w:rFonts w:hint="eastAsia" w:ascii="仿宋" w:hAnsi="仿宋" w:eastAsia="仿宋"/>
          <w:b/>
          <w:bCs/>
          <w:color w:val="auto"/>
          <w:szCs w:val="21"/>
          <w:highlight w:val="none"/>
        </w:rPr>
      </w:pPr>
      <w:r>
        <w:rPr>
          <w:rFonts w:hint="eastAsia" w:ascii="仿宋" w:hAnsi="仿宋" w:eastAsia="仿宋"/>
          <w:b/>
          <w:bCs/>
          <w:color w:val="auto"/>
          <w:szCs w:val="21"/>
          <w:highlight w:val="none"/>
        </w:rPr>
        <w:t>2.技术</w:t>
      </w:r>
      <w:r>
        <w:rPr>
          <w:rFonts w:hint="eastAsia" w:ascii="仿宋" w:hAnsi="仿宋" w:eastAsia="仿宋"/>
          <w:b/>
          <w:bCs/>
          <w:color w:val="auto"/>
          <w:szCs w:val="21"/>
          <w:highlight w:val="none"/>
          <w:lang w:val="en-US" w:eastAsia="zh-CN"/>
        </w:rPr>
        <w:t>分</w:t>
      </w:r>
      <w:r>
        <w:rPr>
          <w:rFonts w:hint="eastAsia" w:ascii="仿宋" w:hAnsi="仿宋" w:eastAsia="仿宋"/>
          <w:b/>
          <w:color w:val="auto"/>
          <w:szCs w:val="21"/>
          <w:highlight w:val="none"/>
        </w:rPr>
        <w:t>…………</w:t>
      </w:r>
      <w:r>
        <w:rPr>
          <w:rFonts w:hint="eastAsia" w:ascii="仿宋" w:hAnsi="仿宋" w:eastAsia="仿宋" w:cs="仿宋"/>
          <w:b/>
          <w:bCs/>
          <w:color w:val="auto"/>
          <w:sz w:val="22"/>
          <w:szCs w:val="22"/>
          <w:highlight w:val="none"/>
        </w:rPr>
        <w:t>………………………</w:t>
      </w:r>
      <w:r>
        <w:rPr>
          <w:rFonts w:hint="eastAsia" w:ascii="仿宋" w:hAnsi="仿宋" w:eastAsia="仿宋"/>
          <w:b/>
          <w:color w:val="auto"/>
          <w:szCs w:val="21"/>
          <w:highlight w:val="none"/>
        </w:rPr>
        <w:t>………………………</w:t>
      </w:r>
      <w:r>
        <w:rPr>
          <w:rFonts w:hint="eastAsia" w:ascii="仿宋" w:hAnsi="仿宋" w:eastAsia="仿宋" w:cs="仿宋"/>
          <w:b/>
          <w:bCs/>
          <w:color w:val="auto"/>
          <w:sz w:val="22"/>
          <w:szCs w:val="22"/>
          <w:highlight w:val="none"/>
        </w:rPr>
        <w:t>………</w:t>
      </w:r>
      <w:r>
        <w:rPr>
          <w:rFonts w:hint="eastAsia" w:ascii="仿宋" w:hAnsi="仿宋" w:eastAsia="仿宋"/>
          <w:b/>
          <w:color w:val="auto"/>
          <w:szCs w:val="21"/>
          <w:highlight w:val="none"/>
        </w:rPr>
        <w:t>……………………………</w:t>
      </w:r>
      <w:r>
        <w:rPr>
          <w:rFonts w:hint="eastAsia" w:ascii="仿宋" w:hAnsi="仿宋" w:eastAsia="仿宋"/>
          <w:b/>
          <w:bCs/>
          <w:color w:val="auto"/>
          <w:szCs w:val="21"/>
          <w:highlight w:val="none"/>
        </w:rPr>
        <w:t>64分</w:t>
      </w:r>
    </w:p>
    <w:p w14:paraId="23BEC4F4">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评委根据招标文件要求，对通过资格性和符合性审查进入详评的各投标人投标文件的“项目要求及技术需求”偏离情况进行独立评审，并按如下计分方式确定得分：</w:t>
      </w:r>
    </w:p>
    <w:p w14:paraId="68969A35">
      <w:pPr>
        <w:spacing w:line="500" w:lineRule="exact"/>
        <w:ind w:firstLine="422" w:firstLineChars="200"/>
        <w:jc w:val="left"/>
        <w:rPr>
          <w:rFonts w:hint="eastAsia" w:ascii="仿宋" w:hAnsi="仿宋" w:eastAsia="仿宋"/>
          <w:b/>
          <w:bCs/>
          <w:color w:val="auto"/>
          <w:szCs w:val="21"/>
          <w:highlight w:val="none"/>
        </w:rPr>
      </w:pPr>
      <w:r>
        <w:rPr>
          <w:rFonts w:hint="eastAsia" w:ascii="仿宋" w:hAnsi="仿宋" w:eastAsia="仿宋"/>
          <w:b/>
          <w:bCs/>
          <w:color w:val="auto"/>
          <w:szCs w:val="21"/>
          <w:highlight w:val="none"/>
        </w:rPr>
        <w:t>（1）产品参数分</w:t>
      </w:r>
      <w:r>
        <w:rPr>
          <w:rFonts w:hint="eastAsia" w:ascii="仿宋" w:hAnsi="仿宋" w:eastAsia="仿宋"/>
          <w:b/>
          <w:color w:val="auto"/>
          <w:szCs w:val="21"/>
          <w:highlight w:val="none"/>
        </w:rPr>
        <w:t>…………………</w:t>
      </w:r>
      <w:r>
        <w:rPr>
          <w:rFonts w:hint="eastAsia" w:ascii="仿宋" w:hAnsi="仿宋" w:eastAsia="仿宋" w:cs="仿宋"/>
          <w:b/>
          <w:bCs/>
          <w:color w:val="auto"/>
          <w:sz w:val="22"/>
          <w:szCs w:val="22"/>
          <w:highlight w:val="none"/>
        </w:rPr>
        <w:t>………………………</w:t>
      </w:r>
      <w:r>
        <w:rPr>
          <w:rFonts w:hint="eastAsia" w:ascii="仿宋" w:hAnsi="仿宋" w:eastAsia="仿宋"/>
          <w:b/>
          <w:color w:val="auto"/>
          <w:szCs w:val="21"/>
          <w:highlight w:val="none"/>
        </w:rPr>
        <w:t>……………………………………………</w:t>
      </w:r>
      <w:r>
        <w:rPr>
          <w:rFonts w:hint="eastAsia" w:ascii="仿宋" w:hAnsi="仿宋" w:eastAsia="仿宋"/>
          <w:b/>
          <w:bCs/>
          <w:color w:val="auto"/>
          <w:szCs w:val="21"/>
          <w:highlight w:val="none"/>
        </w:rPr>
        <w:t>28分</w:t>
      </w:r>
    </w:p>
    <w:p w14:paraId="74A6CDB9">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所投产品完全符合招标文件第三章货物采购需求中货物指标参数的得28分；</w:t>
      </w:r>
    </w:p>
    <w:p w14:paraId="3E2F36AE">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1）如所投产品的重要技术参数（标“</w:t>
      </w:r>
      <w:bookmarkStart w:id="20" w:name="OLE_LINK49"/>
      <w:r>
        <w:rPr>
          <w:rFonts w:hint="eastAsia" w:ascii="仿宋" w:hAnsi="仿宋" w:eastAsia="仿宋"/>
          <w:color w:val="auto"/>
          <w:szCs w:val="21"/>
          <w:highlight w:val="none"/>
        </w:rPr>
        <w:t>▲</w:t>
      </w:r>
      <w:bookmarkEnd w:id="20"/>
      <w:r>
        <w:rPr>
          <w:rFonts w:hint="eastAsia" w:ascii="仿宋" w:hAnsi="仿宋" w:eastAsia="仿宋"/>
          <w:color w:val="auto"/>
          <w:szCs w:val="21"/>
          <w:highlight w:val="none"/>
        </w:rPr>
        <w:t>”参数）有负偏离的或未按要求提供证明材料的，每项扣2分，扣完28分即止；</w:t>
      </w:r>
    </w:p>
    <w:p w14:paraId="34519072">
      <w:pPr>
        <w:spacing w:line="500" w:lineRule="exact"/>
        <w:ind w:firstLine="420" w:firstLineChars="200"/>
        <w:jc w:val="left"/>
        <w:rPr>
          <w:rFonts w:hint="eastAsia" w:ascii="仿宋" w:hAnsi="仿宋" w:eastAsia="仿宋"/>
          <w:color w:val="auto"/>
          <w:szCs w:val="21"/>
          <w:highlight w:val="none"/>
        </w:rPr>
      </w:pPr>
      <w:r>
        <w:rPr>
          <w:rFonts w:hint="eastAsia" w:ascii="仿宋" w:hAnsi="仿宋" w:eastAsia="仿宋"/>
          <w:color w:val="auto"/>
          <w:szCs w:val="21"/>
          <w:highlight w:val="none"/>
        </w:rPr>
        <w:t>2）如所投产品的一般技术参数（非标“▲”参数）有负偏离的</w:t>
      </w:r>
      <w:bookmarkStart w:id="21" w:name="OLE_LINK50"/>
      <w:r>
        <w:rPr>
          <w:rFonts w:hint="eastAsia" w:ascii="仿宋" w:hAnsi="仿宋" w:eastAsia="仿宋"/>
          <w:color w:val="auto"/>
          <w:szCs w:val="21"/>
          <w:highlight w:val="none"/>
        </w:rPr>
        <w:t>或未按要求提供证明材料的</w:t>
      </w:r>
      <w:bookmarkEnd w:id="21"/>
      <w:r>
        <w:rPr>
          <w:rFonts w:hint="eastAsia" w:ascii="仿宋" w:hAnsi="仿宋" w:eastAsia="仿宋"/>
          <w:color w:val="auto"/>
          <w:szCs w:val="21"/>
          <w:highlight w:val="none"/>
        </w:rPr>
        <w:t>，每项扣1分，扣完28分即止。</w:t>
      </w:r>
    </w:p>
    <w:p w14:paraId="381F3A15">
      <w:pPr>
        <w:spacing w:line="500" w:lineRule="exact"/>
        <w:ind w:firstLine="422" w:firstLineChars="200"/>
        <w:jc w:val="left"/>
        <w:rPr>
          <w:rFonts w:hint="eastAsia" w:ascii="仿宋" w:hAnsi="仿宋" w:eastAsia="仿宋"/>
          <w:b/>
          <w:bCs/>
          <w:color w:val="auto"/>
          <w:szCs w:val="21"/>
          <w:highlight w:val="none"/>
        </w:rPr>
      </w:pPr>
      <w:r>
        <w:rPr>
          <w:rFonts w:hint="eastAsia" w:ascii="仿宋" w:hAnsi="仿宋" w:eastAsia="仿宋"/>
          <w:b/>
          <w:bCs/>
          <w:color w:val="auto"/>
          <w:szCs w:val="21"/>
          <w:highlight w:val="none"/>
        </w:rPr>
        <w:t>注：负偏离包括但不限于：配置不详，技术参数不清楚或缺漏项或前后不一致。如应答时缺项，则该项作负偏离处理。投标文件对于采购需求技术参数有指定要求的条款需提供技术证明文件未提供对应证明文件的，视同为负偏离。）</w:t>
      </w:r>
    </w:p>
    <w:p w14:paraId="21041B36">
      <w:pPr>
        <w:wordWrap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（2）技术保障措施………………………………………………………………………………………6分</w:t>
      </w:r>
    </w:p>
    <w:p w14:paraId="3594A974">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评审内容：</w:t>
      </w:r>
    </w:p>
    <w:p w14:paraId="2335A1E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根据投标人提供的项目技术保障措施方案进行打分，包括但不限于以下内容： </w:t>
      </w:r>
    </w:p>
    <w:p w14:paraId="5B900D4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1.项目组织管理；2.项目实施进度；3.项目进度控制。</w:t>
      </w:r>
    </w:p>
    <w:p w14:paraId="405B37A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评分标准：</w:t>
      </w:r>
    </w:p>
    <w:p w14:paraId="06723AF1">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1、满足以上三点得3分；满足以上两点得2分；满足以上一点得1分；其他情况或未提供者不得分。</w:t>
      </w:r>
    </w:p>
    <w:p w14:paraId="674BD10B">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2、在此基础上，</w:t>
      </w:r>
      <w:r>
        <w:rPr>
          <w:rFonts w:hint="eastAsia" w:ascii="宋体" w:hAnsi="宋体" w:cs="宋体"/>
          <w:color w:val="auto"/>
          <w:sz w:val="24"/>
          <w:highlight w:val="none"/>
          <w:lang w:bidi="ar"/>
        </w:rPr>
        <w:t>根据各供应商的具体响应内容按照量化的评审因素指标进一步评审：</w:t>
      </w:r>
    </w:p>
    <w:p w14:paraId="629F7440">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（1）技术保障措施针对性强，响应详细完整，完全满足项目要求，可行性高，评审为优，加3分；</w:t>
      </w:r>
    </w:p>
    <w:p w14:paraId="1A3BB29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（2）技术保障措施有一定针对性，有一定响应程度，完全满足项目要求，有一定可行性，评审为良，加1分；</w:t>
      </w:r>
    </w:p>
    <w:p w14:paraId="7F3FF21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（3）技术保障措施针对性一般，响应程度基本完整，基本满足项目要求，可行性一般，评审为中，加0.5分；</w:t>
      </w:r>
    </w:p>
    <w:p w14:paraId="53368FDA">
      <w:pPr>
        <w:spacing w:line="360" w:lineRule="auto"/>
        <w:rPr>
          <w:rFonts w:hint="eastAsia" w:ascii="宋体" w:hAnsi="宋体" w:cs="宋体"/>
          <w:color w:val="auto"/>
          <w:sz w:val="24"/>
          <w:highlight w:val="none"/>
        </w:rPr>
      </w:pPr>
      <w:r>
        <w:rPr>
          <w:rFonts w:hint="eastAsia" w:ascii="宋体" w:hAnsi="宋体" w:cs="宋体"/>
          <w:color w:val="auto"/>
          <w:sz w:val="22"/>
          <w:highlight w:val="none"/>
        </w:rPr>
        <w:t>（4）技术保障措施不合理、无针对性、无可操作性，评审为差，不加分。</w:t>
      </w:r>
    </w:p>
    <w:p w14:paraId="6F398D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备注：未提供或完全不符合的不得分，评分中出现无证明资料或专家无法凭所提供资料判断是否得分的情况，一律作不得分处理。</w:t>
      </w:r>
    </w:p>
    <w:p w14:paraId="0DE39EBC">
      <w:pPr>
        <w:wordWrap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（3）售后服务方案分……………………………………………………………………………………6分</w:t>
      </w:r>
    </w:p>
    <w:p w14:paraId="704D427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评审内容：根据投标人提供的项目售后服务方案进行打分，包括但不限于以下内容： </w:t>
      </w:r>
    </w:p>
    <w:p w14:paraId="5EFC144A">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1.质量保证期和质量维护期服务承诺；2.售后服务机构及维护人员配置；3.售后服务应急措施；</w:t>
      </w:r>
    </w:p>
    <w:p w14:paraId="07A3504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4.交货期及故障或技术支持响应时间。</w:t>
      </w:r>
    </w:p>
    <w:p w14:paraId="1F4C3F4A">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评分标准：</w:t>
      </w:r>
    </w:p>
    <w:p w14:paraId="4B24BEE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1.提供上述四项内容的得3分；提供上述三项内容的得2分；提供上述二至一项内容的得1分；其他情况或未提供者不得分。</w:t>
      </w:r>
    </w:p>
    <w:p w14:paraId="5BBC15D5">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2、在此基础上，根据各供应商的具体响应内容按照量化的评审因素指标进一步评审：</w:t>
      </w:r>
    </w:p>
    <w:p w14:paraId="599E608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（1）售后服务方案针对性强，响应详细完整，完全满足项目要求，可行性高，评审为优，加3分；</w:t>
      </w:r>
    </w:p>
    <w:p w14:paraId="2BE9CDD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（2）售后服务方案有一定针对性，有一定响应程度，完全满足项目要求，有一定可行性，评审为良，加1分；</w:t>
      </w:r>
    </w:p>
    <w:p w14:paraId="438AB727">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（3）售后服务方案针对性一般，响应程度基本完整，基本满足项目要求，可行性一般，评审为中，加0.5分；</w:t>
      </w:r>
    </w:p>
    <w:p w14:paraId="3BA12B4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（4）售后服务方案不合理、无针对性、无可操作性，评审为差，不加分。 </w:t>
      </w:r>
    </w:p>
    <w:p w14:paraId="31065A60">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备注：未提供或完全不符合的不得分，评分中出现无证明资料或专家无法凭所提供资料判断是否得分的情况，一律作不得分处理。</w:t>
      </w:r>
    </w:p>
    <w:p w14:paraId="5BC5D9F5">
      <w:pPr>
        <w:wordWrap w:val="0"/>
        <w:spacing w:line="360" w:lineRule="auto"/>
        <w:rPr>
          <w:rFonts w:hint="eastAsia" w:ascii="宋体" w:hAnsi="宋体" w:cs="宋体"/>
          <w:b/>
          <w:bCs/>
          <w:color w:val="auto"/>
          <w:sz w:val="22"/>
          <w:highlight w:val="none"/>
        </w:rPr>
      </w:pPr>
      <w:r>
        <w:rPr>
          <w:rFonts w:hint="eastAsia" w:ascii="宋体" w:hAnsi="宋体" w:cs="宋体"/>
          <w:b/>
          <w:bCs/>
          <w:color w:val="auto"/>
          <w:sz w:val="22"/>
          <w:highlight w:val="none"/>
        </w:rPr>
        <w:t>（3）、演示分………………………………………………………………………………………24分</w:t>
      </w:r>
    </w:p>
    <w:p w14:paraId="2998B386">
      <w:pPr>
        <w:wordWrap w:val="0"/>
        <w:spacing w:line="360" w:lineRule="auto"/>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（注：</w:t>
      </w:r>
      <w:r>
        <w:rPr>
          <w:rFonts w:hint="eastAsia" w:ascii="宋体" w:hAnsi="宋体" w:cs="宋体"/>
          <w:b/>
          <w:bCs/>
          <w:color w:val="auto"/>
          <w:sz w:val="22"/>
          <w:highlight w:val="none"/>
          <w:lang w:val="en-US" w:eastAsia="zh-CN"/>
        </w:rPr>
        <w:t>本演示为现场演示，供应商未到现场进行演示</w:t>
      </w:r>
      <w:bookmarkStart w:id="30" w:name="_GoBack"/>
      <w:bookmarkEnd w:id="30"/>
      <w:r>
        <w:rPr>
          <w:rFonts w:hint="eastAsia" w:ascii="宋体" w:hAnsi="宋体" w:cs="宋体"/>
          <w:b/>
          <w:bCs/>
          <w:color w:val="auto"/>
          <w:sz w:val="22"/>
          <w:highlight w:val="none"/>
          <w:lang w:val="en-US" w:eastAsia="zh-CN"/>
        </w:rPr>
        <w:t>不得分。）</w:t>
      </w:r>
    </w:p>
    <w:p w14:paraId="2D7569F8">
      <w:pPr>
        <w:wordWrap w:val="0"/>
        <w:spacing w:line="360" w:lineRule="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评审内容：</w:t>
      </w:r>
    </w:p>
    <w:p w14:paraId="7E43F147">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根据4项具体演示内容要求，单项不演示的不得分；</w:t>
      </w:r>
    </w:p>
    <w:p w14:paraId="3F7EBC6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根据4项具体演示内容要求，单项演示不完整的得2分，4项演示不完整，最高得8分；</w:t>
      </w:r>
    </w:p>
    <w:p w14:paraId="7AE9DEF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根据4项具体演示内容要求，单项</w:t>
      </w:r>
      <w:r>
        <w:rPr>
          <w:rFonts w:ascii="宋体" w:hAnsi="宋体" w:cs="宋体"/>
          <w:color w:val="auto"/>
          <w:sz w:val="22"/>
          <w:highlight w:val="none"/>
        </w:rPr>
        <w:t>完整演示的得</w:t>
      </w:r>
      <w:r>
        <w:rPr>
          <w:rFonts w:hint="eastAsia" w:ascii="宋体" w:hAnsi="宋体" w:cs="宋体"/>
          <w:color w:val="auto"/>
          <w:sz w:val="22"/>
          <w:highlight w:val="none"/>
        </w:rPr>
        <w:t>6</w:t>
      </w:r>
      <w:r>
        <w:rPr>
          <w:rFonts w:ascii="宋体" w:hAnsi="宋体" w:cs="宋体"/>
          <w:color w:val="auto"/>
          <w:sz w:val="22"/>
          <w:highlight w:val="none"/>
        </w:rPr>
        <w:t>分</w:t>
      </w:r>
      <w:r>
        <w:rPr>
          <w:rFonts w:hint="eastAsia" w:ascii="宋体" w:hAnsi="宋体" w:cs="宋体"/>
          <w:color w:val="auto"/>
          <w:sz w:val="22"/>
          <w:highlight w:val="none"/>
        </w:rPr>
        <w:t>，  4项演示完整，最高得24分；</w:t>
      </w:r>
    </w:p>
    <w:p w14:paraId="01D1AFEE">
      <w:pPr>
        <w:numPr>
          <w:ilvl w:val="0"/>
          <w:numId w:val="0"/>
        </w:numPr>
        <w:wordWrap w:val="0"/>
        <w:spacing w:line="360" w:lineRule="auto"/>
        <w:rPr>
          <w:rFonts w:hint="default" w:ascii="宋体" w:hAnsi="宋体" w:eastAsia="宋体" w:cs="宋体"/>
          <w:b/>
          <w:bCs/>
          <w:color w:val="auto"/>
          <w:sz w:val="22"/>
          <w:highlight w:val="none"/>
          <w:lang w:val="en-US" w:eastAsia="zh-CN"/>
        </w:rPr>
      </w:pPr>
      <w:r>
        <w:rPr>
          <w:rFonts w:hint="eastAsia" w:ascii="宋体" w:hAnsi="宋体" w:cs="宋体"/>
          <w:b/>
          <w:bCs/>
          <w:color w:val="auto"/>
          <w:sz w:val="22"/>
          <w:highlight w:val="none"/>
          <w:lang w:val="en-US" w:eastAsia="zh-CN"/>
        </w:rPr>
        <w:t>注：供应商根据招标文件演示内容及要求自行准备演示视频，演示内容必须为真实软件操作，本次演示共4项，分别是：1）、</w:t>
      </w:r>
      <w:r>
        <w:rPr>
          <w:rFonts w:hint="eastAsia" w:ascii="宋体" w:hAnsi="宋体" w:cs="宋体"/>
          <w:b/>
          <w:bCs/>
          <w:color w:val="auto"/>
          <w:sz w:val="22"/>
          <w:highlight w:val="none"/>
        </w:rPr>
        <w:t>故障设置与检测连接平台</w:t>
      </w:r>
      <w:r>
        <w:rPr>
          <w:rFonts w:hint="eastAsia" w:ascii="宋体" w:hAnsi="宋体" w:cs="宋体"/>
          <w:b/>
          <w:bCs/>
          <w:color w:val="auto"/>
          <w:sz w:val="22"/>
          <w:highlight w:val="none"/>
          <w:lang w:val="en-US" w:eastAsia="zh-CN"/>
        </w:rPr>
        <w:t xml:space="preserve"> ，2）、毫米波雷达便携式实验箱，3）、激光雷达便携式实验箱，4）、车身覆盖件折叠实训系统。</w:t>
      </w:r>
    </w:p>
    <w:p w14:paraId="3216B92B">
      <w:pPr>
        <w:wordWrap w:val="0"/>
        <w:spacing w:line="360" w:lineRule="auto"/>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1</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演示项</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故障设置与检测连接平台</w:t>
      </w:r>
      <w:r>
        <w:rPr>
          <w:rFonts w:hint="eastAsia" w:ascii="宋体" w:hAnsi="宋体" w:cs="宋体"/>
          <w:b/>
          <w:bCs/>
          <w:color w:val="auto"/>
          <w:sz w:val="22"/>
          <w:highlight w:val="none"/>
          <w:lang w:val="en-US" w:eastAsia="zh-CN"/>
        </w:rPr>
        <w:t xml:space="preserve"> </w:t>
      </w:r>
    </w:p>
    <w:p w14:paraId="6B9795FD">
      <w:pPr>
        <w:wordWrap w:val="0"/>
        <w:spacing w:line="360" w:lineRule="auto"/>
        <w:rPr>
          <w:rFonts w:hint="eastAsia" w:ascii="宋体" w:hAnsi="宋体" w:cs="宋体"/>
          <w:b/>
          <w:bCs/>
          <w:color w:val="auto"/>
          <w:sz w:val="22"/>
          <w:highlight w:val="none"/>
          <w:lang w:eastAsia="zh-CN"/>
        </w:rPr>
      </w:pPr>
      <w:r>
        <w:rPr>
          <w:rFonts w:hint="eastAsia" w:ascii="宋体" w:hAnsi="宋体" w:cs="宋体"/>
          <w:b/>
          <w:bCs/>
          <w:color w:val="auto"/>
          <w:sz w:val="22"/>
          <w:highlight w:val="none"/>
        </w:rPr>
        <w:t>具体演示内容要求</w:t>
      </w:r>
      <w:r>
        <w:rPr>
          <w:rFonts w:hint="eastAsia" w:ascii="宋体" w:hAnsi="宋体" w:cs="宋体"/>
          <w:b/>
          <w:bCs/>
          <w:color w:val="auto"/>
          <w:sz w:val="22"/>
          <w:highlight w:val="none"/>
          <w:lang w:eastAsia="zh-CN"/>
        </w:rPr>
        <w:t>：</w:t>
      </w:r>
    </w:p>
    <w:p w14:paraId="75E5CCC0">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平台的主要构成：2.2软件系统：整车控制器VCU、电池管理系统、BMS、前驱动电机控制器（FMCU）、空调控制器（ACB)、电动压缩机（ACC）、电动助力转向（EPS）系统。（此演示项为一个系统，多个系统拼凑不得分)</w:t>
      </w:r>
    </w:p>
    <w:p w14:paraId="1053160F">
      <w:pPr>
        <w:wordWrap w:val="0"/>
        <w:spacing w:line="360" w:lineRule="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功能和特点</w:t>
      </w:r>
      <w:r>
        <w:rPr>
          <w:rFonts w:hint="eastAsia" w:ascii="宋体" w:hAnsi="宋体" w:cs="宋体"/>
          <w:color w:val="auto"/>
          <w:sz w:val="22"/>
          <w:highlight w:val="none"/>
          <w:lang w:eastAsia="zh-CN"/>
        </w:rPr>
        <w:t>：</w:t>
      </w:r>
    </w:p>
    <w:p w14:paraId="5E392AFE">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3.1诊断教学模拟仿真：</w:t>
      </w:r>
    </w:p>
    <w:p w14:paraId="0611D23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电池管理系统：通过数据仿真旋钮可模拟绝缘阻值数据，当绝缘值低于500KΩ时，系统会出现绝缘故障；（此演示项为一个系统，多个系统拼凑不得分);</w:t>
      </w:r>
    </w:p>
    <w:p w14:paraId="67BBD730">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电动助力转向（EPS）：通过数据仿真旋钮可模拟方向盘角度、电机电流、方向盘转速、电机转速数据（此演示项为一个软件系统，多个软件系统拼凑演示不得分)</w:t>
      </w:r>
    </w:p>
    <w:p w14:paraId="7F3B9659">
      <w:pPr>
        <w:wordWrap w:val="0"/>
        <w:spacing w:line="360" w:lineRule="auto"/>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3.5新能源汽车报文教学模拟仿真软件简介：VCU系统、BMS系统、ACB系统(演示时：VCU系统、BMS系统、ACB系统演示应是一个软件系统演示，多个软件系统拼凑演示不得分）</w:t>
      </w:r>
    </w:p>
    <w:p w14:paraId="18F2646B">
      <w:pPr>
        <w:numPr>
          <w:ilvl w:val="0"/>
          <w:numId w:val="0"/>
        </w:numPr>
        <w:wordWrap w:val="0"/>
        <w:spacing w:line="360" w:lineRule="auto"/>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2）、演示项：毫米波雷达便携式实验箱</w:t>
      </w:r>
    </w:p>
    <w:p w14:paraId="18B92A32">
      <w:pPr>
        <w:wordWrap w:val="0"/>
        <w:spacing w:line="360" w:lineRule="auto"/>
        <w:rPr>
          <w:rFonts w:hint="eastAsia" w:ascii="宋体" w:hAnsi="宋体" w:cs="宋体"/>
          <w:b/>
          <w:bCs/>
          <w:color w:val="auto"/>
          <w:sz w:val="22"/>
          <w:highlight w:val="none"/>
          <w:lang w:eastAsia="zh-CN"/>
        </w:rPr>
      </w:pPr>
      <w:r>
        <w:rPr>
          <w:rFonts w:hint="eastAsia" w:ascii="宋体" w:hAnsi="宋体" w:cs="宋体"/>
          <w:b/>
          <w:bCs/>
          <w:color w:val="auto"/>
          <w:sz w:val="22"/>
          <w:highlight w:val="none"/>
        </w:rPr>
        <w:t>具体演示内容要求</w:t>
      </w:r>
      <w:r>
        <w:rPr>
          <w:rFonts w:hint="eastAsia" w:ascii="宋体" w:hAnsi="宋体" w:cs="宋体"/>
          <w:b/>
          <w:bCs/>
          <w:color w:val="auto"/>
          <w:sz w:val="22"/>
          <w:highlight w:val="none"/>
          <w:lang w:eastAsia="zh-CN"/>
        </w:rPr>
        <w:t>：</w:t>
      </w:r>
    </w:p>
    <w:p w14:paraId="6D39A338">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三、设备功能：</w:t>
      </w:r>
    </w:p>
    <w:p w14:paraId="03E5AA93">
      <w:pPr>
        <w:numPr>
          <w:ilvl w:val="0"/>
          <w:numId w:val="0"/>
        </w:numPr>
        <w:wordWrap w:val="0"/>
        <w:spacing w:line="360" w:lineRule="auto"/>
        <w:rPr>
          <w:rFonts w:hint="eastAsia" w:ascii="宋体" w:hAnsi="宋体" w:cs="宋体"/>
          <w:color w:val="auto"/>
          <w:sz w:val="22"/>
          <w:highlight w:val="none"/>
          <w:lang w:val="en-US" w:eastAsia="zh-CN"/>
        </w:rPr>
      </w:pPr>
      <w:r>
        <w:rPr>
          <w:rFonts w:hint="eastAsia" w:ascii="宋体" w:hAnsi="宋体" w:cs="宋体"/>
          <w:color w:val="auto"/>
          <w:sz w:val="22"/>
          <w:highlight w:val="none"/>
        </w:rPr>
        <w:t xml:space="preserve">3、毫米波雷达测调试系统:可以设置毫米波雷在x，y上的坐标值，实现外部参数的标定，显示标定后的毫米波检测图像，修改x，y坐标后可以看到障碍物相对于坐标原点的变化；检测结果可通过ROI区域设置，实现需求区域障碍物检测过滤。   </w:t>
      </w:r>
    </w:p>
    <w:p w14:paraId="573D1A92">
      <w:pPr>
        <w:numPr>
          <w:ilvl w:val="0"/>
          <w:numId w:val="0"/>
        </w:numPr>
        <w:wordWrap w:val="0"/>
        <w:spacing w:line="360" w:lineRule="auto"/>
        <w:ind w:leftChars="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3）、演示项：激光雷达便携式实验箱</w:t>
      </w:r>
    </w:p>
    <w:p w14:paraId="15A756BB">
      <w:pPr>
        <w:wordWrap w:val="0"/>
        <w:spacing w:line="360" w:lineRule="auto"/>
        <w:rPr>
          <w:rFonts w:hint="eastAsia" w:ascii="宋体" w:hAnsi="宋体" w:cs="宋体"/>
          <w:b/>
          <w:bCs/>
          <w:color w:val="auto"/>
          <w:sz w:val="22"/>
          <w:highlight w:val="none"/>
          <w:lang w:eastAsia="zh-CN"/>
        </w:rPr>
      </w:pPr>
      <w:r>
        <w:rPr>
          <w:rFonts w:hint="eastAsia" w:ascii="宋体" w:hAnsi="宋体" w:cs="宋体"/>
          <w:b/>
          <w:bCs/>
          <w:color w:val="auto"/>
          <w:sz w:val="22"/>
          <w:highlight w:val="none"/>
        </w:rPr>
        <w:t>具体演示内容要求</w:t>
      </w:r>
      <w:r>
        <w:rPr>
          <w:rFonts w:hint="eastAsia" w:ascii="宋体" w:hAnsi="宋体" w:cs="宋体"/>
          <w:b/>
          <w:bCs/>
          <w:color w:val="auto"/>
          <w:sz w:val="22"/>
          <w:highlight w:val="none"/>
          <w:lang w:eastAsia="zh-CN"/>
        </w:rPr>
        <w:t>：</w:t>
      </w:r>
    </w:p>
    <w:p w14:paraId="275EFFF6">
      <w:pPr>
        <w:wordWrap w:val="0"/>
        <w:spacing w:line="360" w:lineRule="auto"/>
        <w:rPr>
          <w:rFonts w:hint="eastAsia" w:ascii="宋体" w:hAnsi="宋体" w:cs="宋体"/>
          <w:b w:val="0"/>
          <w:bCs w:val="0"/>
          <w:color w:val="auto"/>
          <w:sz w:val="22"/>
          <w:highlight w:val="none"/>
          <w:lang w:eastAsia="zh-CN"/>
        </w:rPr>
      </w:pPr>
      <w:r>
        <w:rPr>
          <w:rFonts w:hint="eastAsia" w:ascii="宋体" w:hAnsi="宋体" w:cs="宋体"/>
          <w:b w:val="0"/>
          <w:bCs w:val="0"/>
          <w:color w:val="auto"/>
          <w:sz w:val="22"/>
          <w:highlight w:val="none"/>
          <w:lang w:eastAsia="zh-CN"/>
        </w:rPr>
        <w:t>三、激光雷达测调试系统</w:t>
      </w:r>
      <w:r>
        <w:rPr>
          <w:rFonts w:hint="eastAsia" w:ascii="宋体" w:hAnsi="宋体" w:cs="宋体"/>
          <w:b w:val="0"/>
          <w:bCs w:val="0"/>
          <w:color w:val="auto"/>
          <w:sz w:val="22"/>
          <w:highlight w:val="none"/>
          <w:lang w:eastAsia="zh-CN"/>
        </w:rPr>
        <w:br w:type="textWrapping"/>
      </w:r>
      <w:r>
        <w:rPr>
          <w:rFonts w:hint="eastAsia" w:ascii="宋体" w:hAnsi="宋体" w:cs="宋体"/>
          <w:b w:val="0"/>
          <w:bCs w:val="0"/>
          <w:color w:val="auto"/>
          <w:sz w:val="22"/>
          <w:highlight w:val="none"/>
          <w:lang w:eastAsia="zh-CN"/>
        </w:rPr>
        <w:t>5、多种数据源输入，可调用激光雷达实时数据，录制的数据包、仿真实训台输出点云。</w:t>
      </w:r>
    </w:p>
    <w:p w14:paraId="17C2F055">
      <w:pPr>
        <w:numPr>
          <w:ilvl w:val="0"/>
          <w:numId w:val="0"/>
        </w:numPr>
        <w:wordWrap w:val="0"/>
        <w:spacing w:line="360" w:lineRule="auto"/>
        <w:ind w:leftChars="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4）、演示项：车身覆盖件折叠实训系统</w:t>
      </w:r>
    </w:p>
    <w:p w14:paraId="3006270B">
      <w:pPr>
        <w:wordWrap w:val="0"/>
        <w:spacing w:line="360" w:lineRule="auto"/>
        <w:rPr>
          <w:rFonts w:hint="eastAsia" w:ascii="宋体" w:hAnsi="宋体" w:cs="宋体"/>
          <w:b/>
          <w:bCs/>
          <w:color w:val="auto"/>
          <w:sz w:val="22"/>
          <w:highlight w:val="none"/>
          <w:lang w:eastAsia="zh-CN"/>
        </w:rPr>
      </w:pPr>
      <w:r>
        <w:rPr>
          <w:rFonts w:hint="eastAsia" w:ascii="宋体" w:hAnsi="宋体" w:cs="宋体"/>
          <w:b/>
          <w:bCs/>
          <w:color w:val="auto"/>
          <w:sz w:val="22"/>
          <w:highlight w:val="none"/>
        </w:rPr>
        <w:t>具体演示内容要求</w:t>
      </w:r>
      <w:r>
        <w:rPr>
          <w:rFonts w:hint="eastAsia" w:ascii="宋体" w:hAnsi="宋体" w:cs="宋体"/>
          <w:b/>
          <w:bCs/>
          <w:color w:val="auto"/>
          <w:sz w:val="22"/>
          <w:highlight w:val="none"/>
          <w:lang w:eastAsia="zh-CN"/>
        </w:rPr>
        <w:t>：</w:t>
      </w:r>
    </w:p>
    <w:p w14:paraId="1FF49930">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提供 《车门及翼子板修复台架》配套操作视频演示。</w:t>
      </w:r>
    </w:p>
    <w:p w14:paraId="01EAA918">
      <w:pPr>
        <w:spacing w:line="360" w:lineRule="auto"/>
        <w:rPr>
          <w:rFonts w:hint="eastAsia" w:ascii="宋体" w:hAnsi="宋体" w:cs="宋体"/>
          <w:color w:val="auto"/>
          <w:sz w:val="22"/>
          <w:highlight w:val="none"/>
        </w:rPr>
      </w:pPr>
      <w:r>
        <w:rPr>
          <w:rFonts w:hint="eastAsia" w:ascii="宋体" w:hAnsi="宋体" w:cs="宋体"/>
          <w:b/>
          <w:bCs/>
          <w:color w:val="auto"/>
          <w:sz w:val="22"/>
          <w:highlight w:val="none"/>
        </w:rPr>
        <w:t>3.业绩分………………………………………………………………………………………………6分</w:t>
      </w:r>
    </w:p>
    <w:p w14:paraId="22659E04">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评审内容：</w:t>
      </w:r>
    </w:p>
    <w:p w14:paraId="2F6BBDF2">
      <w:pPr>
        <w:spacing w:line="360" w:lineRule="auto"/>
        <w:rPr>
          <w:rFonts w:hint="eastAsia" w:ascii="宋体" w:hAnsi="宋体" w:cs="宋体"/>
          <w:color w:val="auto"/>
          <w:sz w:val="22"/>
          <w:highlight w:val="none"/>
        </w:rPr>
      </w:pPr>
      <w:r>
        <w:rPr>
          <w:rFonts w:hint="eastAsia" w:ascii="宋体" w:hAnsi="宋体" w:cs="宋体"/>
          <w:color w:val="auto"/>
          <w:sz w:val="22"/>
          <w:highlight w:val="none"/>
        </w:rPr>
        <w:t>投标人提供2022年1月1日起至本项目投标截止日（以合同签订时间为准），每具有一个同类项目案例的得2分，最高得6分。</w:t>
      </w:r>
    </w:p>
    <w:p w14:paraId="5362CA20">
      <w:pPr>
        <w:spacing w:line="360" w:lineRule="auto"/>
        <w:rPr>
          <w:rFonts w:hint="eastAsia" w:ascii="仿宋" w:hAnsi="仿宋" w:eastAsia="仿宋"/>
          <w:color w:val="auto"/>
          <w:szCs w:val="21"/>
          <w:highlight w:val="none"/>
        </w:rPr>
      </w:pPr>
      <w:r>
        <w:rPr>
          <w:rFonts w:hint="eastAsia" w:ascii="宋体" w:hAnsi="宋体" w:cs="宋体"/>
          <w:b/>
          <w:bCs/>
          <w:color w:val="auto"/>
          <w:sz w:val="24"/>
          <w:highlight w:val="none"/>
        </w:rPr>
        <w:t>评分标准：</w:t>
      </w:r>
      <w:r>
        <w:rPr>
          <w:rFonts w:hint="eastAsia" w:ascii="宋体" w:hAnsi="宋体" w:cs="宋体"/>
          <w:color w:val="auto"/>
          <w:sz w:val="22"/>
          <w:highlight w:val="none"/>
        </w:rPr>
        <w:t>要求提供中标通知书、合同关键页及验收报告（验收报告原件扫描件内容必须盖有验收单位公章）作为得分依据，以上资料均要求提供扫描件。评分中出现无证明资料或专家无法凭所提供资料判断是否得分的情况，一律作不得分处理。</w:t>
      </w:r>
    </w:p>
    <w:bookmarkEnd w:id="19"/>
    <w:p w14:paraId="0FF105F8">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4.综合得分＝1+2+3</w:t>
      </w:r>
    </w:p>
    <w:p w14:paraId="2C7EB47E">
      <w:pPr>
        <w:pStyle w:val="6"/>
        <w:tabs>
          <w:tab w:val="left" w:pos="4214"/>
        </w:tabs>
        <w:spacing w:line="400" w:lineRule="exact"/>
        <w:rPr>
          <w:rFonts w:hint="eastAsia" w:hAnsi="宋体" w:cs="宋体"/>
          <w:color w:val="auto"/>
          <w:sz w:val="22"/>
          <w:szCs w:val="24"/>
          <w:highlight w:val="none"/>
        </w:rPr>
      </w:pPr>
      <w:r>
        <w:rPr>
          <w:rFonts w:hint="eastAsia" w:hAnsi="宋体" w:cs="宋体"/>
          <w:color w:val="auto"/>
          <w:sz w:val="22"/>
          <w:szCs w:val="24"/>
          <w:highlight w:val="none"/>
        </w:rPr>
        <w:t>三、推荐及确定中标候选人原则</w:t>
      </w:r>
    </w:p>
    <w:p w14:paraId="13DEFE7F">
      <w:pPr>
        <w:pStyle w:val="6"/>
        <w:tabs>
          <w:tab w:val="left" w:pos="4214"/>
        </w:tabs>
        <w:spacing w:line="400" w:lineRule="exact"/>
        <w:ind w:firstLine="440" w:firstLineChars="200"/>
        <w:rPr>
          <w:rFonts w:hint="eastAsia" w:hAnsi="宋体" w:cs="宋体"/>
          <w:color w:val="auto"/>
          <w:sz w:val="22"/>
          <w:szCs w:val="24"/>
          <w:highlight w:val="none"/>
        </w:rPr>
      </w:pPr>
      <w:r>
        <w:rPr>
          <w:rFonts w:hint="eastAsia" w:hAnsi="宋体" w:cs="宋体"/>
          <w:color w:val="auto"/>
          <w:sz w:val="22"/>
          <w:szCs w:val="24"/>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6CD614DE">
      <w:pPr>
        <w:pStyle w:val="6"/>
        <w:tabs>
          <w:tab w:val="left" w:pos="4214"/>
        </w:tabs>
        <w:spacing w:line="400" w:lineRule="exact"/>
        <w:ind w:firstLine="440" w:firstLineChars="200"/>
        <w:rPr>
          <w:rFonts w:hint="eastAsia" w:hAnsi="宋体" w:cs="宋体"/>
          <w:color w:val="auto"/>
          <w:sz w:val="22"/>
          <w:szCs w:val="24"/>
          <w:highlight w:val="none"/>
        </w:rPr>
      </w:pPr>
      <w:r>
        <w:rPr>
          <w:rFonts w:hint="eastAsia" w:hAnsi="宋体" w:cs="宋体"/>
          <w:color w:val="auto"/>
          <w:sz w:val="22"/>
          <w:szCs w:val="24"/>
          <w:highlight w:val="none"/>
        </w:rPr>
        <w:t>2.采购人应当自收到评标报告之日起5个工作日内，在评标报告确定的中标候选人名单中按顺序确定中标人。中标候选人并列的，采购人按以下的方式确定中标人：依次按货物基本分高的优先、</w:t>
      </w:r>
      <w:r>
        <w:rPr>
          <w:rFonts w:hint="eastAsia" w:hAnsi="宋体" w:cs="宋体"/>
          <w:color w:val="auto"/>
          <w:sz w:val="22"/>
          <w:highlight w:val="none"/>
        </w:rPr>
        <w:t>技术保障措施</w:t>
      </w:r>
      <w:r>
        <w:rPr>
          <w:rFonts w:hint="eastAsia" w:hAnsi="宋体" w:cs="宋体"/>
          <w:color w:val="auto"/>
          <w:sz w:val="22"/>
          <w:szCs w:val="24"/>
          <w:highlight w:val="none"/>
        </w:rPr>
        <w:t>分高的优先、售后服务分高的优先、演示分高的优先顺序确定中标人。</w:t>
      </w:r>
    </w:p>
    <w:p w14:paraId="6BEB7478">
      <w:pPr>
        <w:pStyle w:val="6"/>
        <w:tabs>
          <w:tab w:val="left" w:pos="4214"/>
        </w:tabs>
        <w:spacing w:line="400" w:lineRule="exact"/>
        <w:ind w:firstLine="440" w:firstLineChars="200"/>
        <w:rPr>
          <w:rFonts w:hint="eastAsia" w:hAnsi="宋体" w:cs="宋体"/>
          <w:color w:val="auto"/>
          <w:sz w:val="22"/>
          <w:szCs w:val="24"/>
          <w:highlight w:val="none"/>
        </w:rPr>
      </w:pPr>
      <w:r>
        <w:rPr>
          <w:rFonts w:hint="eastAsia" w:hAnsi="宋体" w:cs="宋体"/>
          <w:color w:val="auto"/>
          <w:sz w:val="22"/>
          <w:szCs w:val="24"/>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42E0081E">
      <w:pPr>
        <w:pStyle w:val="2"/>
        <w:jc w:val="center"/>
        <w:rPr>
          <w:rFonts w:hint="eastAsia" w:ascii="仿宋" w:hAnsi="仿宋" w:eastAsia="仿宋" w:cs="仿宋"/>
          <w:color w:val="auto"/>
          <w:sz w:val="22"/>
          <w:szCs w:val="22"/>
          <w:highlight w:val="none"/>
        </w:rPr>
      </w:pPr>
      <w:bookmarkStart w:id="22" w:name="_Toc146525434"/>
    </w:p>
    <w:p w14:paraId="27A44FBA">
      <w:pPr>
        <w:pStyle w:val="2"/>
        <w:jc w:val="center"/>
        <w:rPr>
          <w:rFonts w:hint="eastAsia" w:ascii="仿宋" w:hAnsi="仿宋" w:eastAsia="仿宋" w:cs="仿宋"/>
          <w:color w:val="auto"/>
          <w:highlight w:val="none"/>
        </w:rPr>
      </w:pPr>
    </w:p>
    <w:p w14:paraId="65934A77">
      <w:pPr>
        <w:pStyle w:val="2"/>
        <w:jc w:val="center"/>
        <w:rPr>
          <w:rFonts w:hint="eastAsia" w:ascii="仿宋" w:hAnsi="仿宋" w:eastAsia="仿宋" w:cs="仿宋"/>
          <w:color w:val="auto"/>
          <w:highlight w:val="none"/>
        </w:rPr>
      </w:pPr>
    </w:p>
    <w:p w14:paraId="5E9CA466">
      <w:pPr>
        <w:pStyle w:val="2"/>
        <w:jc w:val="center"/>
        <w:rPr>
          <w:rFonts w:hint="eastAsia" w:ascii="仿宋" w:hAnsi="仿宋" w:eastAsia="仿宋" w:cs="仿宋"/>
          <w:color w:val="auto"/>
          <w:highlight w:val="none"/>
        </w:rPr>
      </w:pPr>
    </w:p>
    <w:p w14:paraId="3A5BCFD8">
      <w:pPr>
        <w:pStyle w:val="2"/>
        <w:jc w:val="center"/>
        <w:rPr>
          <w:rFonts w:hint="eastAsia" w:ascii="仿宋" w:hAnsi="仿宋" w:eastAsia="仿宋" w:cs="仿宋"/>
          <w:color w:val="auto"/>
          <w:highlight w:val="none"/>
        </w:rPr>
      </w:pPr>
    </w:p>
    <w:p w14:paraId="6F4175CC">
      <w:pPr>
        <w:pStyle w:val="2"/>
        <w:jc w:val="center"/>
        <w:rPr>
          <w:rFonts w:hint="eastAsia" w:ascii="仿宋" w:hAnsi="仿宋" w:eastAsia="仿宋" w:cs="仿宋"/>
          <w:color w:val="auto"/>
          <w:highlight w:val="none"/>
        </w:rPr>
      </w:pPr>
    </w:p>
    <w:p w14:paraId="3D50F544">
      <w:pPr>
        <w:rPr>
          <w:rFonts w:hint="eastAsia" w:ascii="仿宋" w:hAnsi="仿宋" w:eastAsia="仿宋" w:cs="仿宋"/>
          <w:color w:val="auto"/>
          <w:highlight w:val="none"/>
        </w:rPr>
      </w:pPr>
    </w:p>
    <w:p w14:paraId="65DE09BE">
      <w:pPr>
        <w:rPr>
          <w:rFonts w:hint="eastAsia" w:ascii="仿宋" w:hAnsi="仿宋" w:eastAsia="仿宋" w:cs="仿宋"/>
          <w:color w:val="auto"/>
          <w:highlight w:val="none"/>
        </w:rPr>
      </w:pPr>
    </w:p>
    <w:p w14:paraId="1228A846">
      <w:pPr>
        <w:rPr>
          <w:rFonts w:hint="eastAsia" w:ascii="仿宋" w:hAnsi="仿宋" w:eastAsia="仿宋" w:cs="仿宋"/>
          <w:color w:val="auto"/>
          <w:highlight w:val="none"/>
        </w:rPr>
      </w:pPr>
    </w:p>
    <w:p w14:paraId="3CCC4EA3">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23" w:name="_Toc153888703"/>
      <w:r>
        <w:rPr>
          <w:rFonts w:hint="eastAsia" w:ascii="仿宋" w:hAnsi="仿宋" w:eastAsia="仿宋" w:cs="仿宋"/>
          <w:color w:val="auto"/>
          <w:highlight w:val="none"/>
        </w:rPr>
        <w:t xml:space="preserve">第五章  </w:t>
      </w:r>
      <w:bookmarkEnd w:id="22"/>
      <w:bookmarkEnd w:id="23"/>
      <w:r>
        <w:rPr>
          <w:rFonts w:hint="eastAsia" w:ascii="仿宋" w:hAnsi="仿宋" w:eastAsia="仿宋" w:cs="仿宋"/>
          <w:color w:val="auto"/>
          <w:highlight w:val="none"/>
        </w:rPr>
        <w:t>合同格式</w:t>
      </w:r>
    </w:p>
    <w:p w14:paraId="04F18874">
      <w:pPr>
        <w:pStyle w:val="6"/>
        <w:rPr>
          <w:rFonts w:hint="eastAsia" w:ascii="仿宋" w:hAnsi="仿宋" w:eastAsia="仿宋" w:cs="仿宋"/>
          <w:color w:val="auto"/>
          <w:highlight w:val="none"/>
        </w:rPr>
      </w:pPr>
    </w:p>
    <w:p w14:paraId="410C7753">
      <w:pPr>
        <w:jc w:val="center"/>
        <w:rPr>
          <w:color w:val="auto"/>
          <w:highlight w:val="none"/>
        </w:rPr>
      </w:pPr>
      <w:bookmarkStart w:id="24" w:name="_Hlk72260917"/>
      <w:r>
        <w:rPr>
          <w:color w:val="auto"/>
          <w:highlight w:val="none"/>
        </w:rPr>
        <w:t>有专业类别的格式合同范本请选择相应的合同</w:t>
      </w:r>
    </w:p>
    <w:p w14:paraId="164A72F0">
      <w:pPr>
        <w:jc w:val="center"/>
        <w:rPr>
          <w:color w:val="auto"/>
          <w:highlight w:val="none"/>
        </w:rPr>
      </w:pPr>
      <w:r>
        <w:rPr>
          <w:color w:val="auto"/>
          <w:highlight w:val="none"/>
        </w:rPr>
        <w:t>（仅供参考）</w:t>
      </w:r>
    </w:p>
    <w:bookmarkEnd w:id="24"/>
    <w:p w14:paraId="4128151D">
      <w:pPr>
        <w:jc w:val="left"/>
        <w:rPr>
          <w:rFonts w:ascii="Calibri" w:hAnsi="Calibri"/>
          <w:color w:val="auto"/>
          <w:szCs w:val="21"/>
          <w:highlight w:val="none"/>
        </w:rPr>
      </w:pPr>
      <w:r>
        <w:rPr>
          <w:rFonts w:ascii="Calibri" w:hAnsi="Calibri"/>
          <w:color w:val="auto"/>
          <w:szCs w:val="21"/>
          <w:highlight w:val="none"/>
        </w:rPr>
        <w:t>采购人：</w:t>
      </w:r>
      <w:r>
        <w:rPr>
          <w:rFonts w:ascii="Calibri" w:hAnsi="Calibri"/>
          <w:color w:val="auto"/>
          <w:szCs w:val="21"/>
          <w:highlight w:val="none"/>
          <w:u w:val="single"/>
        </w:rPr>
        <w:t xml:space="preserve">           </w:t>
      </w:r>
    </w:p>
    <w:p w14:paraId="39BECEA8">
      <w:pPr>
        <w:jc w:val="left"/>
        <w:rPr>
          <w:rFonts w:ascii="Calibri" w:hAnsi="Calibri"/>
          <w:color w:val="auto"/>
          <w:szCs w:val="21"/>
          <w:highlight w:val="none"/>
        </w:rPr>
      </w:pPr>
      <w:r>
        <w:rPr>
          <w:rFonts w:ascii="Calibri" w:hAnsi="Calibri"/>
          <w:color w:val="auto"/>
          <w:szCs w:val="21"/>
          <w:highlight w:val="none"/>
        </w:rPr>
        <w:t>供应商：</w:t>
      </w:r>
      <w:r>
        <w:rPr>
          <w:rFonts w:ascii="Calibri" w:hAnsi="Calibri"/>
          <w:color w:val="auto"/>
          <w:szCs w:val="21"/>
          <w:highlight w:val="none"/>
          <w:u w:val="single"/>
        </w:rPr>
        <w:t xml:space="preserve">           </w:t>
      </w:r>
    </w:p>
    <w:p w14:paraId="680AC3B1">
      <w:pPr>
        <w:ind w:firstLine="560"/>
        <w:jc w:val="left"/>
        <w:rPr>
          <w:rFonts w:hint="eastAsia" w:ascii="宋体" w:hAnsi="宋体" w:cs="宋体"/>
          <w:color w:val="auto"/>
          <w:sz w:val="22"/>
          <w:highlight w:val="none"/>
        </w:rPr>
      </w:pPr>
      <w:r>
        <w:rPr>
          <w:rFonts w:hint="eastAsia" w:ascii="宋体" w:hAnsi="宋体" w:cs="宋体"/>
          <w:color w:val="auto"/>
          <w:sz w:val="22"/>
          <w:highlight w:val="none"/>
        </w:rPr>
        <w:t>根据招标代理有限公司组织的        项目（项目编号：        ）的投标结果，由       单位为中标方。按照《中华人民共和国民法典》和《政府采购法》、《政府采购法实施条例》，经           （以下简称甲方）和           单位（以下简称乙方）协商，达成以下合同条款：</w:t>
      </w:r>
    </w:p>
    <w:p w14:paraId="00025424">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第一条  合同标的</w:t>
      </w:r>
    </w:p>
    <w:p w14:paraId="74629FB3">
      <w:pPr>
        <w:ind w:firstLine="560"/>
        <w:jc w:val="left"/>
        <w:rPr>
          <w:rFonts w:hint="eastAsia" w:ascii="宋体" w:hAnsi="宋体" w:cs="宋体"/>
          <w:color w:val="auto"/>
          <w:sz w:val="22"/>
          <w:highlight w:val="none"/>
        </w:rPr>
      </w:pPr>
      <w:r>
        <w:rPr>
          <w:rFonts w:hint="eastAsia" w:ascii="宋体" w:hAnsi="宋体" w:cs="宋体"/>
          <w:color w:val="auto"/>
          <w:sz w:val="22"/>
          <w:highlight w:val="none"/>
        </w:rPr>
        <w:t>乙方根据甲方需求提供下列货物：</w:t>
      </w:r>
    </w:p>
    <w:p w14:paraId="06957FD5">
      <w:pPr>
        <w:ind w:firstLine="560"/>
        <w:jc w:val="left"/>
        <w:rPr>
          <w:rFonts w:hint="eastAsia" w:ascii="宋体" w:hAnsi="宋体" w:cs="宋体"/>
          <w:color w:val="auto"/>
          <w:sz w:val="22"/>
          <w:highlight w:val="none"/>
        </w:rPr>
      </w:pPr>
      <w:r>
        <w:rPr>
          <w:rFonts w:hint="eastAsia" w:ascii="宋体" w:hAnsi="宋体" w:cs="宋体"/>
          <w:color w:val="auto"/>
          <w:sz w:val="22"/>
          <w:highlight w:val="none"/>
        </w:rPr>
        <w:t>货物名称、规格及数量详见                  。</w:t>
      </w:r>
    </w:p>
    <w:p w14:paraId="3055BBB6">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第二条  合同价款</w:t>
      </w:r>
    </w:p>
    <w:p w14:paraId="640F0AD5">
      <w:pPr>
        <w:ind w:firstLine="560"/>
        <w:jc w:val="left"/>
        <w:rPr>
          <w:rFonts w:hint="eastAsia" w:ascii="宋体" w:hAnsi="宋体" w:cs="宋体"/>
          <w:color w:val="auto"/>
          <w:sz w:val="22"/>
          <w:highlight w:val="none"/>
        </w:rPr>
      </w:pPr>
      <w:r>
        <w:rPr>
          <w:rFonts w:hint="eastAsia" w:ascii="宋体" w:hAnsi="宋体" w:cs="宋体"/>
          <w:color w:val="auto"/>
          <w:sz w:val="22"/>
          <w:highlight w:val="none"/>
        </w:rPr>
        <w:t>本合同项下总价款为              （大写）人民币，分项价款详见          。本合同总价款已包括乙方为履行本合同义务所发生的一切费用，系固定不变价格，且不随通货膨胀的影响而波动。</w:t>
      </w:r>
    </w:p>
    <w:p w14:paraId="301F85CA">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第三条  权利保证</w:t>
      </w:r>
    </w:p>
    <w:p w14:paraId="445C6C40">
      <w:pPr>
        <w:ind w:firstLine="560"/>
        <w:jc w:val="left"/>
        <w:rPr>
          <w:rFonts w:hint="eastAsia" w:ascii="宋体" w:hAnsi="宋体" w:cs="宋体"/>
          <w:color w:val="auto"/>
          <w:sz w:val="22"/>
          <w:highlight w:val="none"/>
        </w:rPr>
      </w:pPr>
      <w:r>
        <w:rPr>
          <w:rFonts w:hint="eastAsia" w:ascii="宋体" w:hAnsi="宋体" w:cs="宋体"/>
          <w:color w:val="auto"/>
          <w:sz w:val="22"/>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8B1B33C">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第四条  质量保证</w:t>
      </w:r>
    </w:p>
    <w:p w14:paraId="4435D26C">
      <w:pPr>
        <w:ind w:firstLine="560"/>
        <w:jc w:val="left"/>
        <w:rPr>
          <w:rFonts w:hint="eastAsia" w:ascii="宋体" w:hAnsi="宋体" w:cs="宋体"/>
          <w:color w:val="auto"/>
          <w:sz w:val="22"/>
          <w:highlight w:val="none"/>
        </w:rPr>
      </w:pPr>
      <w:r>
        <w:rPr>
          <w:rFonts w:hint="eastAsia" w:ascii="宋体" w:hAnsi="宋体" w:cs="宋体"/>
          <w:color w:val="auto"/>
          <w:sz w:val="22"/>
          <w:highlight w:val="none"/>
        </w:rPr>
        <w:t>1、乙方所提供的货物的技术规格符合采购文件规定的技术规格，货物符合中华人民共和国的设计和制造生产标准或行业标准。</w:t>
      </w:r>
    </w:p>
    <w:p w14:paraId="5FD659F7">
      <w:pPr>
        <w:ind w:firstLine="560"/>
        <w:jc w:val="left"/>
        <w:rPr>
          <w:rFonts w:hint="eastAsia" w:ascii="宋体" w:hAnsi="宋体" w:cs="宋体"/>
          <w:color w:val="auto"/>
          <w:sz w:val="22"/>
          <w:highlight w:val="none"/>
        </w:rPr>
      </w:pPr>
      <w:r>
        <w:rPr>
          <w:rFonts w:hint="eastAsia" w:ascii="宋体" w:hAnsi="宋体" w:cs="宋体"/>
          <w:color w:val="auto"/>
          <w:sz w:val="22"/>
          <w:highlight w:val="none"/>
        </w:rPr>
        <w:t>2、乙方应保证货物是全新、未使用过的原装合格正品（包括零部件），并完全符合甲方要求的质量、规格和性能的要求。如货物安装或配置了软件的，乙方保证相关软件均为正版软件。</w:t>
      </w:r>
    </w:p>
    <w:p w14:paraId="3D4645AD">
      <w:pPr>
        <w:ind w:firstLine="560"/>
        <w:jc w:val="left"/>
        <w:rPr>
          <w:rFonts w:hint="eastAsia" w:ascii="宋体" w:hAnsi="宋体" w:cs="宋体"/>
          <w:color w:val="auto"/>
          <w:sz w:val="22"/>
          <w:highlight w:val="none"/>
        </w:rPr>
      </w:pPr>
      <w:r>
        <w:rPr>
          <w:rFonts w:hint="eastAsia" w:ascii="宋体" w:hAnsi="宋体" w:cs="宋体"/>
          <w:color w:val="auto"/>
          <w:sz w:val="22"/>
          <w:highlight w:val="none"/>
        </w:rPr>
        <w:t>3、乙方保证交货时一并提供货物的质量合格凭证或文件。</w:t>
      </w:r>
    </w:p>
    <w:p w14:paraId="4BEBDBBB">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第五条  交货和验收</w:t>
      </w:r>
    </w:p>
    <w:p w14:paraId="325985A0">
      <w:pPr>
        <w:ind w:firstLine="560"/>
        <w:jc w:val="left"/>
        <w:rPr>
          <w:rFonts w:hint="eastAsia" w:ascii="宋体" w:hAnsi="宋体" w:cs="宋体"/>
          <w:color w:val="auto"/>
          <w:sz w:val="22"/>
          <w:highlight w:val="none"/>
        </w:rPr>
      </w:pPr>
      <w:r>
        <w:rPr>
          <w:rFonts w:hint="eastAsia" w:ascii="宋体" w:hAnsi="宋体" w:cs="宋体"/>
          <w:color w:val="auto"/>
          <w:sz w:val="22"/>
          <w:highlight w:val="none"/>
        </w:rPr>
        <w:t>1、乙方应按照本合同或招投标文件规定的时间和方式向甲方交付货物，交货地点由甲方指定。因交货产生的费用由乙方自行承担。</w:t>
      </w:r>
    </w:p>
    <w:p w14:paraId="2F682C29">
      <w:pPr>
        <w:ind w:firstLine="560"/>
        <w:jc w:val="left"/>
        <w:rPr>
          <w:rFonts w:hint="eastAsia" w:ascii="宋体" w:hAnsi="宋体" w:cs="宋体"/>
          <w:color w:val="auto"/>
          <w:sz w:val="22"/>
          <w:highlight w:val="none"/>
        </w:rPr>
      </w:pPr>
      <w:r>
        <w:rPr>
          <w:rFonts w:hint="eastAsia" w:ascii="宋体" w:hAnsi="宋体" w:cs="宋体"/>
          <w:color w:val="auto"/>
          <w:sz w:val="22"/>
          <w:highlight w:val="none"/>
        </w:rPr>
        <w:t>2、乙方交付的货物应当完全符合招投标文件所规定的货物、数量、质量和规格要求。乙方提供的货物不符合招投标文件和合同规定的，甲方有权拒收货物，由此引起的风险，由乙方承担。</w:t>
      </w:r>
    </w:p>
    <w:p w14:paraId="4A72DCFD">
      <w:pPr>
        <w:ind w:firstLine="560"/>
        <w:jc w:val="left"/>
        <w:rPr>
          <w:rFonts w:hint="eastAsia" w:ascii="宋体" w:hAnsi="宋体" w:cs="宋体"/>
          <w:color w:val="auto"/>
          <w:sz w:val="22"/>
          <w:highlight w:val="none"/>
        </w:rPr>
      </w:pPr>
      <w:r>
        <w:rPr>
          <w:rFonts w:hint="eastAsia" w:ascii="宋体" w:hAnsi="宋体" w:cs="宋体"/>
          <w:color w:val="auto"/>
          <w:sz w:val="22"/>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3394A350">
      <w:pPr>
        <w:ind w:firstLine="560"/>
        <w:jc w:val="left"/>
        <w:rPr>
          <w:rFonts w:hint="eastAsia" w:ascii="宋体" w:hAnsi="宋体" w:cs="宋体"/>
          <w:color w:val="auto"/>
          <w:sz w:val="22"/>
          <w:highlight w:val="none"/>
        </w:rPr>
      </w:pPr>
      <w:r>
        <w:rPr>
          <w:rFonts w:hint="eastAsia" w:ascii="宋体" w:hAnsi="宋体" w:cs="宋体"/>
          <w:color w:val="auto"/>
          <w:sz w:val="22"/>
          <w:highlight w:val="none"/>
        </w:rPr>
        <w:t>4、甲方应当在到货后的       个工作日内对货物进行验收；需要乙方对货物或系统进行安装调试的，甲方应在货物安装调试完毕后的        个工作日内进行质量验收。</w:t>
      </w:r>
    </w:p>
    <w:p w14:paraId="6849FFE3">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第六条  保修及其他服务</w:t>
      </w:r>
    </w:p>
    <w:p w14:paraId="79EAA0C5">
      <w:pPr>
        <w:ind w:firstLine="560"/>
        <w:jc w:val="left"/>
        <w:rPr>
          <w:rFonts w:hint="eastAsia" w:ascii="宋体" w:hAnsi="宋体" w:cs="宋体"/>
          <w:color w:val="auto"/>
          <w:sz w:val="22"/>
          <w:highlight w:val="none"/>
        </w:rPr>
      </w:pPr>
      <w:r>
        <w:rPr>
          <w:rFonts w:hint="eastAsia" w:ascii="宋体" w:hAnsi="宋体" w:cs="宋体"/>
          <w:color w:val="auto"/>
          <w:sz w:val="22"/>
          <w:highlight w:val="none"/>
        </w:rPr>
        <w:t>1、乙方应按照国家有关法律法规规章和“三包”规定和采购文件的要求及乙方在投标文件中的相关承诺提供保修及其他服务。</w:t>
      </w:r>
    </w:p>
    <w:p w14:paraId="3926A8B1">
      <w:pPr>
        <w:ind w:firstLine="560"/>
        <w:jc w:val="left"/>
        <w:rPr>
          <w:rFonts w:hint="eastAsia" w:ascii="宋体" w:hAnsi="宋体" w:cs="宋体"/>
          <w:color w:val="auto"/>
          <w:sz w:val="22"/>
          <w:highlight w:val="none"/>
        </w:rPr>
      </w:pPr>
      <w:r>
        <w:rPr>
          <w:rFonts w:hint="eastAsia" w:ascii="宋体" w:hAnsi="宋体" w:cs="宋体"/>
          <w:color w:val="auto"/>
          <w:sz w:val="22"/>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B226359">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第七条  履约保证金</w:t>
      </w:r>
    </w:p>
    <w:p w14:paraId="114A0708">
      <w:pPr>
        <w:ind w:firstLine="560"/>
        <w:jc w:val="left"/>
        <w:rPr>
          <w:rFonts w:hint="eastAsia" w:ascii="宋体" w:hAnsi="宋体" w:cs="宋体"/>
          <w:color w:val="auto"/>
          <w:sz w:val="22"/>
          <w:highlight w:val="none"/>
        </w:rPr>
      </w:pPr>
      <w:r>
        <w:rPr>
          <w:rFonts w:hint="eastAsia" w:ascii="宋体" w:hAnsi="宋体" w:cs="宋体"/>
          <w:color w:val="auto"/>
          <w:sz w:val="22"/>
          <w:highlight w:val="none"/>
        </w:rPr>
        <w:t>1、乙方应在签订本合同之日，向甲方或甲方指定的机构提交履约保证金_________元。</w:t>
      </w:r>
    </w:p>
    <w:p w14:paraId="5FFC6C23">
      <w:pPr>
        <w:ind w:firstLine="560"/>
        <w:jc w:val="left"/>
        <w:rPr>
          <w:rFonts w:hint="eastAsia" w:ascii="宋体" w:hAnsi="宋体" w:cs="宋体"/>
          <w:color w:val="auto"/>
          <w:sz w:val="22"/>
          <w:highlight w:val="none"/>
        </w:rPr>
      </w:pPr>
      <w:r>
        <w:rPr>
          <w:rFonts w:hint="eastAsia" w:ascii="宋体" w:hAnsi="宋体" w:cs="宋体"/>
          <w:color w:val="auto"/>
          <w:sz w:val="22"/>
          <w:highlight w:val="none"/>
        </w:rPr>
        <w:t>2、如乙方未能履行合同规定的义务，甲方有权从履约保证金中取得补偿。</w:t>
      </w:r>
    </w:p>
    <w:p w14:paraId="71CD5753">
      <w:pPr>
        <w:ind w:firstLine="560"/>
        <w:jc w:val="left"/>
        <w:rPr>
          <w:rFonts w:hint="eastAsia" w:ascii="宋体" w:hAnsi="宋体" w:cs="宋体"/>
          <w:color w:val="auto"/>
          <w:sz w:val="22"/>
          <w:highlight w:val="none"/>
        </w:rPr>
      </w:pPr>
      <w:r>
        <w:rPr>
          <w:rFonts w:hint="eastAsia" w:ascii="宋体" w:hAnsi="宋体" w:cs="宋体"/>
          <w:color w:val="auto"/>
          <w:sz w:val="22"/>
          <w:highlight w:val="none"/>
        </w:rPr>
        <w:t>3、甲方在乙方履行完毕本合同项下全部义务后______天内无息退还乙方。</w:t>
      </w:r>
    </w:p>
    <w:p w14:paraId="6D9BF878">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第八条   货款支付</w:t>
      </w:r>
    </w:p>
    <w:p w14:paraId="13981466">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第九条   违约责任</w:t>
      </w:r>
    </w:p>
    <w:p w14:paraId="4C5349D2">
      <w:pPr>
        <w:ind w:firstLine="560"/>
        <w:jc w:val="left"/>
        <w:rPr>
          <w:rFonts w:hint="eastAsia" w:ascii="宋体" w:hAnsi="宋体" w:cs="宋体"/>
          <w:color w:val="auto"/>
          <w:sz w:val="22"/>
          <w:highlight w:val="none"/>
        </w:rPr>
      </w:pPr>
      <w:r>
        <w:rPr>
          <w:rFonts w:hint="eastAsia" w:ascii="宋体" w:hAnsi="宋体" w:cs="宋体"/>
          <w:color w:val="auto"/>
          <w:sz w:val="22"/>
          <w:highlight w:val="none"/>
        </w:rPr>
        <w:t>１、甲方无正当理由拒收货物、拒付货物款的，由甲方向乙方偿付合同总价的【】%违约金。</w:t>
      </w:r>
    </w:p>
    <w:p w14:paraId="3243E30B">
      <w:pPr>
        <w:ind w:firstLine="560"/>
        <w:jc w:val="left"/>
        <w:rPr>
          <w:rFonts w:hint="eastAsia" w:ascii="宋体" w:hAnsi="宋体" w:cs="宋体"/>
          <w:color w:val="auto"/>
          <w:sz w:val="22"/>
          <w:highlight w:val="none"/>
        </w:rPr>
      </w:pPr>
      <w:r>
        <w:rPr>
          <w:rFonts w:hint="eastAsia" w:ascii="宋体" w:hAnsi="宋体" w:cs="宋体"/>
          <w:color w:val="auto"/>
          <w:sz w:val="22"/>
          <w:highlight w:val="none"/>
        </w:rPr>
        <w:t>２、甲方未按合同规定的期限向乙方支付货款的，每逾期1天甲方向乙方偿付欠款总额的【】‰滞纳金，但累计滞纳金总额不超过欠款总额的【】% 。</w:t>
      </w:r>
    </w:p>
    <w:p w14:paraId="7169EA18">
      <w:pPr>
        <w:ind w:firstLine="560"/>
        <w:jc w:val="left"/>
        <w:rPr>
          <w:rFonts w:hint="eastAsia" w:ascii="宋体" w:hAnsi="宋体" w:cs="宋体"/>
          <w:color w:val="auto"/>
          <w:sz w:val="22"/>
          <w:highlight w:val="none"/>
        </w:rPr>
      </w:pPr>
      <w:r>
        <w:rPr>
          <w:rFonts w:hint="eastAsia" w:ascii="宋体" w:hAnsi="宋体" w:cs="宋体"/>
          <w:color w:val="auto"/>
          <w:sz w:val="22"/>
          <w:highlight w:val="none"/>
        </w:rPr>
        <w:t>３、乙方逾期交付货物的，每逾期1天，乙方向甲方偿付逾期交货部分货款总额的【】‰的滞纳金。如乙方逾期交货达    天，甲方有权解除合同，履约保证金不予退回，同时乙方应向甲方支付合同总价【】％的违约金。</w:t>
      </w:r>
    </w:p>
    <w:p w14:paraId="07469767">
      <w:pPr>
        <w:ind w:firstLine="560"/>
        <w:jc w:val="left"/>
        <w:rPr>
          <w:rFonts w:hint="eastAsia" w:ascii="宋体" w:hAnsi="宋体" w:cs="宋体"/>
          <w:color w:val="auto"/>
          <w:sz w:val="22"/>
          <w:highlight w:val="none"/>
        </w:rPr>
      </w:pPr>
      <w:r>
        <w:rPr>
          <w:rFonts w:hint="eastAsia" w:ascii="宋体" w:hAnsi="宋体" w:cs="宋体"/>
          <w:color w:val="auto"/>
          <w:sz w:val="22"/>
          <w:highlight w:val="none"/>
        </w:rPr>
        <w:t>4、乙方所交付的货物品种、型号、规格不符合合同规定的，甲方有权拒收。甲方拒收的，乙方应向甲方支付货款总额【】%的违约金。</w:t>
      </w:r>
    </w:p>
    <w:p w14:paraId="3A2B077C">
      <w:pPr>
        <w:ind w:firstLine="560"/>
        <w:jc w:val="left"/>
        <w:rPr>
          <w:rFonts w:hint="eastAsia" w:ascii="宋体" w:hAnsi="宋体" w:cs="宋体"/>
          <w:color w:val="auto"/>
          <w:sz w:val="22"/>
          <w:highlight w:val="none"/>
        </w:rPr>
      </w:pPr>
      <w:r>
        <w:rPr>
          <w:rFonts w:hint="eastAsia" w:ascii="宋体" w:hAnsi="宋体" w:cs="宋体"/>
          <w:color w:val="auto"/>
          <w:sz w:val="22"/>
          <w:highlight w:val="none"/>
        </w:rPr>
        <w:t>5、在乙方承诺的或国家规定的质量保证期内（取两者中最长的期限），如经乙方两次维修或更换，货物仍不能达到合同约定的质量标准，甲方有权退货，乙方应退回全部货款并赔偿甲方因此遭受的损失。</w:t>
      </w:r>
    </w:p>
    <w:p w14:paraId="1FCAFB50">
      <w:pPr>
        <w:ind w:firstLine="560"/>
        <w:jc w:val="left"/>
        <w:rPr>
          <w:rFonts w:hint="eastAsia" w:ascii="宋体" w:hAnsi="宋体" w:cs="宋体"/>
          <w:color w:val="auto"/>
          <w:sz w:val="22"/>
          <w:highlight w:val="none"/>
        </w:rPr>
      </w:pPr>
      <w:r>
        <w:rPr>
          <w:rFonts w:hint="eastAsia" w:ascii="宋体" w:hAnsi="宋体" w:cs="宋体"/>
          <w:color w:val="auto"/>
          <w:sz w:val="22"/>
          <w:highlight w:val="none"/>
        </w:rPr>
        <w:t>6、乙方未履行本合同项下的其他义务或违反其在投标文件中的相关承诺的，应按合同总价款的【】%向甲方承担违约责任。</w:t>
      </w:r>
    </w:p>
    <w:p w14:paraId="4917E8AE">
      <w:pPr>
        <w:ind w:firstLine="560"/>
        <w:jc w:val="left"/>
        <w:rPr>
          <w:rFonts w:hint="eastAsia" w:ascii="宋体" w:hAnsi="宋体" w:cs="宋体"/>
          <w:color w:val="auto"/>
          <w:sz w:val="22"/>
          <w:highlight w:val="none"/>
        </w:rPr>
      </w:pPr>
      <w:r>
        <w:rPr>
          <w:rFonts w:hint="eastAsia" w:ascii="宋体" w:hAnsi="宋体" w:cs="宋体"/>
          <w:color w:val="auto"/>
          <w:sz w:val="22"/>
          <w:highlight w:val="none"/>
        </w:rPr>
        <w:t>7、乙方在承担上述一项或多项违约责任后，仍应继续履行合同规定的义务（甲方解除合同的除外）。甲方未能及时追究乙方的任何一项违约责任并不表明甲方放弃追究乙方该项或其他违约责任。</w:t>
      </w:r>
    </w:p>
    <w:p w14:paraId="35463307">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第十条    合同的变更和终止</w:t>
      </w:r>
    </w:p>
    <w:p w14:paraId="612068E2">
      <w:pPr>
        <w:ind w:firstLine="560"/>
        <w:jc w:val="left"/>
        <w:rPr>
          <w:rFonts w:hint="eastAsia" w:ascii="宋体" w:hAnsi="宋体" w:cs="宋体"/>
          <w:color w:val="auto"/>
          <w:sz w:val="22"/>
          <w:highlight w:val="none"/>
        </w:rPr>
      </w:pPr>
      <w:r>
        <w:rPr>
          <w:rFonts w:hint="eastAsia" w:ascii="宋体" w:hAnsi="宋体" w:cs="宋体"/>
          <w:color w:val="auto"/>
          <w:sz w:val="22"/>
          <w:highlight w:val="none"/>
        </w:rPr>
        <w:t>除《中华人民共和国政府采购法》第４９条、第５０条第二款规定的情形外，本合同一经签订，甲乙双方不得擅自变更、中止或终止合同。</w:t>
      </w:r>
    </w:p>
    <w:p w14:paraId="3364A209">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第十一条   争议的解决</w:t>
      </w:r>
    </w:p>
    <w:p w14:paraId="36A8F761">
      <w:pPr>
        <w:ind w:firstLine="560"/>
        <w:jc w:val="left"/>
        <w:rPr>
          <w:rFonts w:hint="eastAsia" w:ascii="宋体" w:hAnsi="宋体" w:cs="宋体"/>
          <w:color w:val="auto"/>
          <w:sz w:val="22"/>
          <w:highlight w:val="none"/>
        </w:rPr>
      </w:pPr>
      <w:r>
        <w:rPr>
          <w:rFonts w:hint="eastAsia" w:ascii="宋体" w:hAnsi="宋体" w:cs="宋体"/>
          <w:color w:val="auto"/>
          <w:sz w:val="22"/>
          <w:highlight w:val="none"/>
        </w:rPr>
        <w:t>1、因货物的质量问题发生争议的，应当邀请国家认可的质量检测机构对货物质量进行鉴定。货物符合标准的，鉴定费由甲方承担；货物不符合质量标准的，鉴定费由乙方承担。</w:t>
      </w:r>
    </w:p>
    <w:p w14:paraId="0B27225A">
      <w:pPr>
        <w:ind w:firstLine="560"/>
        <w:jc w:val="left"/>
        <w:rPr>
          <w:rFonts w:hint="eastAsia" w:ascii="宋体" w:hAnsi="宋体" w:cs="宋体"/>
          <w:color w:val="auto"/>
          <w:sz w:val="22"/>
          <w:highlight w:val="none"/>
        </w:rPr>
      </w:pPr>
      <w:r>
        <w:rPr>
          <w:rFonts w:hint="eastAsia" w:ascii="宋体" w:hAnsi="宋体" w:cs="宋体"/>
          <w:color w:val="auto"/>
          <w:sz w:val="22"/>
          <w:highlight w:val="none"/>
        </w:rPr>
        <w:t>2、因履行本合同引起的或与本合同有关的争议，甲、乙双方应首先通过友好协商解决，如果协商不能解决争议，则向甲方所在地有管辖权的人民法院提起诉讼；</w:t>
      </w:r>
    </w:p>
    <w:p w14:paraId="775D8F90">
      <w:pPr>
        <w:ind w:firstLine="560"/>
        <w:jc w:val="left"/>
        <w:rPr>
          <w:rFonts w:hint="eastAsia" w:ascii="宋体" w:hAnsi="宋体" w:cs="宋体"/>
          <w:color w:val="auto"/>
          <w:sz w:val="22"/>
          <w:highlight w:val="none"/>
        </w:rPr>
      </w:pPr>
      <w:r>
        <w:rPr>
          <w:rFonts w:hint="eastAsia" w:ascii="宋体" w:hAnsi="宋体" w:cs="宋体"/>
          <w:color w:val="auto"/>
          <w:sz w:val="22"/>
          <w:highlight w:val="none"/>
        </w:rPr>
        <w:t>第十二条   合同生效及其他</w:t>
      </w:r>
    </w:p>
    <w:p w14:paraId="5B598258">
      <w:pPr>
        <w:ind w:firstLine="560"/>
        <w:jc w:val="left"/>
        <w:rPr>
          <w:rFonts w:hint="eastAsia" w:ascii="宋体" w:hAnsi="宋体" w:cs="宋体"/>
          <w:color w:val="auto"/>
          <w:sz w:val="22"/>
          <w:highlight w:val="none"/>
        </w:rPr>
      </w:pPr>
      <w:r>
        <w:rPr>
          <w:rFonts w:hint="eastAsia" w:ascii="宋体" w:hAnsi="宋体" w:cs="宋体"/>
          <w:color w:val="auto"/>
          <w:sz w:val="22"/>
          <w:highlight w:val="none"/>
        </w:rPr>
        <w:t>1、下列文件均为本合同的组成部分：</w:t>
      </w:r>
    </w:p>
    <w:p w14:paraId="13EA4DB4">
      <w:pPr>
        <w:ind w:firstLine="560"/>
        <w:jc w:val="left"/>
        <w:rPr>
          <w:rFonts w:hint="eastAsia" w:ascii="宋体" w:hAnsi="宋体" w:cs="宋体"/>
          <w:color w:val="auto"/>
          <w:sz w:val="22"/>
          <w:highlight w:val="none"/>
        </w:rPr>
      </w:pPr>
      <w:r>
        <w:rPr>
          <w:rFonts w:hint="eastAsia" w:ascii="宋体" w:hAnsi="宋体" w:cs="宋体"/>
          <w:color w:val="auto"/>
          <w:sz w:val="22"/>
          <w:highlight w:val="none"/>
        </w:rPr>
        <w:t>（1）         号采购文件、答疑及补充通知；</w:t>
      </w:r>
    </w:p>
    <w:p w14:paraId="1EB39CCD">
      <w:pPr>
        <w:ind w:firstLine="560"/>
        <w:jc w:val="left"/>
        <w:rPr>
          <w:rFonts w:hint="eastAsia" w:ascii="宋体" w:hAnsi="宋体" w:cs="宋体"/>
          <w:color w:val="auto"/>
          <w:sz w:val="22"/>
          <w:highlight w:val="none"/>
        </w:rPr>
      </w:pPr>
      <w:r>
        <w:rPr>
          <w:rFonts w:hint="eastAsia" w:ascii="宋体" w:hAnsi="宋体" w:cs="宋体"/>
          <w:color w:val="auto"/>
          <w:sz w:val="22"/>
          <w:highlight w:val="none"/>
        </w:rPr>
        <w:t>（2）乙方的投标文件；</w:t>
      </w:r>
    </w:p>
    <w:p w14:paraId="6B9336F7">
      <w:pPr>
        <w:ind w:firstLine="560"/>
        <w:jc w:val="left"/>
        <w:rPr>
          <w:rFonts w:hint="eastAsia" w:ascii="宋体" w:hAnsi="宋体" w:cs="宋体"/>
          <w:color w:val="auto"/>
          <w:sz w:val="22"/>
          <w:highlight w:val="none"/>
        </w:rPr>
      </w:pPr>
      <w:r>
        <w:rPr>
          <w:rFonts w:hint="eastAsia" w:ascii="宋体" w:hAnsi="宋体" w:cs="宋体"/>
          <w:color w:val="auto"/>
          <w:sz w:val="22"/>
          <w:highlight w:val="none"/>
        </w:rPr>
        <w:t>（3）本合同执行中甲乙双方共同签署的补充与修正文件。</w:t>
      </w:r>
    </w:p>
    <w:p w14:paraId="09B0A169">
      <w:pPr>
        <w:ind w:firstLine="560"/>
        <w:jc w:val="left"/>
        <w:rPr>
          <w:rFonts w:hint="eastAsia" w:ascii="宋体" w:hAnsi="宋体" w:cs="宋体"/>
          <w:color w:val="auto"/>
          <w:sz w:val="22"/>
          <w:highlight w:val="none"/>
        </w:rPr>
      </w:pPr>
      <w:r>
        <w:rPr>
          <w:rFonts w:hint="eastAsia" w:ascii="宋体" w:hAnsi="宋体" w:cs="宋体"/>
          <w:color w:val="auto"/>
          <w:sz w:val="22"/>
          <w:highlight w:val="none"/>
        </w:rPr>
        <w:t>2、本合同一式     份，甲、乙方双方各执      份，具有同等法律效力。本合同自双方法定代表人（或授权代表）签字并盖章之日起生效。</w:t>
      </w:r>
    </w:p>
    <w:p w14:paraId="582D0066">
      <w:pPr>
        <w:ind w:firstLine="560"/>
        <w:jc w:val="left"/>
        <w:rPr>
          <w:rFonts w:hint="eastAsia" w:ascii="宋体" w:hAnsi="宋体" w:cs="宋体"/>
          <w:color w:val="auto"/>
          <w:sz w:val="22"/>
          <w:highlight w:val="none"/>
        </w:rPr>
      </w:pPr>
      <w:r>
        <w:rPr>
          <w:rFonts w:hint="eastAsia" w:ascii="宋体" w:hAnsi="宋体" w:cs="宋体"/>
          <w:color w:val="auto"/>
          <w:sz w:val="22"/>
          <w:highlight w:val="none"/>
        </w:rPr>
        <w:t>甲方（采购人）：   （盖章）       乙方（供应商）：    （盖章）</w:t>
      </w:r>
    </w:p>
    <w:p w14:paraId="51753F4A">
      <w:pPr>
        <w:ind w:firstLine="560"/>
        <w:jc w:val="left"/>
        <w:rPr>
          <w:rFonts w:hint="eastAsia" w:ascii="宋体" w:hAnsi="宋体" w:cs="宋体"/>
          <w:color w:val="auto"/>
          <w:sz w:val="22"/>
          <w:highlight w:val="none"/>
        </w:rPr>
      </w:pPr>
      <w:r>
        <w:rPr>
          <w:rFonts w:hint="eastAsia" w:ascii="宋体" w:hAnsi="宋体" w:cs="宋体"/>
          <w:color w:val="auto"/>
          <w:sz w:val="22"/>
          <w:highlight w:val="none"/>
        </w:rPr>
        <w:t xml:space="preserve">法定代表人：                     法定代表人： </w:t>
      </w:r>
    </w:p>
    <w:p w14:paraId="1A09EBDA">
      <w:pPr>
        <w:ind w:firstLine="560"/>
        <w:jc w:val="left"/>
        <w:rPr>
          <w:rFonts w:hint="eastAsia" w:ascii="宋体" w:hAnsi="宋体" w:cs="宋体"/>
          <w:color w:val="auto"/>
          <w:sz w:val="22"/>
          <w:highlight w:val="none"/>
        </w:rPr>
      </w:pPr>
      <w:r>
        <w:rPr>
          <w:rFonts w:hint="eastAsia" w:ascii="宋体" w:hAnsi="宋体" w:cs="宋体"/>
          <w:color w:val="auto"/>
          <w:sz w:val="22"/>
          <w:highlight w:val="none"/>
        </w:rPr>
        <w:t>委托代理人：                     委托代理人：</w:t>
      </w:r>
    </w:p>
    <w:p w14:paraId="09A9C83D">
      <w:pPr>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日期：   年     月    日         日期：   年     月    日</w:t>
      </w:r>
    </w:p>
    <w:p w14:paraId="51738EEC">
      <w:pPr>
        <w:rPr>
          <w:rFonts w:hint="eastAsia" w:ascii="宋体" w:hAnsi="宋体" w:cs="宋体"/>
          <w:color w:val="auto"/>
          <w:sz w:val="22"/>
          <w:highlight w:val="none"/>
        </w:rPr>
      </w:pPr>
      <w:r>
        <w:rPr>
          <w:rFonts w:hint="eastAsia" w:ascii="宋体" w:hAnsi="宋体" w:cs="宋体"/>
          <w:color w:val="auto"/>
          <w:sz w:val="22"/>
          <w:highlight w:val="none"/>
        </w:rPr>
        <w:br w:type="page"/>
      </w:r>
    </w:p>
    <w:p w14:paraId="593EC781">
      <w:pPr>
        <w:pStyle w:val="2"/>
        <w:keepNext w:val="0"/>
        <w:keepLines w:val="0"/>
        <w:spacing w:before="0" w:after="0" w:line="360" w:lineRule="auto"/>
        <w:jc w:val="center"/>
        <w:textAlignment w:val="center"/>
        <w:rPr>
          <w:rFonts w:hint="eastAsia" w:ascii="仿宋" w:hAnsi="仿宋" w:eastAsia="仿宋" w:cs="仿宋"/>
          <w:color w:val="auto"/>
          <w:highlight w:val="none"/>
        </w:rPr>
      </w:pPr>
      <w:bookmarkStart w:id="25" w:name="_Toc74320805"/>
      <w:r>
        <w:rPr>
          <w:rFonts w:hint="eastAsia" w:ascii="仿宋" w:hAnsi="仿宋" w:eastAsia="仿宋" w:cs="仿宋"/>
          <w:color w:val="auto"/>
          <w:highlight w:val="none"/>
        </w:rPr>
        <w:t>第六章　投标文件（格式</w:t>
      </w:r>
      <w:bookmarkEnd w:id="25"/>
      <w:r>
        <w:rPr>
          <w:rFonts w:hint="eastAsia" w:ascii="仿宋" w:hAnsi="仿宋" w:eastAsia="仿宋" w:cs="仿宋"/>
          <w:color w:val="auto"/>
          <w:highlight w:val="none"/>
        </w:rPr>
        <w:t>）</w:t>
      </w:r>
    </w:p>
    <w:p w14:paraId="58787C8C">
      <w:pPr>
        <w:spacing w:line="400" w:lineRule="exact"/>
        <w:jc w:val="center"/>
        <w:rPr>
          <w:rFonts w:hint="eastAsia" w:ascii="仿宋" w:hAnsi="仿宋" w:eastAsia="仿宋" w:cs="仿宋"/>
          <w:b/>
          <w:color w:val="auto"/>
          <w:sz w:val="32"/>
          <w:szCs w:val="32"/>
          <w:highlight w:val="none"/>
        </w:rPr>
      </w:pPr>
    </w:p>
    <w:p w14:paraId="214EFB26">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投标文件目录</w:t>
      </w:r>
    </w:p>
    <w:p w14:paraId="6E05B70B">
      <w:pPr>
        <w:tabs>
          <w:tab w:val="left" w:pos="1305"/>
        </w:tabs>
        <w:spacing w:line="380" w:lineRule="exact"/>
        <w:ind w:firstLine="562" w:firstLineChars="200"/>
        <w:rPr>
          <w:rFonts w:hint="eastAsia" w:ascii="仿宋" w:hAnsi="仿宋" w:eastAsia="仿宋" w:cs="仿宋"/>
          <w:b/>
          <w:color w:val="auto"/>
          <w:sz w:val="28"/>
          <w:szCs w:val="28"/>
          <w:highlight w:val="none"/>
        </w:rPr>
      </w:pPr>
    </w:p>
    <w:p w14:paraId="6C4C23D2">
      <w:pPr>
        <w:tabs>
          <w:tab w:val="left" w:pos="1305"/>
        </w:tabs>
        <w:spacing w:line="32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一、资格性响应证明材料</w:t>
      </w:r>
    </w:p>
    <w:p w14:paraId="40070ED3">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（1）投标人相应的法定代表人身份证正反面复印件（必须提供）；</w:t>
      </w:r>
    </w:p>
    <w:p w14:paraId="69D07EE7">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（2）投标人的授权委托书、委托代理人身份证正反面复印件以及由县级以上（含县级）社会保险经办机构出具的投标人为委托代理人交纳的2025年以来近三个月社保证明复印件（委托代理时，必须提供）；</w:t>
      </w:r>
    </w:p>
    <w:p w14:paraId="7EA16457">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p>
    <w:p w14:paraId="10936A8C">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（3）投标人的法人或者其他组织营业执照等证明文件复印件（必须提供，自然人除外）；</w:t>
      </w:r>
    </w:p>
    <w:p w14:paraId="026B49F7">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14:paraId="690138AF">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（4）投标人2023年度以来任意一个年度内的财务状况报告（必须提供）；</w:t>
      </w:r>
    </w:p>
    <w:p w14:paraId="6EE87501">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（5）投标人2025年以来近三个月依法缴纳税收的相关材料复印件（必须提供）；</w:t>
      </w:r>
    </w:p>
    <w:p w14:paraId="66DD99A0">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（6）投标人参加政府采购活动前3年内在经营活动中没有重大违法记录及有关信用信息的书面声明（必须提供）；</w:t>
      </w:r>
    </w:p>
    <w:p w14:paraId="5E5B8F7A">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（7）投标人参加本项目无围标串标行为的承诺函（必须提供）。</w:t>
      </w:r>
    </w:p>
    <w:p w14:paraId="799C1AED">
      <w:pPr>
        <w:tabs>
          <w:tab w:val="left" w:pos="1305"/>
        </w:tabs>
        <w:spacing w:line="320" w:lineRule="exact"/>
        <w:ind w:firstLine="562" w:firstLineChars="200"/>
        <w:rPr>
          <w:rFonts w:hint="eastAsia" w:ascii="仿宋" w:hAnsi="仿宋" w:eastAsia="仿宋" w:cs="仿宋"/>
          <w:b/>
          <w:color w:val="auto"/>
          <w:sz w:val="28"/>
          <w:szCs w:val="28"/>
          <w:highlight w:val="none"/>
        </w:rPr>
      </w:pPr>
    </w:p>
    <w:p w14:paraId="74C1ED9B">
      <w:pPr>
        <w:tabs>
          <w:tab w:val="left" w:pos="1305"/>
        </w:tabs>
        <w:spacing w:line="32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二、商务、技术性响应及其他证明材料：</w:t>
      </w:r>
    </w:p>
    <w:p w14:paraId="4EC548B8">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w:t>
      </w:r>
      <w:r>
        <w:rPr>
          <w:rFonts w:hint="eastAsia" w:ascii="仿宋" w:hAnsi="仿宋" w:eastAsia="仿宋" w:cs="仿宋"/>
          <w:b/>
          <w:color w:val="auto"/>
          <w:sz w:val="24"/>
          <w:highlight w:val="none"/>
        </w:rPr>
        <w:t>（必须提供）</w:t>
      </w:r>
    </w:p>
    <w:p w14:paraId="0183ACF7">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2.投标报价表</w:t>
      </w:r>
      <w:r>
        <w:rPr>
          <w:rFonts w:hint="eastAsia" w:ascii="仿宋" w:hAnsi="仿宋" w:eastAsia="仿宋" w:cs="仿宋"/>
          <w:b/>
          <w:color w:val="auto"/>
          <w:sz w:val="24"/>
          <w:highlight w:val="none"/>
        </w:rPr>
        <w:t>（必须提供）</w:t>
      </w:r>
    </w:p>
    <w:p w14:paraId="338F2558">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3.技术偏离表</w:t>
      </w:r>
      <w:r>
        <w:rPr>
          <w:rFonts w:hint="eastAsia" w:ascii="仿宋" w:hAnsi="仿宋" w:eastAsia="仿宋" w:cs="仿宋"/>
          <w:b/>
          <w:color w:val="auto"/>
          <w:sz w:val="24"/>
          <w:highlight w:val="none"/>
        </w:rPr>
        <w:t>（必须提供）</w:t>
      </w:r>
    </w:p>
    <w:p w14:paraId="159881DB">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4.商务响应表</w:t>
      </w:r>
      <w:r>
        <w:rPr>
          <w:rFonts w:hint="eastAsia" w:ascii="仿宋" w:hAnsi="仿宋" w:eastAsia="仿宋" w:cs="仿宋"/>
          <w:b/>
          <w:color w:val="auto"/>
          <w:sz w:val="24"/>
          <w:highlight w:val="none"/>
        </w:rPr>
        <w:t>（必须提供）</w:t>
      </w:r>
    </w:p>
    <w:p w14:paraId="16BA6838">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5.技术保障措施</w:t>
      </w:r>
      <w:r>
        <w:rPr>
          <w:rFonts w:hint="eastAsia" w:ascii="仿宋" w:hAnsi="仿宋" w:eastAsia="仿宋" w:cs="仿宋"/>
          <w:b/>
          <w:color w:val="auto"/>
          <w:sz w:val="24"/>
          <w:highlight w:val="none"/>
        </w:rPr>
        <w:t>（如有，请提供）</w:t>
      </w:r>
    </w:p>
    <w:p w14:paraId="083CEA47">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售后服务实施方案</w:t>
      </w:r>
      <w:r>
        <w:rPr>
          <w:rFonts w:hint="eastAsia" w:ascii="仿宋" w:hAnsi="仿宋" w:eastAsia="仿宋" w:cs="仿宋"/>
          <w:b/>
          <w:color w:val="auto"/>
          <w:sz w:val="24"/>
          <w:highlight w:val="none"/>
        </w:rPr>
        <w:t>（如有，请提供）</w:t>
      </w:r>
    </w:p>
    <w:p w14:paraId="23F44AEC">
      <w:pPr>
        <w:snapToGrid w:val="0"/>
        <w:spacing w:line="320" w:lineRule="exact"/>
        <w:ind w:firstLine="480" w:firstLineChars="200"/>
        <w:outlineLvl w:val="4"/>
        <w:rPr>
          <w:rFonts w:hint="eastAsia" w:ascii="仿宋" w:hAnsi="仿宋" w:eastAsia="仿宋" w:cs="仿宋"/>
          <w:b/>
          <w:color w:val="auto"/>
          <w:sz w:val="24"/>
          <w:highlight w:val="none"/>
        </w:rPr>
      </w:pPr>
      <w:r>
        <w:rPr>
          <w:rFonts w:hint="eastAsia" w:ascii="仿宋" w:hAnsi="仿宋" w:eastAsia="仿宋" w:cs="仿宋"/>
          <w:color w:val="auto"/>
          <w:sz w:val="24"/>
          <w:highlight w:val="none"/>
        </w:rPr>
        <w:t>7.对应采购需求要求提供的其他文件资料（如有，请提供）</w:t>
      </w:r>
    </w:p>
    <w:p w14:paraId="6DEB0680">
      <w:pPr>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bCs/>
          <w:color w:val="auto"/>
          <w:sz w:val="24"/>
          <w:highlight w:val="none"/>
        </w:rPr>
        <w:t>投标人提供的货物全部由符合政策要求中小企业制造，投标文件中提供《中小企业声明函》</w:t>
      </w:r>
      <w:r>
        <w:rPr>
          <w:rFonts w:hint="eastAsia" w:ascii="仿宋" w:hAnsi="仿宋" w:eastAsia="仿宋" w:cs="仿宋"/>
          <w:color w:val="auto"/>
          <w:sz w:val="24"/>
          <w:highlight w:val="none"/>
        </w:rPr>
        <w:t>；属于监狱企业的，提供由省级以上监狱管理局、戒毒管理局(含新疆生产建设兵团)出具的属于监狱企业的证明文件</w:t>
      </w:r>
      <w:r>
        <w:rPr>
          <w:rFonts w:hint="eastAsia" w:ascii="仿宋" w:hAnsi="仿宋" w:eastAsia="仿宋" w:cs="仿宋"/>
          <w:b/>
          <w:color w:val="auto"/>
          <w:sz w:val="24"/>
          <w:highlight w:val="none"/>
        </w:rPr>
        <w:t>（如有，请提供）</w:t>
      </w:r>
    </w:p>
    <w:p w14:paraId="6C655EFC">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9.符合条件的残疾人福利性单位在参加政府采购活动时，提供《残疾人福利性单位声明函》，并对声明的真实性负责</w:t>
      </w:r>
      <w:r>
        <w:rPr>
          <w:rFonts w:hint="eastAsia" w:ascii="仿宋" w:hAnsi="仿宋" w:eastAsia="仿宋" w:cs="仿宋"/>
          <w:b/>
          <w:color w:val="auto"/>
          <w:sz w:val="24"/>
          <w:highlight w:val="none"/>
        </w:rPr>
        <w:t>（如有，请提供）</w:t>
      </w:r>
    </w:p>
    <w:p w14:paraId="07F9E329">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10.投标人可结合本项目的评标办法视自身情况自行提交相关证明材料</w:t>
      </w:r>
      <w:r>
        <w:rPr>
          <w:rFonts w:hint="eastAsia" w:ascii="仿宋" w:hAnsi="仿宋" w:eastAsia="仿宋" w:cs="仿宋"/>
          <w:b/>
          <w:color w:val="auto"/>
          <w:sz w:val="24"/>
          <w:highlight w:val="none"/>
        </w:rPr>
        <w:t>（如有，请提供）</w:t>
      </w:r>
    </w:p>
    <w:p w14:paraId="188C47E1">
      <w:pPr>
        <w:tabs>
          <w:tab w:val="left" w:pos="1305"/>
        </w:tabs>
        <w:spacing w:line="400" w:lineRule="exact"/>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一、资格性响应证明材料</w:t>
      </w:r>
    </w:p>
    <w:p w14:paraId="58AE4E1D">
      <w:pPr>
        <w:tabs>
          <w:tab w:val="left" w:pos="1305"/>
        </w:tabs>
        <w:spacing w:line="400" w:lineRule="exact"/>
        <w:rPr>
          <w:rFonts w:hint="eastAsia" w:ascii="仿宋" w:hAnsi="仿宋" w:eastAsia="仿宋" w:cs="仿宋"/>
          <w:b/>
          <w:color w:val="auto"/>
          <w:sz w:val="32"/>
          <w:szCs w:val="32"/>
          <w:highlight w:val="none"/>
        </w:rPr>
      </w:pPr>
    </w:p>
    <w:p w14:paraId="31F7A466">
      <w:pPr>
        <w:tabs>
          <w:tab w:val="left" w:pos="1305"/>
        </w:tabs>
        <w:spacing w:line="400" w:lineRule="exact"/>
        <w:rPr>
          <w:rFonts w:hint="eastAsia" w:ascii="仿宋" w:hAnsi="仿宋" w:eastAsia="仿宋" w:cs="仿宋"/>
          <w:color w:val="auto"/>
          <w:szCs w:val="21"/>
          <w:highlight w:val="none"/>
        </w:rPr>
      </w:pPr>
      <w:r>
        <w:rPr>
          <w:rFonts w:hint="eastAsia" w:ascii="仿宋" w:hAnsi="仿宋" w:eastAsia="仿宋" w:cs="仿宋"/>
          <w:b/>
          <w:color w:val="auto"/>
          <w:sz w:val="32"/>
          <w:szCs w:val="32"/>
          <w:highlight w:val="none"/>
        </w:rPr>
        <w:t>1.投标人相应的法定代表人身份证正反面复印件（必须提供）</w:t>
      </w:r>
    </w:p>
    <w:p w14:paraId="046AAC2F">
      <w:pPr>
        <w:tabs>
          <w:tab w:val="left" w:pos="1305"/>
        </w:tabs>
        <w:spacing w:line="400" w:lineRule="exact"/>
        <w:ind w:firstLine="643" w:firstLineChars="200"/>
        <w:rPr>
          <w:rFonts w:hint="eastAsia" w:ascii="仿宋" w:hAnsi="仿宋" w:eastAsia="仿宋" w:cs="仿宋"/>
          <w:b/>
          <w:color w:val="auto"/>
          <w:sz w:val="32"/>
          <w:szCs w:val="32"/>
          <w:highlight w:val="none"/>
        </w:rPr>
      </w:pPr>
    </w:p>
    <w:p w14:paraId="0B5C335C">
      <w:pPr>
        <w:tabs>
          <w:tab w:val="left" w:pos="1305"/>
        </w:tabs>
        <w:spacing w:line="400" w:lineRule="exact"/>
        <w:ind w:firstLine="643" w:firstLineChars="200"/>
        <w:rPr>
          <w:rFonts w:hint="eastAsia" w:ascii="仿宋" w:hAnsi="仿宋" w:eastAsia="仿宋" w:cs="仿宋"/>
          <w:b/>
          <w:color w:val="auto"/>
          <w:sz w:val="32"/>
          <w:szCs w:val="32"/>
          <w:highlight w:val="none"/>
        </w:rPr>
      </w:pPr>
    </w:p>
    <w:p w14:paraId="6B2B114F">
      <w:pPr>
        <w:tabs>
          <w:tab w:val="left" w:pos="1305"/>
        </w:tabs>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2.投标人的授权委托书、委托代理人身份证正反面复印件以及由县级以上（含县级）社会保险经办机构出具的投标人为委托代理人交纳的2025年以来近三个月社保证明复印件（委托代理时，必须提供）</w:t>
      </w:r>
    </w:p>
    <w:p w14:paraId="6E43E913">
      <w:pPr>
        <w:autoSpaceDE w:val="0"/>
        <w:autoSpaceDN w:val="0"/>
        <w:snapToGrid w:val="0"/>
        <w:spacing w:line="350" w:lineRule="exact"/>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r>
        <w:rPr>
          <w:rFonts w:hint="eastAsia" w:ascii="仿宋" w:hAnsi="仿宋" w:eastAsia="仿宋" w:cs="仿宋"/>
          <w:b/>
          <w:color w:val="auto"/>
          <w:highlight w:val="none"/>
        </w:rPr>
        <w:t>。</w:t>
      </w:r>
    </w:p>
    <w:p w14:paraId="3E5174F7">
      <w:pPr>
        <w:tabs>
          <w:tab w:val="left" w:pos="1305"/>
        </w:tabs>
        <w:spacing w:line="400" w:lineRule="exact"/>
        <w:rPr>
          <w:rFonts w:hint="eastAsia" w:ascii="仿宋" w:hAnsi="仿宋" w:eastAsia="仿宋" w:cs="仿宋"/>
          <w:b/>
          <w:color w:val="auto"/>
          <w:sz w:val="30"/>
          <w:szCs w:val="30"/>
          <w:highlight w:val="none"/>
        </w:rPr>
      </w:pPr>
    </w:p>
    <w:p w14:paraId="5600F355">
      <w:pPr>
        <w:tabs>
          <w:tab w:val="left" w:pos="1305"/>
        </w:tabs>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7D83E848">
      <w:pPr>
        <w:pStyle w:val="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授权委托书（格式一，适用于法人或其他组织投标）</w:t>
      </w:r>
    </w:p>
    <w:p w14:paraId="4872FB48">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14:paraId="7E1ECCFF">
      <w:pPr>
        <w:snapToGrid w:val="0"/>
        <w:spacing w:line="400" w:lineRule="exact"/>
        <w:outlineLvl w:val="4"/>
        <w:rPr>
          <w:rFonts w:hint="eastAsia" w:ascii="仿宋" w:hAnsi="仿宋" w:eastAsia="仿宋" w:cs="仿宋"/>
          <w:color w:val="auto"/>
          <w:szCs w:val="21"/>
          <w:highlight w:val="none"/>
          <w:u w:val="single"/>
        </w:rPr>
      </w:pPr>
    </w:p>
    <w:p w14:paraId="7EAB5CA7">
      <w:pPr>
        <w:pStyle w:val="6"/>
        <w:spacing w:line="400" w:lineRule="exact"/>
        <w:ind w:firstLine="525" w:firstLineChars="250"/>
        <w:rPr>
          <w:rFonts w:hint="eastAsia" w:ascii="仿宋" w:hAnsi="仿宋" w:eastAsia="仿宋" w:cs="仿宋"/>
          <w:color w:val="auto"/>
          <w:highlight w:val="none"/>
        </w:rPr>
      </w:pPr>
      <w:r>
        <w:rPr>
          <w:rFonts w:hint="eastAsia" w:ascii="仿宋" w:hAnsi="仿宋" w:eastAsia="仿宋" w:cs="仿宋"/>
          <w:color w:val="auto"/>
          <w:kern w:val="0"/>
          <w:highlight w:val="none"/>
        </w:rPr>
        <w:t>我</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（姓名）系</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（投标人名称）的法定代表人，现授权委托本单位在职职工</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（姓名）以我公司名义参加</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highlight w:val="none"/>
          <w:u w:val="single"/>
        </w:rPr>
        <w:t xml:space="preserve">（项目名称及项目编号）        </w:t>
      </w:r>
      <w:r>
        <w:rPr>
          <w:rFonts w:hint="eastAsia" w:ascii="仿宋" w:hAnsi="仿宋" w:eastAsia="仿宋" w:cs="仿宋"/>
          <w:color w:val="auto"/>
          <w:highlight w:val="none"/>
        </w:rPr>
        <w:t>项目的投标活动，并代表我方全权办理针对上述项目的投标、开标、评标、签约等具体事务和签署相关文件。</w:t>
      </w:r>
    </w:p>
    <w:p w14:paraId="0F0E62FD">
      <w:pPr>
        <w:pStyle w:val="6"/>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我方对被授权人的签字事项负全部责任。</w:t>
      </w:r>
    </w:p>
    <w:p w14:paraId="35F8422D">
      <w:pPr>
        <w:pStyle w:val="6"/>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授权委托代理期限：自即日起至该项目政府采购活动结束。                                                                                         </w:t>
      </w:r>
    </w:p>
    <w:p w14:paraId="100F9004">
      <w:pPr>
        <w:spacing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代理人无转委托权，特此委托。 </w:t>
      </w:r>
    </w:p>
    <w:p w14:paraId="4014B0DC">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我已在下面签字，以资证明。</w:t>
      </w:r>
    </w:p>
    <w:p w14:paraId="74D1C5BB">
      <w:pPr>
        <w:snapToGrid w:val="0"/>
        <w:spacing w:line="400" w:lineRule="exact"/>
        <w:ind w:firstLine="42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投标人（电子签章）：</w:t>
      </w:r>
      <w:r>
        <w:rPr>
          <w:rFonts w:hint="eastAsia" w:ascii="仿宋" w:hAnsi="仿宋" w:eastAsia="仿宋" w:cs="仿宋"/>
          <w:color w:val="auto"/>
          <w:szCs w:val="21"/>
          <w:highlight w:val="none"/>
          <w:u w:val="single"/>
        </w:rPr>
        <w:t xml:space="preserve">                                   </w:t>
      </w:r>
    </w:p>
    <w:p w14:paraId="2E9B80A9">
      <w:pPr>
        <w:snapToGrid w:val="0"/>
        <w:spacing w:line="400" w:lineRule="exact"/>
        <w:ind w:firstLine="420"/>
        <w:outlineLvl w:val="4"/>
        <w:rPr>
          <w:rFonts w:hint="eastAsia" w:ascii="仿宋" w:hAnsi="仿宋" w:eastAsia="仿宋" w:cs="仿宋"/>
          <w:color w:val="auto"/>
          <w:szCs w:val="21"/>
          <w:highlight w:val="none"/>
        </w:rPr>
      </w:pPr>
    </w:p>
    <w:p w14:paraId="1EA39243">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法定代表人签字（或者电子签名）：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42ED708">
      <w:pPr>
        <w:snapToGrid w:val="0"/>
        <w:spacing w:line="400" w:lineRule="exact"/>
        <w:ind w:firstLine="420"/>
        <w:outlineLvl w:val="4"/>
        <w:rPr>
          <w:rFonts w:hint="eastAsia" w:ascii="仿宋" w:hAnsi="仿宋" w:eastAsia="仿宋" w:cs="仿宋"/>
          <w:color w:val="auto"/>
          <w:szCs w:val="21"/>
          <w:highlight w:val="none"/>
        </w:rPr>
      </w:pPr>
    </w:p>
    <w:p w14:paraId="13FBF459">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3D9B4C7">
      <w:pPr>
        <w:snapToGrid w:val="0"/>
        <w:spacing w:line="400" w:lineRule="exact"/>
        <w:ind w:firstLine="420"/>
        <w:outlineLvl w:val="4"/>
        <w:rPr>
          <w:rFonts w:hint="eastAsia" w:ascii="仿宋" w:hAnsi="仿宋" w:eastAsia="仿宋" w:cs="仿宋"/>
          <w:color w:val="auto"/>
          <w:szCs w:val="21"/>
          <w:highlight w:val="none"/>
        </w:rPr>
      </w:pPr>
    </w:p>
    <w:p w14:paraId="11F903D9">
      <w:pPr>
        <w:tabs>
          <w:tab w:val="left" w:pos="1305"/>
        </w:tabs>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附：委托代理人身份证正反面复印件（委托代理时必须提供）。</w:t>
      </w:r>
    </w:p>
    <w:p w14:paraId="19154F3C">
      <w:pPr>
        <w:pStyle w:val="6"/>
        <w:jc w:val="center"/>
        <w:rPr>
          <w:rFonts w:hint="eastAsia" w:ascii="仿宋" w:hAnsi="仿宋" w:eastAsia="仿宋" w:cs="仿宋"/>
          <w:b/>
          <w:color w:val="auto"/>
          <w:sz w:val="32"/>
          <w:highlight w:val="none"/>
        </w:rPr>
      </w:pPr>
    </w:p>
    <w:p w14:paraId="618D7B80">
      <w:pPr>
        <w:pStyle w:val="3"/>
        <w:ind w:firstLine="420"/>
        <w:rPr>
          <w:rFonts w:hint="eastAsia" w:ascii="仿宋" w:hAnsi="仿宋" w:eastAsia="仿宋" w:cs="仿宋"/>
          <w:color w:val="auto"/>
          <w:highlight w:val="none"/>
        </w:rPr>
      </w:pPr>
    </w:p>
    <w:p w14:paraId="0BC7BB04">
      <w:pPr>
        <w:rPr>
          <w:rFonts w:hint="eastAsia" w:ascii="仿宋" w:hAnsi="仿宋" w:eastAsia="仿宋" w:cs="仿宋"/>
          <w:color w:val="auto"/>
          <w:highlight w:val="none"/>
        </w:rPr>
      </w:pPr>
    </w:p>
    <w:p w14:paraId="085E2FF2">
      <w:pPr>
        <w:pStyle w:val="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授权委托书（格式二，适用于自然人投标）</w:t>
      </w:r>
    </w:p>
    <w:p w14:paraId="2061FFD4">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14:paraId="6AA0223C">
      <w:pPr>
        <w:snapToGrid w:val="0"/>
        <w:spacing w:line="400" w:lineRule="exact"/>
        <w:outlineLvl w:val="4"/>
        <w:rPr>
          <w:rFonts w:hint="eastAsia" w:ascii="仿宋" w:hAnsi="仿宋" w:eastAsia="仿宋" w:cs="仿宋"/>
          <w:color w:val="auto"/>
          <w:szCs w:val="21"/>
          <w:highlight w:val="none"/>
          <w:u w:val="single"/>
        </w:rPr>
      </w:pPr>
    </w:p>
    <w:p w14:paraId="1C4E36CF">
      <w:pPr>
        <w:pStyle w:val="6"/>
        <w:spacing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我</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（姓名）系自然人，现授权委托</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 名）以本人名义参加</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highlight w:val="none"/>
          <w:u w:val="single"/>
        </w:rPr>
        <w:t xml:space="preserve">（项目名称及项目编号）        </w:t>
      </w:r>
      <w:r>
        <w:rPr>
          <w:rFonts w:hint="eastAsia" w:ascii="仿宋" w:hAnsi="仿宋" w:eastAsia="仿宋" w:cs="仿宋"/>
          <w:color w:val="auto"/>
          <w:highlight w:val="none"/>
        </w:rPr>
        <w:t>项目的投标活动，并代表本人全权办理针对上述项目的投标、开标、评标、签约等具体事务和签署相关文件。</w:t>
      </w:r>
    </w:p>
    <w:p w14:paraId="7F9962F6">
      <w:pPr>
        <w:pStyle w:val="6"/>
        <w:spacing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本人对被授权人的签字事项负全部责任。</w:t>
      </w:r>
    </w:p>
    <w:p w14:paraId="3A766750">
      <w:pPr>
        <w:pStyle w:val="6"/>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授权委托代理期限：自即日起至该项目政府采购活动结束。</w:t>
      </w:r>
    </w:p>
    <w:p w14:paraId="6B6629EC">
      <w:pPr>
        <w:pStyle w:val="6"/>
        <w:spacing w:line="340" w:lineRule="exact"/>
        <w:ind w:firstLine="420" w:firstLineChars="200"/>
        <w:rPr>
          <w:rFonts w:hint="eastAsia" w:ascii="仿宋" w:hAnsi="仿宋" w:eastAsia="仿宋" w:cs="仿宋"/>
          <w:color w:val="auto"/>
          <w:highlight w:val="none"/>
          <w:u w:val="single"/>
        </w:rPr>
      </w:pPr>
    </w:p>
    <w:p w14:paraId="496335F9">
      <w:pPr>
        <w:pStyle w:val="6"/>
        <w:spacing w:line="3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w:t>
      </w:r>
    </w:p>
    <w:p w14:paraId="7E1A7961">
      <w:pPr>
        <w:spacing w:line="34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代理人无转委托权，特此委托。 </w:t>
      </w:r>
    </w:p>
    <w:p w14:paraId="58AF7BF7">
      <w:pPr>
        <w:snapToGrid w:val="0"/>
        <w:spacing w:line="340" w:lineRule="exact"/>
        <w:ind w:firstLine="525"/>
        <w:outlineLvl w:val="4"/>
        <w:rPr>
          <w:rFonts w:hint="eastAsia" w:ascii="仿宋" w:hAnsi="仿宋" w:eastAsia="仿宋" w:cs="仿宋"/>
          <w:color w:val="auto"/>
          <w:szCs w:val="21"/>
          <w:highlight w:val="none"/>
        </w:rPr>
      </w:pPr>
    </w:p>
    <w:p w14:paraId="5F33AB23">
      <w:pPr>
        <w:snapToGrid w:val="0"/>
        <w:spacing w:line="34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我已在下面签字，以资证明。</w:t>
      </w:r>
    </w:p>
    <w:p w14:paraId="5C3959F2">
      <w:pPr>
        <w:snapToGrid w:val="0"/>
        <w:spacing w:line="340" w:lineRule="exact"/>
        <w:ind w:firstLine="420"/>
        <w:outlineLvl w:val="4"/>
        <w:rPr>
          <w:rFonts w:hint="eastAsia" w:ascii="仿宋" w:hAnsi="仿宋" w:eastAsia="仿宋" w:cs="仿宋"/>
          <w:color w:val="auto"/>
          <w:szCs w:val="21"/>
          <w:highlight w:val="none"/>
        </w:rPr>
      </w:pPr>
    </w:p>
    <w:p w14:paraId="1F3C78E6">
      <w:pPr>
        <w:snapToGrid w:val="0"/>
        <w:spacing w:line="34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自然人签字（或者电子签名）：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DF6DD2E">
      <w:pPr>
        <w:snapToGrid w:val="0"/>
        <w:spacing w:line="340" w:lineRule="exact"/>
        <w:ind w:firstLine="420"/>
        <w:outlineLvl w:val="4"/>
        <w:rPr>
          <w:rFonts w:hint="eastAsia" w:ascii="仿宋" w:hAnsi="仿宋" w:eastAsia="仿宋" w:cs="仿宋"/>
          <w:color w:val="auto"/>
          <w:szCs w:val="21"/>
          <w:highlight w:val="none"/>
        </w:rPr>
      </w:pPr>
    </w:p>
    <w:p w14:paraId="32900E72">
      <w:pPr>
        <w:pStyle w:val="6"/>
        <w:spacing w:line="400" w:lineRule="exact"/>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附：委托代理人身份证正反面复印件（委托代理时必须提供）。</w:t>
      </w:r>
    </w:p>
    <w:p w14:paraId="5B86F212">
      <w:pPr>
        <w:pStyle w:val="6"/>
        <w:spacing w:line="400" w:lineRule="exact"/>
        <w:ind w:left="420" w:leftChars="200" w:firstLine="157" w:firstLineChars="49"/>
        <w:rPr>
          <w:rFonts w:hint="eastAsia" w:ascii="仿宋" w:hAnsi="仿宋" w:eastAsia="仿宋" w:cs="仿宋"/>
          <w:b/>
          <w:color w:val="auto"/>
          <w:sz w:val="32"/>
          <w:szCs w:val="32"/>
          <w:highlight w:val="none"/>
        </w:rPr>
      </w:pPr>
    </w:p>
    <w:p w14:paraId="63018164">
      <w:pPr>
        <w:pStyle w:val="6"/>
        <w:spacing w:line="400" w:lineRule="exact"/>
        <w:ind w:left="420" w:leftChars="200" w:firstLine="157" w:firstLineChars="49"/>
        <w:rPr>
          <w:rFonts w:hint="eastAsia" w:ascii="仿宋" w:hAnsi="仿宋" w:eastAsia="仿宋" w:cs="仿宋"/>
          <w:b/>
          <w:color w:val="auto"/>
          <w:sz w:val="32"/>
          <w:szCs w:val="32"/>
          <w:highlight w:val="none"/>
        </w:rPr>
      </w:pPr>
    </w:p>
    <w:p w14:paraId="4BCDC5E6">
      <w:pPr>
        <w:pStyle w:val="6"/>
        <w:spacing w:line="400" w:lineRule="exact"/>
        <w:ind w:left="420" w:leftChars="200" w:firstLine="157" w:firstLineChars="49"/>
        <w:rPr>
          <w:rFonts w:hint="eastAsia" w:ascii="仿宋" w:hAnsi="仿宋" w:eastAsia="仿宋" w:cs="仿宋"/>
          <w:b/>
          <w:color w:val="auto"/>
          <w:sz w:val="32"/>
          <w:szCs w:val="32"/>
          <w:highlight w:val="none"/>
        </w:rPr>
      </w:pPr>
    </w:p>
    <w:p w14:paraId="302DE9F6">
      <w:pPr>
        <w:pStyle w:val="6"/>
        <w:spacing w:line="400" w:lineRule="exact"/>
        <w:ind w:left="420" w:leftChars="200" w:firstLine="157" w:firstLineChars="49"/>
        <w:rPr>
          <w:rFonts w:hint="eastAsia" w:ascii="仿宋" w:hAnsi="仿宋" w:eastAsia="仿宋" w:cs="仿宋"/>
          <w:b/>
          <w:color w:val="auto"/>
          <w:sz w:val="32"/>
          <w:szCs w:val="32"/>
          <w:highlight w:val="none"/>
        </w:rPr>
      </w:pPr>
    </w:p>
    <w:p w14:paraId="6C75614D">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3.投标人的法人或者其他组织营业执照等证明文件复印件（必须提供，自然人除外）</w:t>
      </w:r>
    </w:p>
    <w:p w14:paraId="6E22A621">
      <w:pPr>
        <w:pStyle w:val="7"/>
        <w:rPr>
          <w:rFonts w:hint="eastAsia" w:ascii="仿宋" w:hAnsi="仿宋" w:eastAsia="仿宋" w:cs="仿宋"/>
          <w:color w:val="auto"/>
          <w:sz w:val="21"/>
          <w:szCs w:val="21"/>
          <w:highlight w:val="none"/>
        </w:rPr>
      </w:pPr>
    </w:p>
    <w:p w14:paraId="424C3434">
      <w:pPr>
        <w:pStyle w:val="7"/>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14:paraId="007B7E3E">
      <w:pPr>
        <w:pStyle w:val="7"/>
        <w:rPr>
          <w:rFonts w:hint="eastAsia" w:ascii="仿宋" w:hAnsi="仿宋" w:eastAsia="仿宋" w:cs="仿宋"/>
          <w:b/>
          <w:color w:val="auto"/>
          <w:szCs w:val="21"/>
          <w:highlight w:val="none"/>
        </w:rPr>
      </w:pPr>
    </w:p>
    <w:p w14:paraId="1CA6D1B7">
      <w:pPr>
        <w:pStyle w:val="7"/>
        <w:rPr>
          <w:rFonts w:hint="eastAsia" w:ascii="仿宋" w:hAnsi="仿宋" w:eastAsia="仿宋" w:cs="仿宋"/>
          <w:b/>
          <w:color w:val="auto"/>
          <w:szCs w:val="21"/>
          <w:highlight w:val="none"/>
        </w:rPr>
      </w:pPr>
    </w:p>
    <w:p w14:paraId="46C80E02">
      <w:pPr>
        <w:pStyle w:val="7"/>
        <w:rPr>
          <w:rFonts w:hint="eastAsia" w:ascii="仿宋" w:hAnsi="仿宋" w:eastAsia="仿宋" w:cs="仿宋"/>
          <w:b/>
          <w:color w:val="auto"/>
          <w:szCs w:val="21"/>
          <w:highlight w:val="none"/>
        </w:rPr>
      </w:pPr>
    </w:p>
    <w:p w14:paraId="03CE2E5F">
      <w:pPr>
        <w:pStyle w:val="7"/>
        <w:rPr>
          <w:rFonts w:hint="eastAsia" w:ascii="仿宋" w:hAnsi="仿宋" w:eastAsia="仿宋" w:cs="仿宋"/>
          <w:b/>
          <w:color w:val="auto"/>
          <w:szCs w:val="21"/>
          <w:highlight w:val="none"/>
        </w:rPr>
      </w:pPr>
    </w:p>
    <w:p w14:paraId="17D5A0D2">
      <w:pPr>
        <w:pStyle w:val="7"/>
        <w:rPr>
          <w:rFonts w:hint="eastAsia" w:ascii="仿宋" w:hAnsi="仿宋" w:eastAsia="仿宋" w:cs="仿宋"/>
          <w:b/>
          <w:color w:val="auto"/>
          <w:szCs w:val="21"/>
          <w:highlight w:val="none"/>
        </w:rPr>
      </w:pPr>
    </w:p>
    <w:p w14:paraId="79875581">
      <w:pPr>
        <w:pStyle w:val="7"/>
        <w:rPr>
          <w:rFonts w:hint="eastAsia" w:ascii="仿宋" w:hAnsi="仿宋" w:eastAsia="仿宋" w:cs="仿宋"/>
          <w:b/>
          <w:color w:val="auto"/>
          <w:szCs w:val="21"/>
          <w:highlight w:val="none"/>
        </w:rPr>
      </w:pPr>
    </w:p>
    <w:p w14:paraId="57E81F10">
      <w:pPr>
        <w:pStyle w:val="7"/>
        <w:rPr>
          <w:rFonts w:hint="eastAsia" w:ascii="仿宋" w:hAnsi="仿宋" w:eastAsia="仿宋" w:cs="仿宋"/>
          <w:b/>
          <w:color w:val="auto"/>
          <w:szCs w:val="21"/>
          <w:highlight w:val="none"/>
        </w:rPr>
      </w:pPr>
    </w:p>
    <w:p w14:paraId="7EFC838C">
      <w:pPr>
        <w:pStyle w:val="7"/>
        <w:rPr>
          <w:rFonts w:hint="eastAsia" w:ascii="仿宋" w:hAnsi="仿宋" w:eastAsia="仿宋" w:cs="仿宋"/>
          <w:b/>
          <w:color w:val="auto"/>
          <w:szCs w:val="21"/>
          <w:highlight w:val="none"/>
        </w:rPr>
      </w:pPr>
    </w:p>
    <w:p w14:paraId="384F90CA">
      <w:pPr>
        <w:pStyle w:val="7"/>
        <w:rPr>
          <w:rFonts w:hint="eastAsia" w:ascii="仿宋" w:hAnsi="仿宋" w:eastAsia="仿宋" w:cs="仿宋"/>
          <w:b/>
          <w:color w:val="auto"/>
          <w:szCs w:val="21"/>
          <w:highlight w:val="none"/>
        </w:rPr>
      </w:pPr>
    </w:p>
    <w:p w14:paraId="5F7263D5">
      <w:pPr>
        <w:pStyle w:val="7"/>
        <w:rPr>
          <w:rFonts w:hint="eastAsia" w:ascii="仿宋" w:hAnsi="仿宋" w:eastAsia="仿宋" w:cs="仿宋"/>
          <w:b/>
          <w:color w:val="auto"/>
          <w:szCs w:val="21"/>
          <w:highlight w:val="none"/>
        </w:rPr>
      </w:pPr>
    </w:p>
    <w:p w14:paraId="426CC309">
      <w:pPr>
        <w:pStyle w:val="7"/>
        <w:rPr>
          <w:rFonts w:hint="eastAsia" w:ascii="仿宋" w:hAnsi="仿宋" w:eastAsia="仿宋" w:cs="仿宋"/>
          <w:b/>
          <w:color w:val="auto"/>
          <w:szCs w:val="21"/>
          <w:highlight w:val="none"/>
        </w:rPr>
      </w:pPr>
    </w:p>
    <w:p w14:paraId="6183163F">
      <w:pPr>
        <w:pStyle w:val="7"/>
        <w:rPr>
          <w:rFonts w:hint="eastAsia" w:ascii="仿宋" w:hAnsi="仿宋" w:eastAsia="仿宋" w:cs="仿宋"/>
          <w:b/>
          <w:color w:val="auto"/>
          <w:szCs w:val="21"/>
          <w:highlight w:val="none"/>
        </w:rPr>
      </w:pPr>
    </w:p>
    <w:p w14:paraId="7CF950E4">
      <w:pPr>
        <w:pStyle w:val="7"/>
        <w:rPr>
          <w:rFonts w:hint="eastAsia" w:ascii="仿宋" w:hAnsi="仿宋" w:eastAsia="仿宋" w:cs="仿宋"/>
          <w:b/>
          <w:color w:val="auto"/>
          <w:szCs w:val="21"/>
          <w:highlight w:val="none"/>
        </w:rPr>
      </w:pPr>
    </w:p>
    <w:p w14:paraId="03A12B26">
      <w:pPr>
        <w:pStyle w:val="7"/>
        <w:rPr>
          <w:rFonts w:hint="eastAsia" w:ascii="仿宋" w:hAnsi="仿宋" w:eastAsia="仿宋" w:cs="仿宋"/>
          <w:b/>
          <w:color w:val="auto"/>
          <w:szCs w:val="21"/>
          <w:highlight w:val="none"/>
        </w:rPr>
      </w:pPr>
    </w:p>
    <w:p w14:paraId="59010F12">
      <w:pPr>
        <w:pStyle w:val="7"/>
        <w:rPr>
          <w:rFonts w:hint="eastAsia" w:ascii="仿宋" w:hAnsi="仿宋" w:eastAsia="仿宋" w:cs="仿宋"/>
          <w:b/>
          <w:color w:val="auto"/>
          <w:szCs w:val="21"/>
          <w:highlight w:val="none"/>
        </w:rPr>
      </w:pPr>
    </w:p>
    <w:p w14:paraId="18ABFD35">
      <w:pPr>
        <w:pStyle w:val="7"/>
        <w:rPr>
          <w:rFonts w:hint="eastAsia" w:ascii="仿宋" w:hAnsi="仿宋" w:eastAsia="仿宋" w:cs="仿宋"/>
          <w:b/>
          <w:color w:val="auto"/>
          <w:szCs w:val="21"/>
          <w:highlight w:val="none"/>
        </w:rPr>
      </w:pPr>
    </w:p>
    <w:p w14:paraId="191DA1AA">
      <w:pPr>
        <w:pStyle w:val="7"/>
        <w:rPr>
          <w:rFonts w:hint="eastAsia" w:ascii="仿宋" w:hAnsi="仿宋" w:eastAsia="仿宋" w:cs="仿宋"/>
          <w:b/>
          <w:color w:val="auto"/>
          <w:szCs w:val="21"/>
          <w:highlight w:val="none"/>
        </w:rPr>
      </w:pPr>
    </w:p>
    <w:p w14:paraId="20CFAE35">
      <w:pPr>
        <w:pStyle w:val="7"/>
        <w:rPr>
          <w:rFonts w:hint="eastAsia" w:ascii="仿宋" w:hAnsi="仿宋" w:eastAsia="仿宋" w:cs="仿宋"/>
          <w:b/>
          <w:color w:val="auto"/>
          <w:szCs w:val="21"/>
          <w:highlight w:val="none"/>
        </w:rPr>
      </w:pPr>
    </w:p>
    <w:p w14:paraId="5A5AEA9D">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4.投标人2023年度以来任意一个年度内的财务状况报告（必须提供）</w:t>
      </w:r>
    </w:p>
    <w:p w14:paraId="6CE76E30">
      <w:pPr>
        <w:pStyle w:val="6"/>
        <w:spacing w:line="400" w:lineRule="exact"/>
        <w:rPr>
          <w:rFonts w:hint="eastAsia" w:ascii="仿宋" w:hAnsi="仿宋" w:eastAsia="仿宋" w:cs="仿宋"/>
          <w:b/>
          <w:color w:val="auto"/>
          <w:sz w:val="32"/>
          <w:szCs w:val="32"/>
          <w:highlight w:val="none"/>
        </w:rPr>
      </w:pPr>
    </w:p>
    <w:p w14:paraId="057B0986">
      <w:pPr>
        <w:pStyle w:val="3"/>
        <w:ind w:firstLine="420"/>
        <w:rPr>
          <w:rFonts w:hint="eastAsia" w:ascii="仿宋" w:hAnsi="仿宋" w:eastAsia="仿宋" w:cs="仿宋"/>
          <w:color w:val="auto"/>
          <w:highlight w:val="none"/>
        </w:rPr>
      </w:pPr>
    </w:p>
    <w:p w14:paraId="5C290450">
      <w:pPr>
        <w:pStyle w:val="3"/>
        <w:ind w:firstLine="420"/>
        <w:rPr>
          <w:rFonts w:hint="eastAsia" w:ascii="仿宋" w:hAnsi="仿宋" w:eastAsia="仿宋" w:cs="仿宋"/>
          <w:color w:val="auto"/>
          <w:highlight w:val="none"/>
        </w:rPr>
      </w:pPr>
    </w:p>
    <w:p w14:paraId="2C975877">
      <w:pPr>
        <w:rPr>
          <w:rFonts w:hint="eastAsia" w:ascii="仿宋" w:hAnsi="仿宋" w:eastAsia="仿宋" w:cs="仿宋"/>
          <w:color w:val="auto"/>
          <w:highlight w:val="none"/>
        </w:rPr>
      </w:pPr>
    </w:p>
    <w:p w14:paraId="45299A2F">
      <w:pPr>
        <w:rPr>
          <w:rFonts w:hint="eastAsia" w:ascii="仿宋" w:hAnsi="仿宋" w:eastAsia="仿宋" w:cs="仿宋"/>
          <w:color w:val="auto"/>
          <w:highlight w:val="none"/>
        </w:rPr>
      </w:pPr>
    </w:p>
    <w:p w14:paraId="680CC574">
      <w:pPr>
        <w:rPr>
          <w:rFonts w:hint="eastAsia" w:ascii="仿宋" w:hAnsi="仿宋" w:eastAsia="仿宋" w:cs="仿宋"/>
          <w:color w:val="auto"/>
          <w:highlight w:val="none"/>
        </w:rPr>
      </w:pPr>
    </w:p>
    <w:p w14:paraId="4CFFDED0">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 投标人2025年以来近三个月依法缴纳税收的相关材料复印件（必须提供）</w:t>
      </w:r>
    </w:p>
    <w:p w14:paraId="0F13AC14">
      <w:pPr>
        <w:pStyle w:val="3"/>
        <w:ind w:firstLine="420"/>
        <w:rPr>
          <w:rFonts w:hint="eastAsia" w:ascii="仿宋" w:hAnsi="仿宋" w:eastAsia="仿宋" w:cs="仿宋"/>
          <w:color w:val="auto"/>
          <w:highlight w:val="none"/>
        </w:rPr>
      </w:pPr>
    </w:p>
    <w:p w14:paraId="00BD3EEE">
      <w:pPr>
        <w:pStyle w:val="3"/>
        <w:ind w:left="0" w:firstLine="0" w:firstLineChars="0"/>
        <w:rPr>
          <w:rFonts w:hint="eastAsia" w:ascii="仿宋" w:hAnsi="仿宋" w:eastAsia="仿宋" w:cs="仿宋"/>
          <w:color w:val="auto"/>
          <w:highlight w:val="none"/>
        </w:rPr>
      </w:pPr>
    </w:p>
    <w:p w14:paraId="7723E4C2">
      <w:pPr>
        <w:rPr>
          <w:rFonts w:hint="eastAsia" w:ascii="仿宋" w:hAnsi="仿宋" w:eastAsia="仿宋" w:cs="仿宋"/>
          <w:color w:val="auto"/>
          <w:highlight w:val="none"/>
        </w:rPr>
      </w:pPr>
    </w:p>
    <w:p w14:paraId="370BDE70">
      <w:pPr>
        <w:rPr>
          <w:rFonts w:hint="eastAsia" w:ascii="仿宋" w:hAnsi="仿宋" w:eastAsia="仿宋" w:cs="仿宋"/>
          <w:color w:val="auto"/>
          <w:highlight w:val="none"/>
        </w:rPr>
      </w:pPr>
    </w:p>
    <w:p w14:paraId="5D614CB9">
      <w:pPr>
        <w:rPr>
          <w:rFonts w:hint="eastAsia" w:ascii="仿宋" w:hAnsi="仿宋" w:eastAsia="仿宋" w:cs="仿宋"/>
          <w:color w:val="auto"/>
          <w:highlight w:val="none"/>
        </w:rPr>
      </w:pPr>
    </w:p>
    <w:p w14:paraId="78C92D78">
      <w:pPr>
        <w:rPr>
          <w:rFonts w:hint="eastAsia" w:ascii="仿宋" w:hAnsi="仿宋" w:eastAsia="仿宋" w:cs="仿宋"/>
          <w:color w:val="auto"/>
          <w:highlight w:val="none"/>
        </w:rPr>
      </w:pPr>
    </w:p>
    <w:p w14:paraId="58E253BF">
      <w:pPr>
        <w:rPr>
          <w:rFonts w:hint="eastAsia" w:ascii="仿宋" w:hAnsi="仿宋" w:eastAsia="仿宋" w:cs="仿宋"/>
          <w:color w:val="auto"/>
          <w:highlight w:val="none"/>
        </w:rPr>
      </w:pPr>
    </w:p>
    <w:p w14:paraId="7DB3A9AA">
      <w:pPr>
        <w:rPr>
          <w:rFonts w:hint="eastAsia" w:ascii="仿宋" w:hAnsi="仿宋" w:eastAsia="仿宋" w:cs="仿宋"/>
          <w:color w:val="auto"/>
          <w:highlight w:val="none"/>
        </w:rPr>
      </w:pPr>
    </w:p>
    <w:p w14:paraId="7080D272">
      <w:pPr>
        <w:rPr>
          <w:rFonts w:hint="eastAsia" w:ascii="仿宋" w:hAnsi="仿宋" w:eastAsia="仿宋" w:cs="仿宋"/>
          <w:color w:val="auto"/>
          <w:highlight w:val="none"/>
        </w:rPr>
      </w:pPr>
    </w:p>
    <w:p w14:paraId="19164AA4">
      <w:pPr>
        <w:rPr>
          <w:rFonts w:hint="eastAsia" w:ascii="仿宋" w:hAnsi="仿宋" w:eastAsia="仿宋" w:cs="仿宋"/>
          <w:color w:val="auto"/>
          <w:highlight w:val="none"/>
        </w:rPr>
      </w:pPr>
    </w:p>
    <w:p w14:paraId="073A265C">
      <w:pPr>
        <w:rPr>
          <w:rFonts w:hint="eastAsia" w:ascii="仿宋" w:hAnsi="仿宋" w:eastAsia="仿宋" w:cs="仿宋"/>
          <w:color w:val="auto"/>
          <w:highlight w:val="none"/>
        </w:rPr>
      </w:pPr>
    </w:p>
    <w:p w14:paraId="5CDE5469">
      <w:pPr>
        <w:rPr>
          <w:rFonts w:hint="eastAsia" w:ascii="仿宋" w:hAnsi="仿宋" w:eastAsia="仿宋" w:cs="仿宋"/>
          <w:color w:val="auto"/>
          <w:highlight w:val="none"/>
        </w:rPr>
      </w:pPr>
    </w:p>
    <w:p w14:paraId="58593ACD">
      <w:pPr>
        <w:rPr>
          <w:rFonts w:hint="eastAsia" w:ascii="仿宋" w:hAnsi="仿宋" w:eastAsia="仿宋" w:cs="仿宋"/>
          <w:color w:val="auto"/>
          <w:highlight w:val="none"/>
        </w:rPr>
      </w:pPr>
    </w:p>
    <w:p w14:paraId="7231B192">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6.投标人参加政府采购活动前3年内在经营活动中没有重大违法记录及有关信用信息的书面声明（必须提供）</w:t>
      </w:r>
    </w:p>
    <w:p w14:paraId="77762BD7">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0B7CD66A">
      <w:pPr>
        <w:pStyle w:val="6"/>
        <w:spacing w:line="400" w:lineRule="exact"/>
        <w:jc w:val="center"/>
        <w:rPr>
          <w:rFonts w:hint="eastAsia" w:ascii="仿宋" w:hAnsi="仿宋" w:eastAsia="仿宋" w:cs="仿宋"/>
          <w:b/>
          <w:color w:val="auto"/>
          <w:sz w:val="32"/>
          <w:szCs w:val="32"/>
          <w:highlight w:val="none"/>
        </w:rPr>
      </w:pPr>
    </w:p>
    <w:p w14:paraId="4F3A44FF">
      <w:pPr>
        <w:pStyle w:val="6"/>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声   明（格式）</w:t>
      </w:r>
    </w:p>
    <w:p w14:paraId="0975D616">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14:paraId="08A2CF9B">
      <w:pPr>
        <w:snapToGrid w:val="0"/>
        <w:spacing w:line="400" w:lineRule="exact"/>
        <w:outlineLvl w:val="4"/>
        <w:rPr>
          <w:rFonts w:hint="eastAsia" w:ascii="仿宋" w:hAnsi="仿宋" w:eastAsia="仿宋" w:cs="仿宋"/>
          <w:color w:val="auto"/>
          <w:szCs w:val="21"/>
          <w:highlight w:val="none"/>
          <w:u w:val="single"/>
        </w:rPr>
      </w:pPr>
    </w:p>
    <w:p w14:paraId="690316F7">
      <w:pPr>
        <w:pStyle w:val="6"/>
        <w:spacing w:line="38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9501A2">
      <w:pPr>
        <w:snapToGrid w:val="0"/>
        <w:spacing w:line="400" w:lineRule="exact"/>
        <w:ind w:firstLine="4515" w:firstLineChars="2150"/>
        <w:outlineLvl w:val="4"/>
        <w:rPr>
          <w:rFonts w:hint="eastAsia" w:ascii="仿宋" w:hAnsi="仿宋" w:eastAsia="仿宋" w:cs="仿宋"/>
          <w:color w:val="auto"/>
          <w:szCs w:val="21"/>
          <w:highlight w:val="none"/>
        </w:rPr>
      </w:pPr>
    </w:p>
    <w:p w14:paraId="0D6C8004">
      <w:pPr>
        <w:snapToGrid w:val="0"/>
        <w:spacing w:line="400" w:lineRule="exact"/>
        <w:ind w:firstLine="4515" w:firstLineChars="2150"/>
        <w:outlineLvl w:val="4"/>
        <w:rPr>
          <w:rFonts w:hint="eastAsia" w:ascii="仿宋" w:hAnsi="仿宋" w:eastAsia="仿宋" w:cs="仿宋"/>
          <w:color w:val="auto"/>
          <w:szCs w:val="21"/>
          <w:highlight w:val="none"/>
        </w:rPr>
      </w:pPr>
    </w:p>
    <w:p w14:paraId="1677DCF7">
      <w:pPr>
        <w:snapToGrid w:val="0"/>
        <w:spacing w:line="400" w:lineRule="exact"/>
        <w:ind w:firstLine="4515" w:firstLineChars="2150"/>
        <w:outlineLvl w:val="4"/>
        <w:rPr>
          <w:rFonts w:hint="eastAsia" w:ascii="仿宋" w:hAnsi="仿宋" w:eastAsia="仿宋" w:cs="仿宋"/>
          <w:color w:val="auto"/>
          <w:szCs w:val="21"/>
          <w:highlight w:val="none"/>
        </w:rPr>
      </w:pPr>
    </w:p>
    <w:p w14:paraId="0F64BC76">
      <w:pPr>
        <w:snapToGrid w:val="0"/>
        <w:spacing w:line="400" w:lineRule="exact"/>
        <w:ind w:firstLine="1890" w:firstLineChars="90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 (电子签章)：</w:t>
      </w:r>
      <w:r>
        <w:rPr>
          <w:rFonts w:hint="eastAsia" w:ascii="仿宋" w:hAnsi="仿宋" w:eastAsia="仿宋" w:cs="仿宋"/>
          <w:color w:val="auto"/>
          <w:szCs w:val="21"/>
          <w:highlight w:val="none"/>
          <w:u w:val="single"/>
        </w:rPr>
        <w:t xml:space="preserve">                                     </w:t>
      </w:r>
    </w:p>
    <w:p w14:paraId="269EAE58">
      <w:pPr>
        <w:pStyle w:val="6"/>
        <w:spacing w:line="4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14:paraId="309337A4">
      <w:pPr>
        <w:spacing w:line="3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1ACA67F8">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7.投标人参加本项目无围标串标行为的承诺函（必须提供）</w:t>
      </w:r>
    </w:p>
    <w:p w14:paraId="62036351">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37060C8B">
      <w:pPr>
        <w:pStyle w:val="6"/>
        <w:spacing w:line="400" w:lineRule="exact"/>
        <w:jc w:val="center"/>
        <w:rPr>
          <w:rFonts w:hint="eastAsia" w:ascii="仿宋" w:hAnsi="仿宋" w:eastAsia="仿宋" w:cs="仿宋"/>
          <w:b/>
          <w:color w:val="auto"/>
          <w:sz w:val="32"/>
          <w:szCs w:val="32"/>
          <w:highlight w:val="none"/>
        </w:rPr>
      </w:pPr>
    </w:p>
    <w:p w14:paraId="7E1BFC78">
      <w:pPr>
        <w:pStyle w:val="6"/>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投标人参加本项目无围标串标行为的承诺函（格式）</w:t>
      </w:r>
    </w:p>
    <w:p w14:paraId="12B18ED8">
      <w:pPr>
        <w:spacing w:line="400" w:lineRule="exact"/>
        <w:rPr>
          <w:rFonts w:hint="eastAsia" w:ascii="仿宋" w:hAnsi="仿宋" w:eastAsia="仿宋" w:cs="仿宋"/>
          <w:b/>
          <w:color w:val="auto"/>
          <w:sz w:val="32"/>
          <w:szCs w:val="32"/>
          <w:highlight w:val="none"/>
        </w:rPr>
      </w:pPr>
    </w:p>
    <w:p w14:paraId="40C1A2B3">
      <w:pPr>
        <w:snapToGrid w:val="0"/>
        <w:spacing w:before="156" w:beforeLines="50" w:after="50"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一、我公司承诺无下列相互串通投标的情形：</w:t>
      </w:r>
    </w:p>
    <w:p w14:paraId="5F8B89A3">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1.不同投标人的投标文件由同一单位或者个人编制；</w:t>
      </w:r>
    </w:p>
    <w:p w14:paraId="072C1F8A">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2.不同投标人委托同一单位或者个人办理投标事宜；</w:t>
      </w:r>
    </w:p>
    <w:p w14:paraId="42C2A522">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3.不同的投标人的投标文件载明的项目管理员为同一个人；</w:t>
      </w:r>
    </w:p>
    <w:p w14:paraId="4045E570">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4.不同投标人的投标文件异常一致或投标报价呈规律性差异； </w:t>
      </w:r>
    </w:p>
    <w:p w14:paraId="547FDC98">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5.不同投标人的投标文件相互混装。</w:t>
      </w:r>
    </w:p>
    <w:p w14:paraId="483E8411">
      <w:pPr>
        <w:snapToGrid w:val="0"/>
        <w:spacing w:before="156" w:beforeLines="50" w:after="50" w:line="36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二、我公司承诺无下列恶意串通的情形：</w:t>
      </w:r>
    </w:p>
    <w:p w14:paraId="215D59A4">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1.供应商直接或者间接从采购人或者采购代理机构处获得其他供应商的相关信息并修改其投标文件或者投标文件；</w:t>
      </w:r>
    </w:p>
    <w:p w14:paraId="1544BDC6">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2.供应商按照采购人或者采购代理机构的授意撤换、修改投标文件或者投标文件；</w:t>
      </w:r>
    </w:p>
    <w:p w14:paraId="09311C91">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3.供应商之间协商报价、技术方案等投标文件或者投标文件的实质性内容；</w:t>
      </w:r>
    </w:p>
    <w:p w14:paraId="3C218CAA">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4.属于同一集团、协会、商会等组织成员的供应商按照该组织要求协同参加政府采购活动；</w:t>
      </w:r>
    </w:p>
    <w:p w14:paraId="6E1E331E">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5.供应商之间事先约定一致抬高或者压低投标报价，或者在招标项目中事先约定轮流以高价位或者低价位中标，或者事先约定由某一特定供应商中标，然后再参加投标；</w:t>
      </w:r>
    </w:p>
    <w:p w14:paraId="179BEC2E">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6.供应商之间商定部分供应商放弃参加政府采购活动或者放弃中标；</w:t>
      </w:r>
    </w:p>
    <w:p w14:paraId="53C051F0">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7.供应商与采购人或者采购代理机构之间、供应商相互之间，为谋求特定供应商中标或者排斥其他供应商的其他串通行为。</w:t>
      </w:r>
    </w:p>
    <w:p w14:paraId="14144AFE">
      <w:pPr>
        <w:snapToGrid w:val="0"/>
        <w:spacing w:before="156" w:beforeLines="50" w:after="50" w:line="320" w:lineRule="exact"/>
        <w:ind w:firstLine="470" w:firstLineChars="196"/>
        <w:jc w:val="left"/>
        <w:rPr>
          <w:rFonts w:hint="eastAsia" w:ascii="仿宋" w:hAnsi="仿宋" w:eastAsia="仿宋" w:cs="仿宋"/>
          <w:color w:val="auto"/>
          <w:sz w:val="24"/>
          <w:highlight w:val="none"/>
        </w:rPr>
      </w:pPr>
    </w:p>
    <w:p w14:paraId="698DADD7">
      <w:pPr>
        <w:snapToGrid w:val="0"/>
        <w:spacing w:before="156" w:beforeLines="50" w:after="50"/>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以上情形一经核查属实，我方愿意承担一切后果，并不再寻求任何旨在减轻或免除法律责任的辩解。</w:t>
      </w:r>
    </w:p>
    <w:p w14:paraId="7B52FA74">
      <w:pPr>
        <w:snapToGrid w:val="0"/>
        <w:spacing w:line="400" w:lineRule="exact"/>
        <w:ind w:firstLine="1890" w:firstLineChars="900"/>
        <w:outlineLvl w:val="4"/>
        <w:rPr>
          <w:rFonts w:hint="eastAsia" w:ascii="仿宋" w:hAnsi="仿宋" w:eastAsia="仿宋" w:cs="仿宋"/>
          <w:color w:val="auto"/>
          <w:szCs w:val="21"/>
          <w:highlight w:val="none"/>
        </w:rPr>
      </w:pPr>
    </w:p>
    <w:p w14:paraId="395F1CD1">
      <w:pPr>
        <w:snapToGrid w:val="0"/>
        <w:spacing w:line="400" w:lineRule="exact"/>
        <w:ind w:firstLine="1890" w:firstLineChars="90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 (电子签章)：</w:t>
      </w:r>
      <w:r>
        <w:rPr>
          <w:rFonts w:hint="eastAsia" w:ascii="仿宋" w:hAnsi="仿宋" w:eastAsia="仿宋" w:cs="仿宋"/>
          <w:color w:val="auto"/>
          <w:szCs w:val="21"/>
          <w:highlight w:val="none"/>
          <w:u w:val="single"/>
        </w:rPr>
        <w:t xml:space="preserve">                                     </w:t>
      </w:r>
    </w:p>
    <w:p w14:paraId="10E14E54">
      <w:pPr>
        <w:pStyle w:val="6"/>
        <w:spacing w:line="4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14:paraId="2E869C2C">
      <w:pPr>
        <w:spacing w:line="3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7D220B8A">
      <w:pPr>
        <w:spacing w:line="400" w:lineRule="exact"/>
        <w:rPr>
          <w:rFonts w:hint="eastAsia" w:ascii="仿宋" w:hAnsi="仿宋" w:eastAsia="仿宋" w:cs="仿宋"/>
          <w:b/>
          <w:color w:val="auto"/>
          <w:sz w:val="32"/>
          <w:szCs w:val="32"/>
          <w:highlight w:val="none"/>
        </w:rPr>
      </w:pPr>
    </w:p>
    <w:p w14:paraId="1E2198E2">
      <w:pPr>
        <w:spacing w:line="400" w:lineRule="exact"/>
        <w:rPr>
          <w:rFonts w:hint="eastAsia" w:ascii="仿宋" w:hAnsi="仿宋" w:eastAsia="仿宋" w:cs="仿宋"/>
          <w:b/>
          <w:color w:val="auto"/>
          <w:sz w:val="32"/>
          <w:szCs w:val="32"/>
          <w:highlight w:val="none"/>
        </w:rPr>
      </w:pPr>
    </w:p>
    <w:p w14:paraId="09F2D160">
      <w:pPr>
        <w:spacing w:line="400" w:lineRule="exact"/>
        <w:rPr>
          <w:rFonts w:hint="eastAsia" w:ascii="仿宋" w:hAnsi="仿宋" w:eastAsia="仿宋" w:cs="仿宋"/>
          <w:b/>
          <w:color w:val="auto"/>
          <w:sz w:val="32"/>
          <w:szCs w:val="32"/>
          <w:highlight w:val="none"/>
        </w:rPr>
      </w:pPr>
    </w:p>
    <w:p w14:paraId="4356F6FD">
      <w:pPr>
        <w:spacing w:line="400" w:lineRule="exact"/>
        <w:rPr>
          <w:rFonts w:hint="eastAsia" w:ascii="仿宋" w:hAnsi="仿宋" w:eastAsia="仿宋" w:cs="仿宋"/>
          <w:b/>
          <w:color w:val="auto"/>
          <w:sz w:val="32"/>
          <w:szCs w:val="32"/>
          <w:highlight w:val="none"/>
        </w:rPr>
      </w:pPr>
    </w:p>
    <w:p w14:paraId="7A4E1AB4">
      <w:pPr>
        <w:spacing w:line="400" w:lineRule="exact"/>
        <w:rPr>
          <w:rFonts w:hint="eastAsia" w:ascii="仿宋" w:hAnsi="仿宋" w:eastAsia="仿宋" w:cs="仿宋"/>
          <w:b/>
          <w:color w:val="auto"/>
          <w:sz w:val="32"/>
          <w:szCs w:val="32"/>
          <w:highlight w:val="none"/>
        </w:rPr>
      </w:pPr>
    </w:p>
    <w:p w14:paraId="21636095">
      <w:pPr>
        <w:spacing w:line="400" w:lineRule="exact"/>
        <w:rPr>
          <w:rFonts w:hint="eastAsia" w:ascii="仿宋" w:hAnsi="仿宋" w:eastAsia="仿宋" w:cs="仿宋"/>
          <w:b/>
          <w:color w:val="auto"/>
          <w:sz w:val="32"/>
          <w:szCs w:val="32"/>
          <w:highlight w:val="none"/>
        </w:rPr>
      </w:pPr>
    </w:p>
    <w:p w14:paraId="7C7CEAE6">
      <w:pPr>
        <w:spacing w:line="400" w:lineRule="exact"/>
        <w:rPr>
          <w:rFonts w:hint="eastAsia" w:ascii="仿宋" w:hAnsi="仿宋" w:eastAsia="仿宋" w:cs="仿宋"/>
          <w:b/>
          <w:color w:val="auto"/>
          <w:sz w:val="32"/>
          <w:szCs w:val="32"/>
          <w:highlight w:val="none"/>
        </w:rPr>
      </w:pPr>
    </w:p>
    <w:p w14:paraId="5F4C714A">
      <w:pPr>
        <w:spacing w:line="400" w:lineRule="exact"/>
        <w:rPr>
          <w:rFonts w:hint="eastAsia" w:ascii="仿宋" w:hAnsi="仿宋" w:eastAsia="仿宋" w:cs="仿宋"/>
          <w:b/>
          <w:color w:val="auto"/>
          <w:sz w:val="32"/>
          <w:szCs w:val="32"/>
          <w:highlight w:val="none"/>
        </w:rPr>
      </w:pPr>
    </w:p>
    <w:p w14:paraId="12A307EA">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二、商务、技术性响应及其他有效证明材料</w:t>
      </w:r>
    </w:p>
    <w:p w14:paraId="1373624B">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1.投标函（必须提供）</w:t>
      </w:r>
    </w:p>
    <w:p w14:paraId="4C8E9942">
      <w:pPr>
        <w:spacing w:line="400" w:lineRule="exact"/>
        <w:rPr>
          <w:rFonts w:hint="eastAsia" w:ascii="仿宋" w:hAnsi="仿宋" w:eastAsia="仿宋" w:cs="仿宋"/>
          <w:b/>
          <w:color w:val="auto"/>
          <w:sz w:val="32"/>
          <w:szCs w:val="32"/>
          <w:highlight w:val="none"/>
        </w:rPr>
      </w:pPr>
    </w:p>
    <w:p w14:paraId="159A53CB">
      <w:pPr>
        <w:spacing w:line="44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投标函（格式）</w:t>
      </w:r>
    </w:p>
    <w:p w14:paraId="5C8D4BEA">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广西金证招标代理有限公司</w:t>
      </w:r>
      <w:r>
        <w:rPr>
          <w:rFonts w:hint="eastAsia" w:ascii="仿宋" w:hAnsi="仿宋" w:eastAsia="仿宋" w:cs="仿宋"/>
          <w:color w:val="auto"/>
          <w:szCs w:val="21"/>
          <w:highlight w:val="none"/>
        </w:rPr>
        <w:t>：</w:t>
      </w:r>
    </w:p>
    <w:p w14:paraId="33A6408D">
      <w:pPr>
        <w:spacing w:line="320" w:lineRule="exact"/>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根据贵方</w:t>
      </w:r>
      <w:r>
        <w:rPr>
          <w:rFonts w:hint="eastAsia" w:ascii="仿宋" w:hAnsi="仿宋" w:eastAsia="仿宋" w:cs="仿宋"/>
          <w:color w:val="auto"/>
          <w:szCs w:val="21"/>
          <w:highlight w:val="none"/>
          <w:u w:val="single"/>
        </w:rPr>
        <w:t xml:space="preserve"> 项目名称</w:t>
      </w: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）的招标公告，签字代表______</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（姓名）经正式授权并代表投标人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（投标人名称）提交投标文件。</w:t>
      </w:r>
    </w:p>
    <w:p w14:paraId="0C073452">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据此函，我方宣布同意如下：</w:t>
      </w:r>
    </w:p>
    <w:p w14:paraId="0B6EF221">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A4B8247">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2.我方在投标之前已经完全理解并接受招标文件的各项规定和要求，对招标文件的合理性、合法性不再有异议。</w:t>
      </w:r>
    </w:p>
    <w:p w14:paraId="7DD1B0A9">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3.本投标有效期自投标截止之日起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0733F8C">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4.如我方中标，本投标文件至本项目合同履行完毕止均保持有效，我方将按“招标文件”及政府采购法律、法规的规定履行合同责任和义务。</w:t>
      </w:r>
    </w:p>
    <w:p w14:paraId="1059DD51">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0"/>
          <w:highlight w:val="none"/>
        </w:rPr>
        <w:t>如我方中标，我方保证按本项目招标文件的规定及标准向贵单位一次性足额支付代理服务费。代理服务费发票我方选择开具：</w:t>
      </w:r>
      <w:r>
        <w:rPr>
          <w:rFonts w:hint="eastAsia" w:ascii="仿宋" w:hAnsi="仿宋" w:eastAsia="仿宋" w:cs="仿宋"/>
          <w:color w:val="auto"/>
          <w:kern w:val="0"/>
          <w:highlight w:val="none"/>
        </w:rPr>
        <w:t>□</w:t>
      </w:r>
      <w:r>
        <w:rPr>
          <w:rFonts w:hint="eastAsia" w:ascii="仿宋" w:hAnsi="仿宋" w:eastAsia="仿宋" w:cs="仿宋"/>
          <w:color w:val="auto"/>
          <w:kern w:val="0"/>
          <w:szCs w:val="20"/>
          <w:highlight w:val="none"/>
          <w:u w:val="single"/>
        </w:rPr>
        <w:t>增值税普通发票</w:t>
      </w:r>
      <w:r>
        <w:rPr>
          <w:rFonts w:hint="eastAsia" w:ascii="仿宋" w:hAnsi="仿宋" w:eastAsia="仿宋" w:cs="仿宋"/>
          <w:color w:val="auto"/>
          <w:kern w:val="0"/>
          <w:szCs w:val="20"/>
          <w:highlight w:val="none"/>
        </w:rPr>
        <w:t>、</w:t>
      </w:r>
      <w:r>
        <w:rPr>
          <w:rFonts w:hint="eastAsia" w:ascii="仿宋" w:hAnsi="仿宋" w:eastAsia="仿宋" w:cs="仿宋"/>
          <w:color w:val="auto"/>
          <w:kern w:val="0"/>
          <w:highlight w:val="none"/>
        </w:rPr>
        <w:t>□</w:t>
      </w:r>
      <w:r>
        <w:rPr>
          <w:rFonts w:hint="eastAsia" w:ascii="仿宋" w:hAnsi="仿宋" w:eastAsia="仿宋" w:cs="仿宋"/>
          <w:color w:val="auto"/>
          <w:kern w:val="0"/>
          <w:szCs w:val="20"/>
          <w:highlight w:val="none"/>
          <w:u w:val="single"/>
        </w:rPr>
        <w:t>增值税专用发票</w:t>
      </w:r>
      <w:r>
        <w:rPr>
          <w:rFonts w:hint="eastAsia" w:ascii="仿宋" w:hAnsi="仿宋" w:eastAsia="仿宋" w:cs="仿宋"/>
          <w:color w:val="auto"/>
          <w:kern w:val="0"/>
          <w:szCs w:val="20"/>
          <w:highlight w:val="none"/>
        </w:rPr>
        <w:t>，开票信息如下:</w:t>
      </w:r>
    </w:p>
    <w:p w14:paraId="628C1EDA">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开具增值税</w:t>
      </w:r>
      <w:r>
        <w:rPr>
          <w:rFonts w:hint="eastAsia" w:ascii="仿宋" w:hAnsi="仿宋" w:eastAsia="仿宋" w:cs="仿宋"/>
          <w:b/>
          <w:color w:val="auto"/>
          <w:kern w:val="0"/>
          <w:szCs w:val="20"/>
          <w:highlight w:val="none"/>
        </w:rPr>
        <w:t>普通</w:t>
      </w:r>
      <w:r>
        <w:rPr>
          <w:rFonts w:hint="eastAsia" w:ascii="仿宋" w:hAnsi="仿宋" w:eastAsia="仿宋" w:cs="仿宋"/>
          <w:color w:val="auto"/>
          <w:kern w:val="0"/>
          <w:szCs w:val="20"/>
          <w:highlight w:val="none"/>
        </w:rPr>
        <w:t>发票开票信息:</w:t>
      </w:r>
    </w:p>
    <w:p w14:paraId="34887467">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①公司名称：</w:t>
      </w:r>
      <w:r>
        <w:rPr>
          <w:rFonts w:hint="eastAsia" w:ascii="仿宋" w:hAnsi="仿宋" w:eastAsia="仿宋" w:cs="仿宋"/>
          <w:color w:val="auto"/>
          <w:kern w:val="0"/>
          <w:szCs w:val="20"/>
          <w:highlight w:val="none"/>
          <w:u w:val="single"/>
        </w:rPr>
        <w:t xml:space="preserve">               </w:t>
      </w:r>
      <w:r>
        <w:rPr>
          <w:rFonts w:hint="eastAsia" w:ascii="仿宋" w:hAnsi="仿宋" w:eastAsia="仿宋" w:cs="仿宋"/>
          <w:color w:val="auto"/>
          <w:kern w:val="0"/>
          <w:szCs w:val="20"/>
          <w:highlight w:val="none"/>
        </w:rPr>
        <w:t xml:space="preserve"> </w:t>
      </w:r>
    </w:p>
    <w:p w14:paraId="71E659C6">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②纳税人识别号：</w:t>
      </w:r>
      <w:r>
        <w:rPr>
          <w:rFonts w:hint="eastAsia" w:ascii="仿宋" w:hAnsi="仿宋" w:eastAsia="仿宋" w:cs="仿宋"/>
          <w:color w:val="auto"/>
          <w:kern w:val="0"/>
          <w:szCs w:val="20"/>
          <w:highlight w:val="none"/>
          <w:u w:val="single"/>
        </w:rPr>
        <w:t xml:space="preserve">               </w:t>
      </w:r>
    </w:p>
    <w:p w14:paraId="2D0EF046">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开具增值税</w:t>
      </w:r>
      <w:r>
        <w:rPr>
          <w:rFonts w:hint="eastAsia" w:ascii="仿宋" w:hAnsi="仿宋" w:eastAsia="仿宋" w:cs="仿宋"/>
          <w:b/>
          <w:color w:val="auto"/>
          <w:kern w:val="0"/>
          <w:szCs w:val="20"/>
          <w:highlight w:val="none"/>
        </w:rPr>
        <w:t>专用</w:t>
      </w:r>
      <w:r>
        <w:rPr>
          <w:rFonts w:hint="eastAsia" w:ascii="仿宋" w:hAnsi="仿宋" w:eastAsia="仿宋" w:cs="仿宋"/>
          <w:color w:val="auto"/>
          <w:kern w:val="0"/>
          <w:szCs w:val="20"/>
          <w:highlight w:val="none"/>
        </w:rPr>
        <w:t>发票开票信息:</w:t>
      </w:r>
    </w:p>
    <w:p w14:paraId="31248446">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①公司名称：</w:t>
      </w:r>
      <w:r>
        <w:rPr>
          <w:rFonts w:hint="eastAsia" w:ascii="仿宋" w:hAnsi="仿宋" w:eastAsia="仿宋" w:cs="仿宋"/>
          <w:color w:val="auto"/>
          <w:kern w:val="0"/>
          <w:szCs w:val="20"/>
          <w:highlight w:val="none"/>
          <w:u w:val="single"/>
        </w:rPr>
        <w:t xml:space="preserve">               </w:t>
      </w:r>
    </w:p>
    <w:p w14:paraId="60F338E9">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②纳税人识别号：_</w:t>
      </w:r>
      <w:r>
        <w:rPr>
          <w:rFonts w:hint="eastAsia" w:ascii="仿宋" w:hAnsi="仿宋" w:eastAsia="仿宋" w:cs="仿宋"/>
          <w:color w:val="auto"/>
          <w:kern w:val="0"/>
          <w:szCs w:val="20"/>
          <w:highlight w:val="none"/>
          <w:u w:val="single"/>
        </w:rPr>
        <w:t xml:space="preserve">               </w:t>
      </w:r>
    </w:p>
    <w:p w14:paraId="6DDB276C">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③税局登记地址：</w:t>
      </w:r>
      <w:r>
        <w:rPr>
          <w:rFonts w:hint="eastAsia" w:ascii="仿宋" w:hAnsi="仿宋" w:eastAsia="仿宋" w:cs="仿宋"/>
          <w:color w:val="auto"/>
          <w:kern w:val="0"/>
          <w:szCs w:val="20"/>
          <w:highlight w:val="none"/>
          <w:u w:val="single"/>
        </w:rPr>
        <w:t xml:space="preserve">               </w:t>
      </w:r>
    </w:p>
    <w:p w14:paraId="0B843FD7">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④税局登记电话：</w:t>
      </w:r>
      <w:r>
        <w:rPr>
          <w:rFonts w:hint="eastAsia" w:ascii="仿宋" w:hAnsi="仿宋" w:eastAsia="仿宋" w:cs="仿宋"/>
          <w:color w:val="auto"/>
          <w:kern w:val="0"/>
          <w:szCs w:val="20"/>
          <w:highlight w:val="none"/>
          <w:u w:val="single"/>
        </w:rPr>
        <w:t xml:space="preserve">               </w:t>
      </w:r>
    </w:p>
    <w:p w14:paraId="6B91DA45">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⑤开户银行：</w:t>
      </w:r>
      <w:r>
        <w:rPr>
          <w:rFonts w:hint="eastAsia" w:ascii="仿宋" w:hAnsi="仿宋" w:eastAsia="仿宋" w:cs="仿宋"/>
          <w:color w:val="auto"/>
          <w:kern w:val="0"/>
          <w:szCs w:val="20"/>
          <w:highlight w:val="none"/>
          <w:u w:val="single"/>
        </w:rPr>
        <w:t xml:space="preserve">               </w:t>
      </w:r>
    </w:p>
    <w:p w14:paraId="556F67A0">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⑥银行账户：</w:t>
      </w:r>
      <w:r>
        <w:rPr>
          <w:rFonts w:hint="eastAsia" w:ascii="仿宋" w:hAnsi="仿宋" w:eastAsia="仿宋" w:cs="仿宋"/>
          <w:color w:val="auto"/>
          <w:kern w:val="0"/>
          <w:szCs w:val="20"/>
          <w:highlight w:val="none"/>
          <w:u w:val="single"/>
        </w:rPr>
        <w:t xml:space="preserve">               </w:t>
      </w:r>
    </w:p>
    <w:p w14:paraId="2DE747F5">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6.我方同意按照贵方要求提供与投标有关的一切数据或者资料。</w:t>
      </w:r>
    </w:p>
    <w:p w14:paraId="1CC04BE3">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7.我方向贵方提交的所有投标文件、资料都是准确的和真实的。</w:t>
      </w:r>
    </w:p>
    <w:p w14:paraId="182BFAB1">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14:paraId="6A3D06C1">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42390BA1">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□我方本次投标文件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14:paraId="21800073">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□我方本次投标文件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14:paraId="469DF0E7">
      <w:pPr>
        <w:snapToGrid w:val="0"/>
        <w:spacing w:line="320" w:lineRule="exact"/>
        <w:jc w:val="left"/>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342F9F71">
      <w:pPr>
        <w:snapToGrid w:val="0"/>
        <w:spacing w:line="320" w:lineRule="exact"/>
        <w:ind w:firstLine="315" w:firstLineChars="150"/>
        <w:jc w:val="left"/>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投标人电子签章：</w:t>
      </w:r>
      <w:r>
        <w:rPr>
          <w:rFonts w:hint="eastAsia" w:ascii="仿宋" w:hAnsi="仿宋" w:eastAsia="仿宋" w:cs="仿宋"/>
          <w:color w:val="auto"/>
          <w:szCs w:val="21"/>
          <w:highlight w:val="none"/>
          <w:u w:val="single"/>
        </w:rPr>
        <w:t xml:space="preserve">                                     </w:t>
      </w:r>
    </w:p>
    <w:p w14:paraId="22047D81">
      <w:pPr>
        <w:pStyle w:val="6"/>
        <w:spacing w:line="320" w:lineRule="exact"/>
        <w:ind w:firstLine="315" w:firstLineChars="150"/>
        <w:jc w:val="left"/>
        <w:rPr>
          <w:rFonts w:hint="eastAsia" w:ascii="仿宋" w:hAnsi="仿宋" w:eastAsia="仿宋" w:cs="仿宋"/>
          <w:color w:val="auto"/>
          <w:szCs w:val="21"/>
          <w:highlight w:val="none"/>
          <w:u w:val="single"/>
        </w:rPr>
      </w:pPr>
      <w:r>
        <w:rPr>
          <w:rFonts w:hint="eastAsia" w:ascii="仿宋" w:hAnsi="仿宋" w:eastAsia="仿宋" w:cs="仿宋"/>
          <w:color w:val="auto"/>
          <w:szCs w:val="24"/>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14:paraId="214F9455">
      <w:pPr>
        <w:spacing w:line="32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04FA4BE3">
      <w:pPr>
        <w:spacing w:line="400" w:lineRule="exact"/>
        <w:rPr>
          <w:rFonts w:hint="eastAsia" w:ascii="仿宋" w:hAnsi="仿宋" w:eastAsia="仿宋" w:cs="仿宋"/>
          <w:b/>
          <w:color w:val="auto"/>
          <w:sz w:val="32"/>
          <w:szCs w:val="32"/>
          <w:highlight w:val="none"/>
        </w:rPr>
      </w:pPr>
    </w:p>
    <w:p w14:paraId="113DF020">
      <w:pPr>
        <w:spacing w:line="400" w:lineRule="exact"/>
        <w:rPr>
          <w:rFonts w:hint="eastAsia" w:ascii="仿宋" w:hAnsi="仿宋" w:eastAsia="仿宋" w:cs="仿宋"/>
          <w:b/>
          <w:color w:val="auto"/>
          <w:sz w:val="32"/>
          <w:szCs w:val="32"/>
          <w:highlight w:val="none"/>
        </w:rPr>
      </w:pPr>
    </w:p>
    <w:p w14:paraId="1031B8FF">
      <w:pPr>
        <w:spacing w:line="400" w:lineRule="exact"/>
        <w:rPr>
          <w:rFonts w:hint="eastAsia" w:ascii="仿宋" w:hAnsi="仿宋" w:eastAsia="仿宋" w:cs="仿宋"/>
          <w:b/>
          <w:color w:val="auto"/>
          <w:sz w:val="32"/>
          <w:szCs w:val="32"/>
          <w:highlight w:val="none"/>
        </w:rPr>
      </w:pPr>
    </w:p>
    <w:p w14:paraId="5E92B90B">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2.投标报价表（必须提供）</w:t>
      </w:r>
    </w:p>
    <w:p w14:paraId="3DD1D3DB">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35B951E0">
      <w:pPr>
        <w:spacing w:line="44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投标报价表（格式）</w:t>
      </w:r>
    </w:p>
    <w:p w14:paraId="2186C5A2">
      <w:pPr>
        <w:spacing w:line="240" w:lineRule="exact"/>
        <w:jc w:val="center"/>
        <w:rPr>
          <w:rFonts w:hint="eastAsia" w:ascii="仿宋" w:hAnsi="仿宋" w:eastAsia="仿宋" w:cs="仿宋"/>
          <w:color w:val="auto"/>
          <w:sz w:val="32"/>
          <w:highlight w:val="none"/>
        </w:rPr>
      </w:pPr>
    </w:p>
    <w:p w14:paraId="4A58A7BA">
      <w:pPr>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致：</w:t>
      </w:r>
      <w:r>
        <w:rPr>
          <w:rFonts w:hint="eastAsia" w:ascii="仿宋" w:hAnsi="仿宋" w:eastAsia="仿宋" w:cs="仿宋"/>
          <w:color w:val="auto"/>
          <w:highlight w:val="none"/>
          <w:u w:val="single"/>
        </w:rPr>
        <w:t>广西金证招标代理有限公司</w:t>
      </w:r>
    </w:p>
    <w:p w14:paraId="4627562C">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根据贵方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项目招标文件，项目编号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，签字代表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（姓名）经正式授权并代表投标人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投标单位名称），并做出如下报价：</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074"/>
        <w:gridCol w:w="1342"/>
        <w:gridCol w:w="887"/>
        <w:gridCol w:w="1402"/>
        <w:gridCol w:w="759"/>
        <w:gridCol w:w="504"/>
        <w:gridCol w:w="860"/>
        <w:gridCol w:w="1272"/>
        <w:gridCol w:w="1272"/>
      </w:tblGrid>
      <w:tr w14:paraId="247BA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4" w:hRule="atLeast"/>
        </w:trPr>
        <w:tc>
          <w:tcPr>
            <w:tcW w:w="648" w:type="dxa"/>
            <w:tcBorders>
              <w:top w:val="single" w:color="auto" w:sz="4" w:space="0"/>
              <w:left w:val="single" w:color="auto" w:sz="4" w:space="0"/>
              <w:bottom w:val="single" w:color="auto" w:sz="4" w:space="0"/>
              <w:right w:val="single" w:color="auto" w:sz="4" w:space="0"/>
            </w:tcBorders>
            <w:vAlign w:val="center"/>
          </w:tcPr>
          <w:p w14:paraId="6E21BA63">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项号</w:t>
            </w:r>
          </w:p>
        </w:tc>
        <w:tc>
          <w:tcPr>
            <w:tcW w:w="1074" w:type="dxa"/>
            <w:tcBorders>
              <w:top w:val="single" w:color="auto" w:sz="4" w:space="0"/>
              <w:left w:val="single" w:color="auto" w:sz="4" w:space="0"/>
              <w:bottom w:val="single" w:color="auto" w:sz="4" w:space="0"/>
              <w:right w:val="single" w:color="auto" w:sz="4" w:space="0"/>
            </w:tcBorders>
            <w:vAlign w:val="center"/>
          </w:tcPr>
          <w:p w14:paraId="1EF85117">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1342" w:type="dxa"/>
            <w:tcBorders>
              <w:top w:val="single" w:color="auto" w:sz="4" w:space="0"/>
              <w:left w:val="single" w:color="auto" w:sz="4" w:space="0"/>
              <w:bottom w:val="single" w:color="auto" w:sz="4" w:space="0"/>
              <w:right w:val="single" w:color="auto" w:sz="4" w:space="0"/>
            </w:tcBorders>
            <w:vAlign w:val="center"/>
          </w:tcPr>
          <w:p w14:paraId="374BB333">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生产厂家</w:t>
            </w:r>
          </w:p>
        </w:tc>
        <w:tc>
          <w:tcPr>
            <w:tcW w:w="887" w:type="dxa"/>
            <w:tcBorders>
              <w:top w:val="single" w:color="auto" w:sz="4" w:space="0"/>
              <w:left w:val="single" w:color="auto" w:sz="4" w:space="0"/>
              <w:bottom w:val="single" w:color="auto" w:sz="4" w:space="0"/>
              <w:right w:val="single" w:color="auto" w:sz="4" w:space="0"/>
            </w:tcBorders>
            <w:vAlign w:val="center"/>
          </w:tcPr>
          <w:p w14:paraId="6E268F2E">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品牌</w:t>
            </w:r>
          </w:p>
        </w:tc>
        <w:tc>
          <w:tcPr>
            <w:tcW w:w="1402" w:type="dxa"/>
            <w:tcBorders>
              <w:top w:val="single" w:color="auto" w:sz="4" w:space="0"/>
              <w:left w:val="single" w:color="auto" w:sz="4" w:space="0"/>
              <w:bottom w:val="single" w:color="auto" w:sz="4" w:space="0"/>
              <w:right w:val="single" w:color="auto" w:sz="4" w:space="0"/>
            </w:tcBorders>
            <w:vAlign w:val="center"/>
          </w:tcPr>
          <w:p w14:paraId="584FC7E1">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规格型号</w:t>
            </w:r>
          </w:p>
        </w:tc>
        <w:tc>
          <w:tcPr>
            <w:tcW w:w="759" w:type="dxa"/>
            <w:tcBorders>
              <w:top w:val="single" w:color="auto" w:sz="4" w:space="0"/>
              <w:left w:val="single" w:color="auto" w:sz="4" w:space="0"/>
              <w:bottom w:val="single" w:color="auto" w:sz="4" w:space="0"/>
              <w:right w:val="single" w:color="auto" w:sz="4" w:space="0"/>
            </w:tcBorders>
            <w:vAlign w:val="center"/>
          </w:tcPr>
          <w:p w14:paraId="07B3D96F">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p w14:paraId="19A930DF">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①</w:t>
            </w:r>
          </w:p>
        </w:tc>
        <w:tc>
          <w:tcPr>
            <w:tcW w:w="504" w:type="dxa"/>
            <w:tcBorders>
              <w:top w:val="single" w:color="auto" w:sz="4" w:space="0"/>
              <w:left w:val="single" w:color="auto" w:sz="4" w:space="0"/>
              <w:bottom w:val="single" w:color="auto" w:sz="4" w:space="0"/>
              <w:right w:val="single" w:color="auto" w:sz="4" w:space="0"/>
            </w:tcBorders>
            <w:vAlign w:val="center"/>
          </w:tcPr>
          <w:p w14:paraId="0AC4A1AC">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860" w:type="dxa"/>
            <w:tcBorders>
              <w:top w:val="single" w:color="auto" w:sz="4" w:space="0"/>
              <w:left w:val="single" w:color="auto" w:sz="4" w:space="0"/>
              <w:bottom w:val="single" w:color="auto" w:sz="4" w:space="0"/>
              <w:right w:val="single" w:color="auto" w:sz="4" w:space="0"/>
            </w:tcBorders>
            <w:vAlign w:val="center"/>
          </w:tcPr>
          <w:p w14:paraId="347B01FA">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单价（元）</w:t>
            </w:r>
          </w:p>
          <w:p w14:paraId="6E079A07">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②</w:t>
            </w:r>
          </w:p>
        </w:tc>
        <w:tc>
          <w:tcPr>
            <w:tcW w:w="1272" w:type="dxa"/>
            <w:tcBorders>
              <w:top w:val="single" w:color="auto" w:sz="4" w:space="0"/>
              <w:left w:val="single" w:color="auto" w:sz="4" w:space="0"/>
              <w:bottom w:val="single" w:color="auto" w:sz="4" w:space="0"/>
            </w:tcBorders>
            <w:vAlign w:val="center"/>
          </w:tcPr>
          <w:p w14:paraId="34ACDFF3">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单项合计=数量×单价</w:t>
            </w:r>
          </w:p>
          <w:p w14:paraId="67184C36">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③＝①×②</w:t>
            </w:r>
          </w:p>
        </w:tc>
        <w:tc>
          <w:tcPr>
            <w:tcW w:w="1272" w:type="dxa"/>
            <w:tcBorders>
              <w:top w:val="single" w:color="auto" w:sz="4" w:space="0"/>
              <w:left w:val="single" w:color="auto" w:sz="4" w:space="0"/>
              <w:bottom w:val="single" w:color="auto" w:sz="4" w:space="0"/>
            </w:tcBorders>
            <w:vAlign w:val="center"/>
          </w:tcPr>
          <w:p w14:paraId="2A3092C7">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16CE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648" w:type="dxa"/>
            <w:tcBorders>
              <w:top w:val="single" w:color="auto" w:sz="4" w:space="0"/>
              <w:left w:val="single" w:color="auto" w:sz="4" w:space="0"/>
              <w:right w:val="single" w:color="auto" w:sz="4" w:space="0"/>
            </w:tcBorders>
            <w:vAlign w:val="center"/>
          </w:tcPr>
          <w:p w14:paraId="37355CFA">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74" w:type="dxa"/>
            <w:tcBorders>
              <w:top w:val="single" w:color="auto" w:sz="4" w:space="0"/>
              <w:left w:val="single" w:color="auto" w:sz="4" w:space="0"/>
              <w:bottom w:val="single" w:color="auto" w:sz="4" w:space="0"/>
              <w:right w:val="single" w:color="auto" w:sz="4" w:space="0"/>
            </w:tcBorders>
            <w:vAlign w:val="center"/>
          </w:tcPr>
          <w:p w14:paraId="153CA549">
            <w:pPr>
              <w:spacing w:line="440" w:lineRule="exact"/>
              <w:jc w:val="center"/>
              <w:rPr>
                <w:rFonts w:hint="eastAsia" w:ascii="仿宋" w:hAnsi="仿宋" w:eastAsia="仿宋" w:cs="仿宋"/>
                <w:color w:val="auto"/>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529D996A">
            <w:pPr>
              <w:spacing w:line="440" w:lineRule="exact"/>
              <w:jc w:val="center"/>
              <w:rPr>
                <w:rFonts w:hint="eastAsia" w:ascii="仿宋" w:hAnsi="仿宋" w:eastAsia="仿宋" w:cs="仿宋"/>
                <w:color w:val="auto"/>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031364AF">
            <w:pPr>
              <w:spacing w:line="440" w:lineRule="exact"/>
              <w:jc w:val="center"/>
              <w:rPr>
                <w:rFonts w:hint="eastAsia" w:ascii="仿宋" w:hAnsi="仿宋" w:eastAsia="仿宋" w:cs="仿宋"/>
                <w:color w:val="auto"/>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1A0A33A4">
            <w:pPr>
              <w:spacing w:line="440" w:lineRule="exact"/>
              <w:jc w:val="center"/>
              <w:rPr>
                <w:rFonts w:hint="eastAsia" w:ascii="仿宋" w:hAnsi="仿宋" w:eastAsia="仿宋" w:cs="仿宋"/>
                <w:color w:val="auto"/>
                <w:highlight w:val="none"/>
              </w:rPr>
            </w:pPr>
          </w:p>
        </w:tc>
        <w:tc>
          <w:tcPr>
            <w:tcW w:w="759" w:type="dxa"/>
            <w:tcBorders>
              <w:top w:val="single" w:color="auto" w:sz="4" w:space="0"/>
              <w:left w:val="single" w:color="auto" w:sz="4" w:space="0"/>
              <w:bottom w:val="single" w:color="auto" w:sz="4" w:space="0"/>
              <w:right w:val="single" w:color="auto" w:sz="4" w:space="0"/>
            </w:tcBorders>
            <w:vAlign w:val="center"/>
          </w:tcPr>
          <w:p w14:paraId="146BD88D">
            <w:pPr>
              <w:spacing w:line="440" w:lineRule="exact"/>
              <w:jc w:val="center"/>
              <w:rPr>
                <w:rFonts w:hint="eastAsia" w:ascii="仿宋" w:hAnsi="仿宋" w:eastAsia="仿宋" w:cs="仿宋"/>
                <w:color w:val="auto"/>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085F45A9">
            <w:pPr>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A000CDB">
            <w:pPr>
              <w:spacing w:line="440" w:lineRule="exact"/>
              <w:jc w:val="center"/>
              <w:rPr>
                <w:rFonts w:hint="eastAsia" w:ascii="仿宋" w:hAnsi="仿宋" w:eastAsia="仿宋" w:cs="仿宋"/>
                <w:b/>
                <w:bCs/>
                <w:color w:val="auto"/>
                <w:highlight w:val="none"/>
              </w:rPr>
            </w:pPr>
          </w:p>
        </w:tc>
        <w:tc>
          <w:tcPr>
            <w:tcW w:w="1272" w:type="dxa"/>
            <w:tcBorders>
              <w:top w:val="single" w:color="auto" w:sz="4" w:space="0"/>
              <w:left w:val="single" w:color="auto" w:sz="4" w:space="0"/>
              <w:bottom w:val="single" w:color="auto" w:sz="4" w:space="0"/>
            </w:tcBorders>
            <w:vAlign w:val="center"/>
          </w:tcPr>
          <w:p w14:paraId="7EFA0AB1">
            <w:pPr>
              <w:spacing w:line="440" w:lineRule="exact"/>
              <w:jc w:val="center"/>
              <w:rPr>
                <w:rFonts w:hint="eastAsia" w:ascii="仿宋" w:hAnsi="仿宋" w:eastAsia="仿宋" w:cs="仿宋"/>
                <w:b/>
                <w:bCs/>
                <w:color w:val="auto"/>
                <w:highlight w:val="none"/>
              </w:rPr>
            </w:pPr>
          </w:p>
        </w:tc>
        <w:tc>
          <w:tcPr>
            <w:tcW w:w="1272" w:type="dxa"/>
            <w:vMerge w:val="restart"/>
            <w:tcBorders>
              <w:top w:val="single" w:color="auto" w:sz="4" w:space="0"/>
              <w:left w:val="single" w:color="auto" w:sz="4" w:space="0"/>
            </w:tcBorders>
            <w:vAlign w:val="center"/>
          </w:tcPr>
          <w:p w14:paraId="59792009">
            <w:pPr>
              <w:spacing w:line="44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所投标的的技术参数、配置等，详见“技术偏离表”</w:t>
            </w:r>
          </w:p>
        </w:tc>
      </w:tr>
      <w:tr w14:paraId="075C4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648" w:type="dxa"/>
            <w:tcBorders>
              <w:top w:val="single" w:color="auto" w:sz="4" w:space="0"/>
              <w:left w:val="single" w:color="auto" w:sz="4" w:space="0"/>
              <w:right w:val="single" w:color="auto" w:sz="4" w:space="0"/>
            </w:tcBorders>
            <w:vAlign w:val="center"/>
          </w:tcPr>
          <w:p w14:paraId="190C9942">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74" w:type="dxa"/>
            <w:tcBorders>
              <w:top w:val="single" w:color="auto" w:sz="4" w:space="0"/>
              <w:left w:val="single" w:color="auto" w:sz="4" w:space="0"/>
              <w:bottom w:val="single" w:color="auto" w:sz="4" w:space="0"/>
              <w:right w:val="single" w:color="auto" w:sz="4" w:space="0"/>
            </w:tcBorders>
            <w:vAlign w:val="center"/>
          </w:tcPr>
          <w:p w14:paraId="13603AFE">
            <w:pPr>
              <w:spacing w:line="440" w:lineRule="exact"/>
              <w:jc w:val="center"/>
              <w:rPr>
                <w:rFonts w:hint="eastAsia" w:ascii="仿宋" w:hAnsi="仿宋" w:eastAsia="仿宋" w:cs="仿宋"/>
                <w:color w:val="auto"/>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6DC3D6B9">
            <w:pPr>
              <w:spacing w:line="440" w:lineRule="exact"/>
              <w:jc w:val="center"/>
              <w:rPr>
                <w:rFonts w:hint="eastAsia" w:ascii="仿宋" w:hAnsi="仿宋" w:eastAsia="仿宋" w:cs="仿宋"/>
                <w:color w:val="auto"/>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0D1156BE">
            <w:pPr>
              <w:spacing w:line="440" w:lineRule="exact"/>
              <w:jc w:val="center"/>
              <w:rPr>
                <w:rFonts w:hint="eastAsia" w:ascii="仿宋" w:hAnsi="仿宋" w:eastAsia="仿宋" w:cs="仿宋"/>
                <w:color w:val="auto"/>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6D398146">
            <w:pPr>
              <w:spacing w:line="440" w:lineRule="exact"/>
              <w:jc w:val="center"/>
              <w:rPr>
                <w:rFonts w:hint="eastAsia" w:ascii="仿宋" w:hAnsi="仿宋" w:eastAsia="仿宋" w:cs="仿宋"/>
                <w:color w:val="auto"/>
                <w:highlight w:val="none"/>
              </w:rPr>
            </w:pPr>
          </w:p>
        </w:tc>
        <w:tc>
          <w:tcPr>
            <w:tcW w:w="759" w:type="dxa"/>
            <w:tcBorders>
              <w:top w:val="single" w:color="auto" w:sz="4" w:space="0"/>
              <w:left w:val="single" w:color="auto" w:sz="4" w:space="0"/>
              <w:bottom w:val="single" w:color="auto" w:sz="4" w:space="0"/>
              <w:right w:val="single" w:color="auto" w:sz="4" w:space="0"/>
            </w:tcBorders>
            <w:vAlign w:val="center"/>
          </w:tcPr>
          <w:p w14:paraId="52215ADB">
            <w:pPr>
              <w:spacing w:line="440" w:lineRule="exact"/>
              <w:jc w:val="center"/>
              <w:rPr>
                <w:rFonts w:hint="eastAsia" w:ascii="仿宋" w:hAnsi="仿宋" w:eastAsia="仿宋" w:cs="仿宋"/>
                <w:color w:val="auto"/>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64A76A49">
            <w:pPr>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5A54D7D">
            <w:pPr>
              <w:spacing w:line="440" w:lineRule="exact"/>
              <w:jc w:val="center"/>
              <w:rPr>
                <w:rFonts w:hint="eastAsia" w:ascii="仿宋" w:hAnsi="仿宋" w:eastAsia="仿宋" w:cs="仿宋"/>
                <w:b/>
                <w:bCs/>
                <w:color w:val="auto"/>
                <w:highlight w:val="none"/>
              </w:rPr>
            </w:pPr>
          </w:p>
        </w:tc>
        <w:tc>
          <w:tcPr>
            <w:tcW w:w="1272" w:type="dxa"/>
            <w:tcBorders>
              <w:top w:val="single" w:color="auto" w:sz="4" w:space="0"/>
              <w:left w:val="single" w:color="auto" w:sz="4" w:space="0"/>
              <w:bottom w:val="single" w:color="auto" w:sz="4" w:space="0"/>
            </w:tcBorders>
            <w:vAlign w:val="center"/>
          </w:tcPr>
          <w:p w14:paraId="319A5528">
            <w:pPr>
              <w:spacing w:line="440" w:lineRule="exact"/>
              <w:jc w:val="center"/>
              <w:rPr>
                <w:rFonts w:hint="eastAsia" w:ascii="仿宋" w:hAnsi="仿宋" w:eastAsia="仿宋" w:cs="仿宋"/>
                <w:b/>
                <w:bCs/>
                <w:color w:val="auto"/>
                <w:highlight w:val="none"/>
              </w:rPr>
            </w:pPr>
          </w:p>
        </w:tc>
        <w:tc>
          <w:tcPr>
            <w:tcW w:w="1272" w:type="dxa"/>
            <w:vMerge w:val="continue"/>
            <w:tcBorders>
              <w:left w:val="single" w:color="auto" w:sz="4" w:space="0"/>
              <w:bottom w:val="single" w:color="auto" w:sz="4" w:space="0"/>
            </w:tcBorders>
            <w:vAlign w:val="center"/>
          </w:tcPr>
          <w:p w14:paraId="08C1A179">
            <w:pPr>
              <w:spacing w:line="440" w:lineRule="exact"/>
              <w:jc w:val="center"/>
              <w:rPr>
                <w:rFonts w:hint="eastAsia" w:ascii="仿宋" w:hAnsi="仿宋" w:eastAsia="仿宋" w:cs="仿宋"/>
                <w:b/>
                <w:bCs/>
                <w:color w:val="auto"/>
                <w:highlight w:val="none"/>
              </w:rPr>
            </w:pPr>
          </w:p>
        </w:tc>
      </w:tr>
      <w:tr w14:paraId="7BFD2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trPr>
        <w:tc>
          <w:tcPr>
            <w:tcW w:w="10020" w:type="dxa"/>
            <w:gridSpan w:val="10"/>
            <w:tcBorders>
              <w:top w:val="single" w:color="auto" w:sz="4" w:space="0"/>
              <w:left w:val="single" w:color="auto" w:sz="4" w:space="0"/>
              <w:bottom w:val="single" w:color="auto" w:sz="4" w:space="0"/>
            </w:tcBorders>
            <w:vAlign w:val="center"/>
          </w:tcPr>
          <w:p w14:paraId="7AED4857">
            <w:pPr>
              <w:spacing w:line="440" w:lineRule="exact"/>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投标报价（大写）： </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 xml:space="preserve"> （¥</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 xml:space="preserve"> ）人民币</w:t>
            </w:r>
          </w:p>
        </w:tc>
      </w:tr>
      <w:tr w14:paraId="057A4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4" w:hRule="atLeast"/>
        </w:trPr>
        <w:tc>
          <w:tcPr>
            <w:tcW w:w="10020" w:type="dxa"/>
            <w:gridSpan w:val="10"/>
            <w:tcBorders>
              <w:top w:val="single" w:color="auto" w:sz="4" w:space="0"/>
              <w:left w:val="single" w:color="auto" w:sz="4" w:space="0"/>
              <w:bottom w:val="single" w:color="auto" w:sz="4" w:space="0"/>
            </w:tcBorders>
            <w:vAlign w:val="center"/>
          </w:tcPr>
          <w:p w14:paraId="39057F9F">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其中：</w:t>
            </w:r>
          </w:p>
          <w:p w14:paraId="22FDD6BF">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属于财政部</w:t>
            </w:r>
            <w:r>
              <w:rPr>
                <w:rFonts w:hint="eastAsia" w:ascii="仿宋" w:hAnsi="仿宋" w:eastAsia="仿宋" w:cs="仿宋"/>
                <w:bCs/>
                <w:color w:val="auto"/>
                <w:highlight w:val="none"/>
              </w:rPr>
              <w:t>《节能产品政府采购品目清单》</w:t>
            </w:r>
            <w:r>
              <w:rPr>
                <w:rFonts w:hint="eastAsia" w:ascii="仿宋" w:hAnsi="仿宋" w:eastAsia="仿宋" w:cs="仿宋"/>
                <w:color w:val="auto"/>
                <w:spacing w:val="-6"/>
                <w:szCs w:val="21"/>
                <w:highlight w:val="none"/>
              </w:rPr>
              <w:t xml:space="preserve">内产品的总金额为人民币（大写）： </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元（¥</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 xml:space="preserve"> ）；</w:t>
            </w:r>
          </w:p>
          <w:p w14:paraId="7F242B02">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属于财政部</w:t>
            </w:r>
            <w:r>
              <w:rPr>
                <w:rFonts w:hint="eastAsia" w:ascii="仿宋" w:hAnsi="仿宋" w:eastAsia="仿宋" w:cs="仿宋"/>
                <w:bCs/>
                <w:color w:val="auto"/>
                <w:highlight w:val="none"/>
              </w:rPr>
              <w:t>《环境标志产品政府采购品目清单》</w:t>
            </w:r>
            <w:r>
              <w:rPr>
                <w:rFonts w:hint="eastAsia" w:ascii="仿宋" w:hAnsi="仿宋" w:eastAsia="仿宋" w:cs="仿宋"/>
                <w:color w:val="auto"/>
                <w:spacing w:val="-6"/>
                <w:szCs w:val="21"/>
                <w:highlight w:val="none"/>
              </w:rPr>
              <w:t>内产品的总金额为人民币（大写）：</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元（¥</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w:t>
            </w:r>
          </w:p>
          <w:p w14:paraId="2992F2D3">
            <w:pPr>
              <w:spacing w:line="300" w:lineRule="exact"/>
              <w:rPr>
                <w:rFonts w:hint="eastAsia" w:ascii="仿宋" w:hAnsi="仿宋" w:eastAsia="仿宋" w:cs="仿宋"/>
                <w:color w:val="auto"/>
                <w:spacing w:val="-6"/>
                <w:szCs w:val="21"/>
                <w:highlight w:val="none"/>
              </w:rPr>
            </w:pPr>
            <w:r>
              <w:rPr>
                <w:rFonts w:hint="eastAsia" w:ascii="仿宋" w:hAnsi="仿宋" w:eastAsia="仿宋" w:cs="仿宋"/>
                <w:b/>
                <w:color w:val="auto"/>
                <w:spacing w:val="-6"/>
                <w:szCs w:val="21"/>
                <w:highlight w:val="none"/>
              </w:rPr>
              <w:t>备注：若不属于财政部《节能产品政府采购品目清单》及《环境标志产品政府采购品目清单》内产品的，则该处填写“无”字样。</w:t>
            </w:r>
          </w:p>
        </w:tc>
      </w:tr>
      <w:tr w14:paraId="14C80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3" w:hRule="atLeast"/>
        </w:trPr>
        <w:tc>
          <w:tcPr>
            <w:tcW w:w="10020" w:type="dxa"/>
            <w:gridSpan w:val="10"/>
            <w:tcBorders>
              <w:top w:val="single" w:color="auto" w:sz="4" w:space="0"/>
              <w:left w:val="single" w:color="auto" w:sz="4" w:space="0"/>
              <w:bottom w:val="single" w:color="auto" w:sz="4" w:space="0"/>
            </w:tcBorders>
            <w:vAlign w:val="center"/>
          </w:tcPr>
          <w:p w14:paraId="40416E8E">
            <w:pPr>
              <w:spacing w:line="300" w:lineRule="exact"/>
              <w:rPr>
                <w:rFonts w:hint="eastAsia" w:ascii="仿宋" w:hAnsi="仿宋" w:eastAsia="仿宋" w:cs="仿宋"/>
                <w:b/>
                <w:color w:val="auto"/>
                <w:highlight w:val="none"/>
              </w:rPr>
            </w:pPr>
            <w:r>
              <w:rPr>
                <w:rFonts w:hint="eastAsia" w:ascii="仿宋" w:hAnsi="仿宋" w:eastAsia="仿宋" w:cs="仿宋"/>
                <w:b/>
                <w:color w:val="auto"/>
                <w:highlight w:val="none"/>
              </w:rPr>
              <w:t>说明：</w:t>
            </w:r>
          </w:p>
          <w:p w14:paraId="293B03CC">
            <w:pPr>
              <w:tabs>
                <w:tab w:val="left" w:pos="1305"/>
              </w:tabs>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报价：投标报价包括所投标的价款、标的随配标准附件、包装、运输、装卸、保险、税金、货到位以及安装、安装所需辅材、调试、检验、售后服务、培训、保修、验收费用及其他所有成本费用的总和，投标人应综合考虑在报价中。</w:t>
            </w:r>
          </w:p>
          <w:p w14:paraId="580D6427">
            <w:pPr>
              <w:spacing w:line="300" w:lineRule="exact"/>
              <w:rPr>
                <w:rFonts w:hint="eastAsia" w:ascii="仿宋" w:hAnsi="仿宋" w:eastAsia="仿宋" w:cs="仿宋"/>
                <w:b/>
                <w:color w:val="auto"/>
                <w:highlight w:val="none"/>
              </w:rPr>
            </w:pPr>
            <w:r>
              <w:rPr>
                <w:rFonts w:hint="eastAsia" w:ascii="仿宋" w:hAnsi="仿宋" w:eastAsia="仿宋" w:cs="仿宋"/>
                <w:color w:val="auto"/>
                <w:kern w:val="0"/>
                <w:szCs w:val="21"/>
                <w:highlight w:val="none"/>
              </w:rPr>
              <w:t>2.投标人投标报价超出采购预算金额的，投标文件按无效处理。</w:t>
            </w:r>
          </w:p>
        </w:tc>
      </w:tr>
    </w:tbl>
    <w:p w14:paraId="595EC39A">
      <w:pPr>
        <w:pStyle w:val="6"/>
        <w:spacing w:line="340" w:lineRule="exact"/>
        <w:ind w:firstLine="420"/>
        <w:rPr>
          <w:rFonts w:hint="eastAsia" w:ascii="仿宋" w:hAnsi="仿宋" w:eastAsia="仿宋" w:cs="仿宋"/>
          <w:color w:val="auto"/>
          <w:highlight w:val="none"/>
        </w:rPr>
      </w:pPr>
    </w:p>
    <w:p w14:paraId="2382DF03">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与本投标有关的正式通讯地址为：</w:t>
      </w:r>
    </w:p>
    <w:p w14:paraId="6EB2376D">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邮编：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4605396C">
      <w:pPr>
        <w:pStyle w:val="6"/>
        <w:spacing w:line="340" w:lineRule="exact"/>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办公电话：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14:paraId="5178C291">
      <w:pPr>
        <w:pStyle w:val="6"/>
        <w:spacing w:line="340" w:lineRule="exact"/>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委托代理人联系电话：</w:t>
      </w:r>
      <w:r>
        <w:rPr>
          <w:rFonts w:hint="eastAsia" w:ascii="仿宋" w:hAnsi="仿宋" w:eastAsia="仿宋" w:cs="仿宋"/>
          <w:color w:val="auto"/>
          <w:highlight w:val="none"/>
          <w:u w:val="single"/>
        </w:rPr>
        <w:t xml:space="preserve">                </w:t>
      </w:r>
    </w:p>
    <w:p w14:paraId="20CD28D1">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79A3A23A">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15939624">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账号：</w:t>
      </w:r>
      <w:r>
        <w:rPr>
          <w:rFonts w:hint="eastAsia" w:ascii="仿宋" w:hAnsi="仿宋" w:eastAsia="仿宋" w:cs="仿宋"/>
          <w:color w:val="auto"/>
          <w:highlight w:val="none"/>
          <w:u w:val="single"/>
        </w:rPr>
        <w:t xml:space="preserve">                                   　　　   </w:t>
      </w:r>
    </w:p>
    <w:p w14:paraId="59F39B59">
      <w:pPr>
        <w:snapToGrid w:val="0"/>
        <w:spacing w:line="400" w:lineRule="exact"/>
        <w:jc w:val="left"/>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投标人 (电子签章)：</w:t>
      </w:r>
      <w:r>
        <w:rPr>
          <w:rFonts w:hint="eastAsia" w:ascii="仿宋" w:hAnsi="仿宋" w:eastAsia="仿宋" w:cs="仿宋"/>
          <w:color w:val="auto"/>
          <w:szCs w:val="21"/>
          <w:highlight w:val="none"/>
          <w:u w:val="single"/>
        </w:rPr>
        <w:t xml:space="preserve">                                     </w:t>
      </w:r>
    </w:p>
    <w:p w14:paraId="719B8EFA">
      <w:pPr>
        <w:pStyle w:val="6"/>
        <w:spacing w:line="44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14:paraId="77C9115E">
      <w:pPr>
        <w:spacing w:line="34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77AC296C">
      <w:pPr>
        <w:pStyle w:val="6"/>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2BE1231">
      <w:pPr>
        <w:pStyle w:val="6"/>
        <w:spacing w:line="400" w:lineRule="exact"/>
        <w:ind w:firstLine="316" w:firstLineChars="150"/>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1.投标人必须按本投标报价表（格式）要求注明清楚联系方式（包括地址、邮编、邮箱、电话等），从而确保中标结果等相关信息能及时通知到位。</w:t>
      </w:r>
    </w:p>
    <w:p w14:paraId="70CCA250">
      <w:pPr>
        <w:pStyle w:val="6"/>
        <w:spacing w:line="400" w:lineRule="exact"/>
        <w:ind w:firstLine="315" w:firstLineChars="150"/>
        <w:rPr>
          <w:rFonts w:hint="eastAsia" w:ascii="仿宋" w:hAnsi="仿宋" w:eastAsia="仿宋" w:cs="仿宋"/>
          <w:b/>
          <w:color w:val="auto"/>
          <w:sz w:val="32"/>
          <w:szCs w:val="32"/>
          <w:highlight w:val="none"/>
        </w:rPr>
      </w:pPr>
      <w:r>
        <w:rPr>
          <w:rFonts w:hint="eastAsia" w:ascii="仿宋" w:hAnsi="仿宋" w:eastAsia="仿宋" w:cs="仿宋"/>
          <w:bCs/>
          <w:color w:val="auto"/>
          <w:szCs w:val="21"/>
          <w:highlight w:val="none"/>
        </w:rPr>
        <w:t>2.如全部或部分产品属于</w:t>
      </w:r>
      <w:r>
        <w:rPr>
          <w:rFonts w:hint="eastAsia" w:ascii="仿宋" w:hAnsi="仿宋" w:eastAsia="仿宋" w:cs="仿宋"/>
          <w:bCs/>
          <w:color w:val="auto"/>
          <w:highlight w:val="none"/>
        </w:rPr>
        <w:t>财政部《节能产品政府采购品目清单》或《环境标志产品政府采购品目清单》内产品的</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投标人</w:t>
      </w:r>
      <w:r>
        <w:rPr>
          <w:rFonts w:hint="eastAsia" w:ascii="仿宋" w:hAnsi="仿宋" w:eastAsia="仿宋" w:cs="仿宋"/>
          <w:bCs/>
          <w:color w:val="auto"/>
          <w:szCs w:val="21"/>
          <w:highlight w:val="none"/>
        </w:rPr>
        <w:t>于投标</w:t>
      </w:r>
      <w:r>
        <w:rPr>
          <w:rFonts w:hint="eastAsia" w:ascii="仿宋" w:hAnsi="仿宋" w:eastAsia="仿宋" w:cs="仿宋"/>
          <w:bCs/>
          <w:color w:val="auto"/>
          <w:highlight w:val="none"/>
        </w:rPr>
        <w:t>文件中提供该产品由</w:t>
      </w:r>
      <w:r>
        <w:rPr>
          <w:rFonts w:hint="eastAsia" w:ascii="仿宋" w:hAnsi="仿宋" w:eastAsia="仿宋" w:cs="仿宋"/>
          <w:bCs/>
          <w:color w:val="auto"/>
          <w:szCs w:val="21"/>
          <w:highlight w:val="none"/>
        </w:rPr>
        <w:t>国家确定的认证机构出具的、处于有效期之内的</w:t>
      </w:r>
      <w:r>
        <w:rPr>
          <w:rFonts w:hint="eastAsia" w:ascii="仿宋" w:hAnsi="仿宋" w:eastAsia="仿宋" w:cs="仿宋"/>
          <w:bCs/>
          <w:color w:val="auto"/>
          <w:highlight w:val="none"/>
        </w:rPr>
        <w:t>认证证书复印件及相应的品目清单（标注出所投产品在品目清单中所属的品目）</w:t>
      </w:r>
      <w:r>
        <w:rPr>
          <w:rFonts w:hint="eastAsia" w:ascii="仿宋" w:hAnsi="仿宋" w:eastAsia="仿宋" w:cs="仿宋"/>
          <w:bCs/>
          <w:color w:val="auto"/>
          <w:szCs w:val="21"/>
          <w:highlight w:val="none"/>
        </w:rPr>
        <w:t>，以便评标委员会作为评审或优先采购的依据。</w:t>
      </w:r>
    </w:p>
    <w:p w14:paraId="757BBFF6">
      <w:pPr>
        <w:pStyle w:val="6"/>
        <w:spacing w:line="400" w:lineRule="exact"/>
        <w:rPr>
          <w:rFonts w:hint="eastAsia" w:ascii="仿宋" w:hAnsi="仿宋" w:eastAsia="仿宋" w:cs="仿宋"/>
          <w:b/>
          <w:color w:val="auto"/>
          <w:sz w:val="32"/>
          <w:szCs w:val="32"/>
          <w:highlight w:val="none"/>
        </w:rPr>
      </w:pPr>
    </w:p>
    <w:p w14:paraId="27802599">
      <w:pPr>
        <w:spacing w:line="400" w:lineRule="exact"/>
        <w:rPr>
          <w:rFonts w:hint="eastAsia" w:ascii="仿宋" w:hAnsi="仿宋" w:eastAsia="仿宋" w:cs="仿宋"/>
          <w:b/>
          <w:color w:val="auto"/>
          <w:sz w:val="32"/>
          <w:szCs w:val="32"/>
          <w:highlight w:val="none"/>
        </w:rPr>
      </w:pPr>
    </w:p>
    <w:p w14:paraId="7A2F2157">
      <w:pPr>
        <w:spacing w:line="400" w:lineRule="exact"/>
        <w:rPr>
          <w:rFonts w:hint="eastAsia" w:ascii="仿宋" w:hAnsi="仿宋" w:eastAsia="仿宋" w:cs="仿宋"/>
          <w:b/>
          <w:color w:val="auto"/>
          <w:sz w:val="32"/>
          <w:szCs w:val="32"/>
          <w:highlight w:val="none"/>
        </w:rPr>
      </w:pPr>
    </w:p>
    <w:p w14:paraId="7D1F00BC">
      <w:pPr>
        <w:spacing w:line="400" w:lineRule="exact"/>
        <w:rPr>
          <w:rFonts w:hint="eastAsia" w:ascii="仿宋" w:hAnsi="仿宋" w:eastAsia="仿宋" w:cs="仿宋"/>
          <w:b/>
          <w:color w:val="auto"/>
          <w:sz w:val="32"/>
          <w:szCs w:val="32"/>
          <w:highlight w:val="none"/>
        </w:rPr>
      </w:pPr>
    </w:p>
    <w:p w14:paraId="296C2F7F">
      <w:pPr>
        <w:spacing w:line="400" w:lineRule="exact"/>
        <w:rPr>
          <w:rFonts w:hint="eastAsia" w:ascii="仿宋" w:hAnsi="仿宋" w:eastAsia="仿宋" w:cs="仿宋"/>
          <w:b/>
          <w:color w:val="auto"/>
          <w:sz w:val="32"/>
          <w:szCs w:val="32"/>
          <w:highlight w:val="none"/>
        </w:rPr>
      </w:pPr>
    </w:p>
    <w:p w14:paraId="3666F713">
      <w:pPr>
        <w:spacing w:line="400" w:lineRule="exact"/>
        <w:rPr>
          <w:rFonts w:hint="eastAsia" w:ascii="仿宋" w:hAnsi="仿宋" w:eastAsia="仿宋" w:cs="仿宋"/>
          <w:b/>
          <w:color w:val="auto"/>
          <w:sz w:val="32"/>
          <w:szCs w:val="32"/>
          <w:highlight w:val="none"/>
        </w:rPr>
      </w:pPr>
    </w:p>
    <w:p w14:paraId="272168DF">
      <w:pPr>
        <w:spacing w:line="400" w:lineRule="exact"/>
        <w:rPr>
          <w:rFonts w:hint="eastAsia" w:ascii="仿宋" w:hAnsi="仿宋" w:eastAsia="仿宋" w:cs="仿宋"/>
          <w:b/>
          <w:color w:val="auto"/>
          <w:sz w:val="32"/>
          <w:szCs w:val="32"/>
          <w:highlight w:val="none"/>
        </w:rPr>
      </w:pPr>
    </w:p>
    <w:p w14:paraId="47C10C1A">
      <w:pPr>
        <w:spacing w:line="400" w:lineRule="exact"/>
        <w:rPr>
          <w:rFonts w:hint="eastAsia" w:ascii="仿宋" w:hAnsi="仿宋" w:eastAsia="仿宋" w:cs="仿宋"/>
          <w:b/>
          <w:color w:val="auto"/>
          <w:sz w:val="32"/>
          <w:szCs w:val="32"/>
          <w:highlight w:val="none"/>
        </w:rPr>
      </w:pPr>
    </w:p>
    <w:p w14:paraId="53FA1A29">
      <w:pPr>
        <w:spacing w:line="400" w:lineRule="exact"/>
        <w:rPr>
          <w:rFonts w:hint="eastAsia" w:ascii="仿宋" w:hAnsi="仿宋" w:eastAsia="仿宋" w:cs="仿宋"/>
          <w:b/>
          <w:color w:val="auto"/>
          <w:sz w:val="32"/>
          <w:szCs w:val="32"/>
          <w:highlight w:val="none"/>
        </w:rPr>
      </w:pPr>
    </w:p>
    <w:p w14:paraId="3CCA7322">
      <w:pPr>
        <w:spacing w:line="400" w:lineRule="exact"/>
        <w:rPr>
          <w:rFonts w:hint="eastAsia" w:ascii="仿宋" w:hAnsi="仿宋" w:eastAsia="仿宋" w:cs="仿宋"/>
          <w:b/>
          <w:color w:val="auto"/>
          <w:sz w:val="32"/>
          <w:szCs w:val="32"/>
          <w:highlight w:val="none"/>
        </w:rPr>
      </w:pPr>
    </w:p>
    <w:p w14:paraId="3DAFA9D5">
      <w:pPr>
        <w:spacing w:line="400" w:lineRule="exact"/>
        <w:rPr>
          <w:rFonts w:hint="eastAsia" w:ascii="仿宋" w:hAnsi="仿宋" w:eastAsia="仿宋" w:cs="仿宋"/>
          <w:b/>
          <w:color w:val="auto"/>
          <w:sz w:val="32"/>
          <w:szCs w:val="32"/>
          <w:highlight w:val="none"/>
        </w:rPr>
      </w:pPr>
    </w:p>
    <w:p w14:paraId="171318FD">
      <w:pPr>
        <w:spacing w:line="400" w:lineRule="exact"/>
        <w:rPr>
          <w:rFonts w:hint="eastAsia" w:ascii="仿宋" w:hAnsi="仿宋" w:eastAsia="仿宋" w:cs="仿宋"/>
          <w:b/>
          <w:color w:val="auto"/>
          <w:sz w:val="32"/>
          <w:szCs w:val="32"/>
          <w:highlight w:val="none"/>
        </w:rPr>
      </w:pPr>
    </w:p>
    <w:p w14:paraId="52B255C2">
      <w:pPr>
        <w:spacing w:line="400" w:lineRule="exact"/>
        <w:rPr>
          <w:rFonts w:hint="eastAsia" w:ascii="仿宋" w:hAnsi="仿宋" w:eastAsia="仿宋" w:cs="仿宋"/>
          <w:b/>
          <w:color w:val="auto"/>
          <w:sz w:val="32"/>
          <w:szCs w:val="32"/>
          <w:highlight w:val="none"/>
        </w:rPr>
      </w:pPr>
    </w:p>
    <w:p w14:paraId="1E90E7FE">
      <w:pPr>
        <w:spacing w:line="400" w:lineRule="exact"/>
        <w:rPr>
          <w:rFonts w:hint="eastAsia" w:ascii="仿宋" w:hAnsi="仿宋" w:eastAsia="仿宋" w:cs="仿宋"/>
          <w:b/>
          <w:color w:val="auto"/>
          <w:sz w:val="32"/>
          <w:szCs w:val="32"/>
          <w:highlight w:val="none"/>
        </w:rPr>
      </w:pPr>
    </w:p>
    <w:p w14:paraId="3820C00F">
      <w:pPr>
        <w:spacing w:line="400" w:lineRule="exact"/>
        <w:rPr>
          <w:rFonts w:hint="eastAsia" w:ascii="仿宋" w:hAnsi="仿宋" w:eastAsia="仿宋" w:cs="仿宋"/>
          <w:b/>
          <w:color w:val="auto"/>
          <w:sz w:val="32"/>
          <w:szCs w:val="32"/>
          <w:highlight w:val="none"/>
        </w:rPr>
      </w:pPr>
    </w:p>
    <w:p w14:paraId="5B74CF8C">
      <w:pPr>
        <w:spacing w:line="400" w:lineRule="exact"/>
        <w:rPr>
          <w:rFonts w:hint="eastAsia" w:ascii="仿宋" w:hAnsi="仿宋" w:eastAsia="仿宋" w:cs="仿宋"/>
          <w:b/>
          <w:color w:val="auto"/>
          <w:sz w:val="32"/>
          <w:szCs w:val="32"/>
          <w:highlight w:val="none"/>
        </w:rPr>
      </w:pPr>
    </w:p>
    <w:p w14:paraId="2B4B0E5E">
      <w:pPr>
        <w:spacing w:line="400" w:lineRule="exact"/>
        <w:rPr>
          <w:rFonts w:hint="eastAsia" w:ascii="仿宋" w:hAnsi="仿宋" w:eastAsia="仿宋" w:cs="仿宋"/>
          <w:b/>
          <w:color w:val="auto"/>
          <w:sz w:val="32"/>
          <w:szCs w:val="32"/>
          <w:highlight w:val="none"/>
        </w:rPr>
      </w:pPr>
    </w:p>
    <w:p w14:paraId="79730430">
      <w:pPr>
        <w:spacing w:line="400" w:lineRule="exact"/>
        <w:rPr>
          <w:rFonts w:hint="eastAsia" w:ascii="仿宋" w:hAnsi="仿宋" w:eastAsia="仿宋" w:cs="仿宋"/>
          <w:b/>
          <w:color w:val="auto"/>
          <w:sz w:val="32"/>
          <w:szCs w:val="32"/>
          <w:highlight w:val="none"/>
        </w:rPr>
      </w:pPr>
    </w:p>
    <w:p w14:paraId="4C748FAF">
      <w:pPr>
        <w:spacing w:line="400" w:lineRule="exact"/>
        <w:rPr>
          <w:rFonts w:hint="eastAsia" w:ascii="仿宋" w:hAnsi="仿宋" w:eastAsia="仿宋" w:cs="仿宋"/>
          <w:b/>
          <w:color w:val="auto"/>
          <w:sz w:val="32"/>
          <w:szCs w:val="32"/>
          <w:highlight w:val="none"/>
        </w:rPr>
      </w:pPr>
    </w:p>
    <w:p w14:paraId="2EB91C4B">
      <w:pPr>
        <w:spacing w:line="400" w:lineRule="exact"/>
        <w:rPr>
          <w:rFonts w:hint="eastAsia" w:ascii="仿宋" w:hAnsi="仿宋" w:eastAsia="仿宋" w:cs="仿宋"/>
          <w:b/>
          <w:color w:val="auto"/>
          <w:sz w:val="32"/>
          <w:szCs w:val="32"/>
          <w:highlight w:val="none"/>
        </w:rPr>
      </w:pPr>
    </w:p>
    <w:p w14:paraId="0E7F3C6B">
      <w:pPr>
        <w:spacing w:line="400" w:lineRule="exact"/>
        <w:rPr>
          <w:rFonts w:hint="eastAsia" w:ascii="仿宋" w:hAnsi="仿宋" w:eastAsia="仿宋" w:cs="仿宋"/>
          <w:b/>
          <w:color w:val="auto"/>
          <w:sz w:val="32"/>
          <w:szCs w:val="32"/>
          <w:highlight w:val="none"/>
        </w:rPr>
      </w:pPr>
    </w:p>
    <w:p w14:paraId="423DA02D">
      <w:pPr>
        <w:spacing w:line="400" w:lineRule="exact"/>
        <w:rPr>
          <w:rFonts w:hint="eastAsia" w:ascii="仿宋" w:hAnsi="仿宋" w:eastAsia="仿宋" w:cs="仿宋"/>
          <w:b/>
          <w:color w:val="auto"/>
          <w:sz w:val="32"/>
          <w:szCs w:val="32"/>
          <w:highlight w:val="none"/>
        </w:rPr>
      </w:pPr>
    </w:p>
    <w:p w14:paraId="5136A6E1">
      <w:pPr>
        <w:spacing w:line="400" w:lineRule="exact"/>
        <w:rPr>
          <w:rFonts w:hint="eastAsia" w:ascii="仿宋" w:hAnsi="仿宋" w:eastAsia="仿宋" w:cs="仿宋"/>
          <w:b/>
          <w:color w:val="auto"/>
          <w:sz w:val="32"/>
          <w:szCs w:val="32"/>
          <w:highlight w:val="none"/>
        </w:rPr>
      </w:pPr>
    </w:p>
    <w:p w14:paraId="38ACD8FC">
      <w:pPr>
        <w:spacing w:line="400" w:lineRule="exact"/>
        <w:rPr>
          <w:rFonts w:hint="eastAsia" w:ascii="仿宋" w:hAnsi="仿宋" w:eastAsia="仿宋" w:cs="仿宋"/>
          <w:b/>
          <w:color w:val="auto"/>
          <w:sz w:val="32"/>
          <w:szCs w:val="32"/>
          <w:highlight w:val="none"/>
        </w:rPr>
      </w:pPr>
    </w:p>
    <w:p w14:paraId="5A0D0DD1">
      <w:pPr>
        <w:spacing w:line="400" w:lineRule="exact"/>
        <w:rPr>
          <w:rFonts w:hint="eastAsia" w:ascii="仿宋" w:hAnsi="仿宋" w:eastAsia="仿宋" w:cs="仿宋"/>
          <w:b/>
          <w:color w:val="auto"/>
          <w:sz w:val="32"/>
          <w:szCs w:val="32"/>
          <w:highlight w:val="none"/>
        </w:rPr>
      </w:pPr>
    </w:p>
    <w:p w14:paraId="41D7F5B3">
      <w:pPr>
        <w:spacing w:line="400" w:lineRule="exact"/>
        <w:rPr>
          <w:rFonts w:hint="eastAsia" w:ascii="仿宋" w:hAnsi="仿宋" w:eastAsia="仿宋" w:cs="仿宋"/>
          <w:b/>
          <w:color w:val="auto"/>
          <w:sz w:val="32"/>
          <w:szCs w:val="32"/>
          <w:highlight w:val="none"/>
        </w:rPr>
      </w:pPr>
    </w:p>
    <w:p w14:paraId="14F9A7A6">
      <w:pPr>
        <w:spacing w:line="400" w:lineRule="exact"/>
        <w:rPr>
          <w:rFonts w:hint="eastAsia" w:ascii="仿宋" w:hAnsi="仿宋" w:eastAsia="仿宋" w:cs="仿宋"/>
          <w:b/>
          <w:color w:val="auto"/>
          <w:sz w:val="32"/>
          <w:szCs w:val="32"/>
          <w:highlight w:val="none"/>
        </w:rPr>
      </w:pPr>
    </w:p>
    <w:p w14:paraId="48A15A0E">
      <w:pPr>
        <w:spacing w:line="400" w:lineRule="exact"/>
        <w:rPr>
          <w:rFonts w:hint="eastAsia" w:ascii="仿宋" w:hAnsi="仿宋" w:eastAsia="仿宋" w:cs="仿宋"/>
          <w:b/>
          <w:color w:val="auto"/>
          <w:sz w:val="32"/>
          <w:szCs w:val="32"/>
          <w:highlight w:val="none"/>
        </w:rPr>
      </w:pPr>
    </w:p>
    <w:p w14:paraId="7108A140">
      <w:pPr>
        <w:spacing w:line="400" w:lineRule="exact"/>
        <w:rPr>
          <w:rFonts w:hint="eastAsia" w:ascii="仿宋" w:hAnsi="仿宋" w:eastAsia="仿宋" w:cs="仿宋"/>
          <w:b/>
          <w:color w:val="auto"/>
          <w:sz w:val="32"/>
          <w:szCs w:val="32"/>
          <w:highlight w:val="none"/>
        </w:rPr>
      </w:pPr>
    </w:p>
    <w:p w14:paraId="731F101B">
      <w:pPr>
        <w:spacing w:line="400" w:lineRule="exact"/>
        <w:rPr>
          <w:rFonts w:hint="eastAsia" w:ascii="仿宋" w:hAnsi="仿宋" w:eastAsia="仿宋" w:cs="仿宋"/>
          <w:b/>
          <w:color w:val="auto"/>
          <w:sz w:val="32"/>
          <w:szCs w:val="32"/>
          <w:highlight w:val="none"/>
        </w:rPr>
      </w:pPr>
    </w:p>
    <w:p w14:paraId="09B9BF64">
      <w:pPr>
        <w:spacing w:line="400" w:lineRule="exact"/>
        <w:rPr>
          <w:rFonts w:hint="eastAsia" w:ascii="仿宋" w:hAnsi="仿宋" w:eastAsia="仿宋" w:cs="仿宋"/>
          <w:b/>
          <w:color w:val="auto"/>
          <w:sz w:val="32"/>
          <w:szCs w:val="32"/>
          <w:highlight w:val="none"/>
        </w:rPr>
      </w:pPr>
    </w:p>
    <w:p w14:paraId="35F0223D">
      <w:pPr>
        <w:tabs>
          <w:tab w:val="left" w:pos="1305"/>
        </w:tabs>
        <w:spacing w:line="34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3.技术偏离表（必须提供）</w:t>
      </w:r>
    </w:p>
    <w:p w14:paraId="585E5FDE">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37909C18">
      <w:pPr>
        <w:pStyle w:val="6"/>
        <w:jc w:val="center"/>
        <w:rPr>
          <w:rFonts w:hint="eastAsia" w:ascii="仿宋" w:hAnsi="仿宋" w:eastAsia="仿宋" w:cs="仿宋"/>
          <w:b/>
          <w:bCs/>
          <w:color w:val="auto"/>
          <w:sz w:val="32"/>
          <w:highlight w:val="none"/>
        </w:rPr>
      </w:pPr>
      <w:r>
        <w:rPr>
          <w:rFonts w:hint="eastAsia" w:ascii="仿宋" w:hAnsi="仿宋" w:eastAsia="仿宋" w:cs="仿宋"/>
          <w:b/>
          <w:color w:val="auto"/>
          <w:sz w:val="32"/>
          <w:szCs w:val="32"/>
          <w:highlight w:val="none"/>
        </w:rPr>
        <w:t>技术偏离表</w:t>
      </w:r>
      <w:r>
        <w:rPr>
          <w:rFonts w:hint="eastAsia" w:ascii="仿宋" w:hAnsi="仿宋" w:eastAsia="仿宋" w:cs="仿宋"/>
          <w:b/>
          <w:bCs/>
          <w:color w:val="auto"/>
          <w:sz w:val="32"/>
          <w:highlight w:val="none"/>
        </w:rPr>
        <w:t>（格式）</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6"/>
        <w:gridCol w:w="3260"/>
        <w:gridCol w:w="3119"/>
        <w:gridCol w:w="1193"/>
      </w:tblGrid>
      <w:tr w14:paraId="0046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47" w:type="dxa"/>
            <w:vAlign w:val="center"/>
          </w:tcPr>
          <w:p w14:paraId="41C11365">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项号</w:t>
            </w:r>
          </w:p>
        </w:tc>
        <w:tc>
          <w:tcPr>
            <w:tcW w:w="1276" w:type="dxa"/>
            <w:vAlign w:val="center"/>
          </w:tcPr>
          <w:p w14:paraId="2711D8E4">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3260" w:type="dxa"/>
            <w:vAlign w:val="center"/>
          </w:tcPr>
          <w:p w14:paraId="72BA7C71">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招标文件的“技术要求”</w:t>
            </w:r>
          </w:p>
        </w:tc>
        <w:tc>
          <w:tcPr>
            <w:tcW w:w="3119" w:type="dxa"/>
            <w:vAlign w:val="center"/>
          </w:tcPr>
          <w:p w14:paraId="7744DE2E">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对应招标文件的“技术要求”，投标文件的详细响应情况</w:t>
            </w:r>
          </w:p>
        </w:tc>
        <w:tc>
          <w:tcPr>
            <w:tcW w:w="1193" w:type="dxa"/>
            <w:vAlign w:val="center"/>
          </w:tcPr>
          <w:p w14:paraId="280C708A">
            <w:pPr>
              <w:pStyle w:val="6"/>
              <w:spacing w:line="400" w:lineRule="exact"/>
              <w:jc w:val="center"/>
              <w:rPr>
                <w:rFonts w:hint="eastAsia" w:ascii="仿宋" w:hAnsi="仿宋" w:eastAsia="仿宋" w:cs="仿宋"/>
                <w:color w:val="auto"/>
                <w:highlight w:val="none"/>
              </w:rPr>
            </w:pPr>
            <w:bookmarkStart w:id="26" w:name="_Toc254970701"/>
            <w:bookmarkStart w:id="27" w:name="_Toc254970560"/>
            <w:r>
              <w:rPr>
                <w:rFonts w:hint="eastAsia" w:ascii="仿宋" w:hAnsi="仿宋" w:eastAsia="仿宋" w:cs="仿宋"/>
                <w:color w:val="auto"/>
                <w:highlight w:val="none"/>
              </w:rPr>
              <w:t>偏离情况</w:t>
            </w:r>
            <w:bookmarkEnd w:id="26"/>
            <w:bookmarkEnd w:id="27"/>
            <w:r>
              <w:rPr>
                <w:rFonts w:hint="eastAsia" w:ascii="仿宋" w:hAnsi="仿宋" w:eastAsia="仿宋" w:cs="仿宋"/>
                <w:color w:val="auto"/>
                <w:highlight w:val="none"/>
              </w:rPr>
              <w:t>说明</w:t>
            </w:r>
          </w:p>
        </w:tc>
      </w:tr>
      <w:tr w14:paraId="2F98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47" w:type="dxa"/>
            <w:vAlign w:val="center"/>
          </w:tcPr>
          <w:p w14:paraId="2003A6F6">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76" w:type="dxa"/>
            <w:vAlign w:val="center"/>
          </w:tcPr>
          <w:p w14:paraId="4728E4B0">
            <w:pPr>
              <w:spacing w:line="440" w:lineRule="exact"/>
              <w:jc w:val="center"/>
              <w:rPr>
                <w:rFonts w:hint="eastAsia" w:ascii="仿宋" w:hAnsi="仿宋" w:eastAsia="仿宋" w:cs="仿宋"/>
                <w:color w:val="auto"/>
                <w:szCs w:val="21"/>
                <w:highlight w:val="none"/>
              </w:rPr>
            </w:pPr>
          </w:p>
        </w:tc>
        <w:tc>
          <w:tcPr>
            <w:tcW w:w="3260" w:type="dxa"/>
          </w:tcPr>
          <w:p w14:paraId="06DA1A71">
            <w:pPr>
              <w:pStyle w:val="6"/>
              <w:spacing w:line="600" w:lineRule="exact"/>
              <w:rPr>
                <w:rFonts w:hint="eastAsia" w:ascii="仿宋" w:hAnsi="仿宋" w:eastAsia="仿宋" w:cs="仿宋"/>
                <w:color w:val="auto"/>
                <w:highlight w:val="none"/>
              </w:rPr>
            </w:pPr>
          </w:p>
        </w:tc>
        <w:tc>
          <w:tcPr>
            <w:tcW w:w="3119" w:type="dxa"/>
          </w:tcPr>
          <w:p w14:paraId="7835271B">
            <w:pPr>
              <w:pStyle w:val="6"/>
              <w:spacing w:line="600" w:lineRule="exact"/>
              <w:rPr>
                <w:rFonts w:hint="eastAsia" w:ascii="仿宋" w:hAnsi="仿宋" w:eastAsia="仿宋" w:cs="仿宋"/>
                <w:color w:val="auto"/>
                <w:highlight w:val="none"/>
              </w:rPr>
            </w:pPr>
          </w:p>
        </w:tc>
        <w:tc>
          <w:tcPr>
            <w:tcW w:w="1193" w:type="dxa"/>
          </w:tcPr>
          <w:p w14:paraId="2A2A30A5">
            <w:pPr>
              <w:pStyle w:val="6"/>
              <w:spacing w:line="600" w:lineRule="exact"/>
              <w:rPr>
                <w:rFonts w:hint="eastAsia" w:ascii="仿宋" w:hAnsi="仿宋" w:eastAsia="仿宋" w:cs="仿宋"/>
                <w:color w:val="auto"/>
                <w:highlight w:val="none"/>
              </w:rPr>
            </w:pPr>
          </w:p>
        </w:tc>
      </w:tr>
      <w:tr w14:paraId="5CD5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47" w:type="dxa"/>
            <w:vAlign w:val="center"/>
          </w:tcPr>
          <w:p w14:paraId="18788C44">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6" w:type="dxa"/>
            <w:vAlign w:val="center"/>
          </w:tcPr>
          <w:p w14:paraId="63A9D934">
            <w:pPr>
              <w:spacing w:line="440" w:lineRule="exact"/>
              <w:jc w:val="center"/>
              <w:rPr>
                <w:rFonts w:hint="eastAsia" w:ascii="仿宋" w:hAnsi="仿宋" w:eastAsia="仿宋" w:cs="仿宋"/>
                <w:color w:val="auto"/>
                <w:szCs w:val="21"/>
                <w:highlight w:val="none"/>
              </w:rPr>
            </w:pPr>
          </w:p>
        </w:tc>
        <w:tc>
          <w:tcPr>
            <w:tcW w:w="3260" w:type="dxa"/>
          </w:tcPr>
          <w:p w14:paraId="05FE8B31">
            <w:pPr>
              <w:pStyle w:val="6"/>
              <w:spacing w:line="600" w:lineRule="exact"/>
              <w:rPr>
                <w:rFonts w:hint="eastAsia" w:ascii="仿宋" w:hAnsi="仿宋" w:eastAsia="仿宋" w:cs="仿宋"/>
                <w:color w:val="auto"/>
                <w:highlight w:val="none"/>
              </w:rPr>
            </w:pPr>
          </w:p>
        </w:tc>
        <w:tc>
          <w:tcPr>
            <w:tcW w:w="3119" w:type="dxa"/>
          </w:tcPr>
          <w:p w14:paraId="112E8E7A">
            <w:pPr>
              <w:pStyle w:val="6"/>
              <w:spacing w:line="600" w:lineRule="exact"/>
              <w:rPr>
                <w:rFonts w:hint="eastAsia" w:ascii="仿宋" w:hAnsi="仿宋" w:eastAsia="仿宋" w:cs="仿宋"/>
                <w:color w:val="auto"/>
                <w:highlight w:val="none"/>
              </w:rPr>
            </w:pPr>
          </w:p>
        </w:tc>
        <w:tc>
          <w:tcPr>
            <w:tcW w:w="1193" w:type="dxa"/>
          </w:tcPr>
          <w:p w14:paraId="421C9039">
            <w:pPr>
              <w:pStyle w:val="6"/>
              <w:spacing w:line="600" w:lineRule="exact"/>
              <w:rPr>
                <w:rFonts w:hint="eastAsia" w:ascii="仿宋" w:hAnsi="仿宋" w:eastAsia="仿宋" w:cs="仿宋"/>
                <w:color w:val="auto"/>
                <w:highlight w:val="none"/>
              </w:rPr>
            </w:pPr>
          </w:p>
        </w:tc>
      </w:tr>
    </w:tbl>
    <w:p w14:paraId="0D53F258">
      <w:pPr>
        <w:snapToGrid w:val="0"/>
        <w:spacing w:line="400" w:lineRule="exact"/>
        <w:ind w:firstLine="3780" w:firstLineChars="1800"/>
        <w:outlineLvl w:val="4"/>
        <w:rPr>
          <w:rFonts w:hint="eastAsia" w:ascii="仿宋" w:hAnsi="仿宋" w:eastAsia="仿宋" w:cs="仿宋"/>
          <w:color w:val="auto"/>
          <w:szCs w:val="20"/>
          <w:highlight w:val="none"/>
          <w:u w:val="single"/>
        </w:rPr>
      </w:pPr>
    </w:p>
    <w:p w14:paraId="6884E053">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14:paraId="4C9EBF7F">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14:paraId="012541D5">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0D5B41ED">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 xml:space="preserve">   </w:t>
      </w:r>
    </w:p>
    <w:p w14:paraId="00FCE7C3">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注：1. 说明：投标人应对照招标文件第三章“采购需求”中的“技术要求”逐条作出明确响应，并作出偏离说明。</w:t>
      </w:r>
    </w:p>
    <w:p w14:paraId="0153C779">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 投标人应根据投标设备的性能指标，对照招标文件要求，在“偏离说明”中注明“正偏离”、“负偏离”或者“无偏离”。既不属于“正偏离”也不属于“负偏离”即为“无偏离”。</w:t>
      </w:r>
    </w:p>
    <w:p w14:paraId="06181B74">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4.商务响应表（必须提供）</w:t>
      </w:r>
    </w:p>
    <w:p w14:paraId="65E1F818">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14:paraId="28F79A74">
      <w:pPr>
        <w:pStyle w:val="6"/>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商务响应表（格式）</w:t>
      </w:r>
    </w:p>
    <w:p w14:paraId="3DED2237">
      <w:pPr>
        <w:pStyle w:val="3"/>
        <w:ind w:left="0" w:firstLine="0" w:firstLineChars="0"/>
        <w:rPr>
          <w:rFonts w:hint="eastAsia" w:ascii="仿宋" w:hAnsi="仿宋" w:eastAsia="仿宋" w:cs="仿宋"/>
          <w:b/>
          <w:color w:val="auto"/>
          <w:highlight w:val="none"/>
        </w:rPr>
      </w:pP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14:paraId="50B2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vAlign w:val="center"/>
          </w:tcPr>
          <w:p w14:paraId="4D467C29">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条款</w:t>
            </w:r>
          </w:p>
        </w:tc>
        <w:tc>
          <w:tcPr>
            <w:tcW w:w="3876" w:type="dxa"/>
            <w:vAlign w:val="center"/>
          </w:tcPr>
          <w:p w14:paraId="2416051E">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招标文件的“商务要求”</w:t>
            </w:r>
          </w:p>
        </w:tc>
        <w:tc>
          <w:tcPr>
            <w:tcW w:w="3550" w:type="dxa"/>
            <w:vAlign w:val="center"/>
          </w:tcPr>
          <w:p w14:paraId="7BCF09AA">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0"/>
                <w:highlight w:val="none"/>
              </w:rPr>
              <w:t>对应招标文件的“商务要求”，投标文件的详细响应情况</w:t>
            </w:r>
          </w:p>
        </w:tc>
      </w:tr>
      <w:tr w14:paraId="75E8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vAlign w:val="center"/>
          </w:tcPr>
          <w:p w14:paraId="7496D236">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590B5D3F">
            <w:pPr>
              <w:spacing w:line="240" w:lineRule="exact"/>
              <w:rPr>
                <w:rFonts w:hint="eastAsia" w:ascii="仿宋" w:hAnsi="仿宋" w:eastAsia="仿宋" w:cs="仿宋"/>
                <w:color w:val="auto"/>
                <w:szCs w:val="21"/>
                <w:highlight w:val="none"/>
              </w:rPr>
            </w:pPr>
          </w:p>
        </w:tc>
        <w:tc>
          <w:tcPr>
            <w:tcW w:w="3550" w:type="dxa"/>
            <w:vAlign w:val="center"/>
          </w:tcPr>
          <w:p w14:paraId="24052F00">
            <w:pPr>
              <w:pStyle w:val="6"/>
              <w:spacing w:line="240" w:lineRule="exact"/>
              <w:rPr>
                <w:rFonts w:hint="eastAsia" w:ascii="仿宋" w:hAnsi="仿宋" w:eastAsia="仿宋" w:cs="仿宋"/>
                <w:color w:val="auto"/>
                <w:highlight w:val="none"/>
              </w:rPr>
            </w:pPr>
          </w:p>
        </w:tc>
      </w:tr>
      <w:tr w14:paraId="72A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vAlign w:val="center"/>
          </w:tcPr>
          <w:p w14:paraId="0345EC1E">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2C7FF81E">
            <w:pPr>
              <w:spacing w:line="240" w:lineRule="exact"/>
              <w:rPr>
                <w:rFonts w:hint="eastAsia" w:ascii="仿宋" w:hAnsi="仿宋" w:eastAsia="仿宋" w:cs="仿宋"/>
                <w:color w:val="auto"/>
                <w:szCs w:val="21"/>
                <w:highlight w:val="none"/>
              </w:rPr>
            </w:pPr>
          </w:p>
        </w:tc>
        <w:tc>
          <w:tcPr>
            <w:tcW w:w="3550" w:type="dxa"/>
            <w:vAlign w:val="center"/>
          </w:tcPr>
          <w:p w14:paraId="445E59BD">
            <w:pPr>
              <w:pStyle w:val="6"/>
              <w:spacing w:line="240" w:lineRule="exact"/>
              <w:rPr>
                <w:rFonts w:hint="eastAsia" w:ascii="仿宋" w:hAnsi="仿宋" w:eastAsia="仿宋" w:cs="仿宋"/>
                <w:color w:val="auto"/>
                <w:highlight w:val="none"/>
              </w:rPr>
            </w:pPr>
          </w:p>
        </w:tc>
      </w:tr>
      <w:tr w14:paraId="2F9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448" w:type="dxa"/>
            <w:vAlign w:val="center"/>
          </w:tcPr>
          <w:p w14:paraId="503B1622">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05CCE58E">
            <w:pPr>
              <w:spacing w:line="240" w:lineRule="exact"/>
              <w:rPr>
                <w:rFonts w:hint="eastAsia" w:ascii="仿宋" w:hAnsi="仿宋" w:eastAsia="仿宋" w:cs="仿宋"/>
                <w:color w:val="auto"/>
                <w:szCs w:val="21"/>
                <w:highlight w:val="none"/>
              </w:rPr>
            </w:pPr>
          </w:p>
        </w:tc>
        <w:tc>
          <w:tcPr>
            <w:tcW w:w="3550" w:type="dxa"/>
            <w:vAlign w:val="center"/>
          </w:tcPr>
          <w:p w14:paraId="208F2BD7">
            <w:pPr>
              <w:pStyle w:val="6"/>
              <w:spacing w:line="240" w:lineRule="exact"/>
              <w:rPr>
                <w:rFonts w:hint="eastAsia" w:ascii="仿宋" w:hAnsi="仿宋" w:eastAsia="仿宋" w:cs="仿宋"/>
                <w:color w:val="auto"/>
                <w:highlight w:val="none"/>
              </w:rPr>
            </w:pPr>
          </w:p>
        </w:tc>
      </w:tr>
      <w:tr w14:paraId="4FF3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48" w:type="dxa"/>
            <w:vAlign w:val="center"/>
          </w:tcPr>
          <w:p w14:paraId="7EE2B7C3">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5AB0A74E">
            <w:pPr>
              <w:spacing w:line="240" w:lineRule="exact"/>
              <w:rPr>
                <w:rFonts w:hint="eastAsia" w:ascii="仿宋" w:hAnsi="仿宋" w:eastAsia="仿宋" w:cs="仿宋"/>
                <w:color w:val="auto"/>
                <w:szCs w:val="21"/>
                <w:highlight w:val="none"/>
              </w:rPr>
            </w:pPr>
          </w:p>
        </w:tc>
        <w:tc>
          <w:tcPr>
            <w:tcW w:w="3550" w:type="dxa"/>
            <w:vAlign w:val="center"/>
          </w:tcPr>
          <w:p w14:paraId="460F31BA">
            <w:pPr>
              <w:pStyle w:val="6"/>
              <w:spacing w:line="240" w:lineRule="exact"/>
              <w:rPr>
                <w:rFonts w:hint="eastAsia" w:ascii="仿宋" w:hAnsi="仿宋" w:eastAsia="仿宋" w:cs="仿宋"/>
                <w:color w:val="auto"/>
                <w:highlight w:val="none"/>
              </w:rPr>
            </w:pPr>
          </w:p>
        </w:tc>
      </w:tr>
      <w:tr w14:paraId="73B3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14:paraId="4EF37F3C">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6E650426">
            <w:pPr>
              <w:spacing w:line="240" w:lineRule="exact"/>
              <w:rPr>
                <w:rFonts w:hint="eastAsia" w:ascii="仿宋" w:hAnsi="仿宋" w:eastAsia="仿宋" w:cs="仿宋"/>
                <w:color w:val="auto"/>
                <w:szCs w:val="21"/>
                <w:highlight w:val="none"/>
              </w:rPr>
            </w:pPr>
          </w:p>
        </w:tc>
        <w:tc>
          <w:tcPr>
            <w:tcW w:w="3550" w:type="dxa"/>
            <w:vAlign w:val="center"/>
          </w:tcPr>
          <w:p w14:paraId="345D2077">
            <w:pPr>
              <w:pStyle w:val="6"/>
              <w:spacing w:line="240" w:lineRule="exact"/>
              <w:rPr>
                <w:rFonts w:hint="eastAsia" w:ascii="仿宋" w:hAnsi="仿宋" w:eastAsia="仿宋" w:cs="仿宋"/>
                <w:color w:val="auto"/>
                <w:highlight w:val="none"/>
              </w:rPr>
            </w:pPr>
          </w:p>
        </w:tc>
      </w:tr>
      <w:tr w14:paraId="2FEF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14:paraId="3D2D2268">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14:paraId="078DC487">
            <w:pPr>
              <w:spacing w:line="240" w:lineRule="exact"/>
              <w:rPr>
                <w:rFonts w:hint="eastAsia" w:ascii="仿宋" w:hAnsi="仿宋" w:eastAsia="仿宋" w:cs="仿宋"/>
                <w:color w:val="auto"/>
                <w:szCs w:val="21"/>
                <w:highlight w:val="none"/>
              </w:rPr>
            </w:pPr>
          </w:p>
        </w:tc>
        <w:tc>
          <w:tcPr>
            <w:tcW w:w="3550" w:type="dxa"/>
            <w:vAlign w:val="center"/>
          </w:tcPr>
          <w:p w14:paraId="64B9333A">
            <w:pPr>
              <w:pStyle w:val="6"/>
              <w:spacing w:line="240" w:lineRule="exact"/>
              <w:rPr>
                <w:rFonts w:hint="eastAsia" w:ascii="仿宋" w:hAnsi="仿宋" w:eastAsia="仿宋" w:cs="仿宋"/>
                <w:color w:val="auto"/>
                <w:highlight w:val="none"/>
              </w:rPr>
            </w:pPr>
          </w:p>
        </w:tc>
      </w:tr>
      <w:tr w14:paraId="5E94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14:paraId="033E15EC">
            <w:pPr>
              <w:adjustRightInd w:val="0"/>
              <w:snapToGrid w:val="0"/>
              <w:spacing w:line="360" w:lineRule="exact"/>
              <w:jc w:val="center"/>
              <w:rPr>
                <w:rFonts w:hint="eastAsia" w:ascii="仿宋" w:hAnsi="仿宋" w:eastAsia="仿宋" w:cs="仿宋"/>
                <w:color w:val="auto"/>
                <w:kern w:val="0"/>
                <w:szCs w:val="21"/>
                <w:highlight w:val="none"/>
              </w:rPr>
            </w:pPr>
          </w:p>
        </w:tc>
        <w:tc>
          <w:tcPr>
            <w:tcW w:w="3876" w:type="dxa"/>
            <w:vAlign w:val="center"/>
          </w:tcPr>
          <w:p w14:paraId="7FDBAD69">
            <w:pPr>
              <w:spacing w:line="240" w:lineRule="exact"/>
              <w:rPr>
                <w:rFonts w:hint="eastAsia" w:ascii="仿宋" w:hAnsi="仿宋" w:eastAsia="仿宋" w:cs="仿宋"/>
                <w:color w:val="auto"/>
                <w:szCs w:val="21"/>
                <w:highlight w:val="none"/>
              </w:rPr>
            </w:pPr>
          </w:p>
        </w:tc>
        <w:tc>
          <w:tcPr>
            <w:tcW w:w="3550" w:type="dxa"/>
            <w:vAlign w:val="center"/>
          </w:tcPr>
          <w:p w14:paraId="29989B92">
            <w:pPr>
              <w:pStyle w:val="6"/>
              <w:spacing w:line="240" w:lineRule="exact"/>
              <w:rPr>
                <w:rFonts w:hint="eastAsia" w:ascii="仿宋" w:hAnsi="仿宋" w:eastAsia="仿宋" w:cs="仿宋"/>
                <w:color w:val="auto"/>
                <w:highlight w:val="none"/>
              </w:rPr>
            </w:pPr>
          </w:p>
        </w:tc>
      </w:tr>
      <w:tr w14:paraId="7B74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14:paraId="139531D9">
            <w:pPr>
              <w:adjustRightInd w:val="0"/>
              <w:snapToGrid w:val="0"/>
              <w:spacing w:line="360" w:lineRule="exact"/>
              <w:jc w:val="center"/>
              <w:rPr>
                <w:rFonts w:hint="eastAsia" w:ascii="仿宋" w:hAnsi="仿宋" w:eastAsia="仿宋" w:cs="仿宋"/>
                <w:b/>
                <w:color w:val="auto"/>
                <w:kern w:val="0"/>
                <w:szCs w:val="21"/>
                <w:highlight w:val="none"/>
              </w:rPr>
            </w:pPr>
          </w:p>
        </w:tc>
        <w:tc>
          <w:tcPr>
            <w:tcW w:w="3876" w:type="dxa"/>
            <w:vAlign w:val="center"/>
          </w:tcPr>
          <w:p w14:paraId="5DA6157E">
            <w:pPr>
              <w:spacing w:line="240" w:lineRule="exact"/>
              <w:rPr>
                <w:rFonts w:hint="eastAsia" w:ascii="仿宋" w:hAnsi="仿宋" w:eastAsia="仿宋" w:cs="仿宋"/>
                <w:color w:val="auto"/>
                <w:szCs w:val="21"/>
                <w:highlight w:val="none"/>
              </w:rPr>
            </w:pPr>
          </w:p>
        </w:tc>
        <w:tc>
          <w:tcPr>
            <w:tcW w:w="3550" w:type="dxa"/>
            <w:vAlign w:val="center"/>
          </w:tcPr>
          <w:p w14:paraId="47935D70">
            <w:pPr>
              <w:pStyle w:val="6"/>
              <w:spacing w:line="240" w:lineRule="exact"/>
              <w:rPr>
                <w:rFonts w:hint="eastAsia" w:ascii="仿宋" w:hAnsi="仿宋" w:eastAsia="仿宋" w:cs="仿宋"/>
                <w:color w:val="auto"/>
                <w:highlight w:val="none"/>
              </w:rPr>
            </w:pPr>
          </w:p>
        </w:tc>
      </w:tr>
    </w:tbl>
    <w:p w14:paraId="3B11B9F1">
      <w:pPr>
        <w:snapToGrid w:val="0"/>
        <w:spacing w:line="400" w:lineRule="exact"/>
        <w:outlineLvl w:val="4"/>
        <w:rPr>
          <w:rFonts w:hint="eastAsia" w:ascii="仿宋" w:hAnsi="仿宋" w:eastAsia="仿宋" w:cs="仿宋"/>
          <w:color w:val="auto"/>
          <w:szCs w:val="20"/>
          <w:highlight w:val="none"/>
          <w:u w:val="single"/>
        </w:rPr>
      </w:pPr>
      <w:r>
        <w:rPr>
          <w:rFonts w:hint="eastAsia" w:ascii="仿宋" w:hAnsi="仿宋" w:eastAsia="仿宋" w:cs="仿宋"/>
          <w:color w:val="auto"/>
          <w:szCs w:val="21"/>
          <w:highlight w:val="none"/>
        </w:rPr>
        <w:t xml:space="preserve">   </w:t>
      </w:r>
    </w:p>
    <w:p w14:paraId="321724E6">
      <w:pPr>
        <w:snapToGrid w:val="0"/>
        <w:spacing w:line="600" w:lineRule="exact"/>
        <w:jc w:val="left"/>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3CEF56EF">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14:paraId="44E6DE53">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14:paraId="67EBE546">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5FC7A770">
      <w:pPr>
        <w:snapToGrid w:val="0"/>
        <w:spacing w:line="600" w:lineRule="exact"/>
        <w:jc w:val="left"/>
        <w:outlineLvl w:val="4"/>
        <w:rPr>
          <w:rFonts w:hint="eastAsia" w:ascii="仿宋" w:hAnsi="仿宋" w:eastAsia="仿宋" w:cs="仿宋"/>
          <w:b/>
          <w:color w:val="auto"/>
          <w:highlight w:val="none"/>
        </w:rPr>
      </w:pPr>
    </w:p>
    <w:p w14:paraId="096F5AF1">
      <w:pPr>
        <w:pStyle w:val="6"/>
        <w:rPr>
          <w:rFonts w:hint="eastAsia" w:ascii="仿宋" w:hAnsi="仿宋" w:eastAsia="仿宋" w:cs="仿宋"/>
          <w:color w:val="auto"/>
          <w:highlight w:val="none"/>
        </w:rPr>
      </w:pPr>
    </w:p>
    <w:p w14:paraId="10008E92">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006A214E">
      <w:pPr>
        <w:spacing w:line="380" w:lineRule="exact"/>
        <w:rPr>
          <w:rFonts w:hint="eastAsia" w:ascii="仿宋" w:hAnsi="仿宋" w:eastAsia="仿宋" w:cs="仿宋"/>
          <w:b/>
          <w:color w:val="auto"/>
          <w:sz w:val="32"/>
          <w:szCs w:val="32"/>
          <w:highlight w:val="none"/>
        </w:rPr>
      </w:pPr>
    </w:p>
    <w:p w14:paraId="028C4B89">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5.技术保障措施（如有，请提供）</w:t>
      </w:r>
    </w:p>
    <w:p w14:paraId="5B3A81F6">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6E98B2BC">
      <w:pPr>
        <w:pStyle w:val="6"/>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技术保障措施（格式）</w:t>
      </w:r>
    </w:p>
    <w:p w14:paraId="730DCB42">
      <w:pPr>
        <w:pStyle w:val="6"/>
        <w:spacing w:line="600" w:lineRule="exact"/>
        <w:ind w:firstLine="420"/>
        <w:jc w:val="left"/>
        <w:rPr>
          <w:rFonts w:hint="eastAsia" w:ascii="仿宋" w:hAnsi="仿宋" w:eastAsia="仿宋" w:cs="仿宋"/>
          <w:color w:val="auto"/>
          <w:szCs w:val="21"/>
          <w:highlight w:val="none"/>
        </w:rPr>
      </w:pPr>
    </w:p>
    <w:p w14:paraId="733B91A5">
      <w:pPr>
        <w:pStyle w:val="6"/>
        <w:spacing w:line="600" w:lineRule="exact"/>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4F4F4BB8">
      <w:pPr>
        <w:pStyle w:val="3"/>
        <w:ind w:firstLine="420"/>
        <w:rPr>
          <w:rFonts w:hint="eastAsia" w:ascii="仿宋" w:hAnsi="仿宋" w:eastAsia="仿宋" w:cs="仿宋"/>
          <w:color w:val="auto"/>
          <w:szCs w:val="21"/>
          <w:highlight w:val="none"/>
        </w:rPr>
      </w:pPr>
    </w:p>
    <w:p w14:paraId="3018B786">
      <w:pPr>
        <w:rPr>
          <w:rFonts w:hint="eastAsia" w:ascii="仿宋" w:hAnsi="仿宋" w:eastAsia="仿宋" w:cs="仿宋"/>
          <w:color w:val="auto"/>
          <w:highlight w:val="none"/>
        </w:rPr>
      </w:pPr>
    </w:p>
    <w:p w14:paraId="3F4555D0">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14:paraId="61F9E700">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14:paraId="4B1FCE0E">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1E30CDDF">
      <w:pPr>
        <w:spacing w:line="380" w:lineRule="exact"/>
        <w:rPr>
          <w:rFonts w:hint="eastAsia" w:ascii="仿宋" w:hAnsi="仿宋" w:eastAsia="仿宋" w:cs="仿宋"/>
          <w:b/>
          <w:color w:val="auto"/>
          <w:sz w:val="32"/>
          <w:szCs w:val="32"/>
          <w:highlight w:val="none"/>
        </w:rPr>
      </w:pPr>
    </w:p>
    <w:p w14:paraId="5156B53C">
      <w:pPr>
        <w:spacing w:line="380" w:lineRule="exact"/>
        <w:rPr>
          <w:rFonts w:hint="eastAsia" w:ascii="仿宋" w:hAnsi="仿宋" w:eastAsia="仿宋" w:cs="仿宋"/>
          <w:b/>
          <w:color w:val="auto"/>
          <w:sz w:val="32"/>
          <w:szCs w:val="32"/>
          <w:highlight w:val="none"/>
        </w:rPr>
      </w:pPr>
    </w:p>
    <w:p w14:paraId="067394BE">
      <w:pPr>
        <w:spacing w:line="380" w:lineRule="exact"/>
        <w:rPr>
          <w:rFonts w:hint="eastAsia" w:ascii="仿宋" w:hAnsi="仿宋" w:eastAsia="仿宋" w:cs="仿宋"/>
          <w:b/>
          <w:color w:val="auto"/>
          <w:sz w:val="32"/>
          <w:szCs w:val="32"/>
          <w:highlight w:val="none"/>
        </w:rPr>
      </w:pPr>
    </w:p>
    <w:p w14:paraId="1B1DFD9D">
      <w:pPr>
        <w:spacing w:line="380" w:lineRule="exact"/>
        <w:rPr>
          <w:rFonts w:hint="eastAsia" w:ascii="仿宋" w:hAnsi="仿宋" w:eastAsia="仿宋" w:cs="仿宋"/>
          <w:b/>
          <w:color w:val="auto"/>
          <w:sz w:val="32"/>
          <w:szCs w:val="32"/>
          <w:highlight w:val="none"/>
        </w:rPr>
      </w:pPr>
    </w:p>
    <w:p w14:paraId="6897398A">
      <w:pPr>
        <w:spacing w:line="380" w:lineRule="exact"/>
        <w:rPr>
          <w:rFonts w:hint="eastAsia" w:ascii="仿宋" w:hAnsi="仿宋" w:eastAsia="仿宋" w:cs="仿宋"/>
          <w:b/>
          <w:color w:val="auto"/>
          <w:sz w:val="32"/>
          <w:szCs w:val="32"/>
          <w:highlight w:val="none"/>
        </w:rPr>
      </w:pPr>
    </w:p>
    <w:p w14:paraId="0C87443E">
      <w:pPr>
        <w:spacing w:line="380" w:lineRule="exact"/>
        <w:rPr>
          <w:rFonts w:hint="eastAsia" w:ascii="仿宋" w:hAnsi="仿宋" w:eastAsia="仿宋" w:cs="仿宋"/>
          <w:b/>
          <w:color w:val="auto"/>
          <w:sz w:val="32"/>
          <w:szCs w:val="32"/>
          <w:highlight w:val="none"/>
        </w:rPr>
      </w:pPr>
    </w:p>
    <w:p w14:paraId="3C51C196">
      <w:pPr>
        <w:spacing w:line="380" w:lineRule="exact"/>
        <w:rPr>
          <w:rFonts w:hint="eastAsia" w:ascii="仿宋" w:hAnsi="仿宋" w:eastAsia="仿宋" w:cs="仿宋"/>
          <w:b/>
          <w:color w:val="auto"/>
          <w:sz w:val="32"/>
          <w:szCs w:val="32"/>
          <w:highlight w:val="none"/>
        </w:rPr>
      </w:pPr>
    </w:p>
    <w:p w14:paraId="277C60C6">
      <w:pPr>
        <w:spacing w:line="380" w:lineRule="exact"/>
        <w:rPr>
          <w:rFonts w:hint="eastAsia" w:ascii="仿宋" w:hAnsi="仿宋" w:eastAsia="仿宋" w:cs="仿宋"/>
          <w:b/>
          <w:color w:val="auto"/>
          <w:sz w:val="32"/>
          <w:szCs w:val="32"/>
          <w:highlight w:val="none"/>
        </w:rPr>
      </w:pPr>
    </w:p>
    <w:p w14:paraId="69995821">
      <w:pPr>
        <w:spacing w:line="380" w:lineRule="exact"/>
        <w:rPr>
          <w:rFonts w:hint="eastAsia" w:ascii="仿宋" w:hAnsi="仿宋" w:eastAsia="仿宋" w:cs="仿宋"/>
          <w:b/>
          <w:color w:val="auto"/>
          <w:sz w:val="32"/>
          <w:szCs w:val="32"/>
          <w:highlight w:val="none"/>
        </w:rPr>
      </w:pPr>
    </w:p>
    <w:p w14:paraId="3AD6DFC7">
      <w:pPr>
        <w:spacing w:line="380" w:lineRule="exact"/>
        <w:rPr>
          <w:rFonts w:hint="eastAsia" w:ascii="仿宋" w:hAnsi="仿宋" w:eastAsia="仿宋" w:cs="仿宋"/>
          <w:b/>
          <w:color w:val="auto"/>
          <w:sz w:val="32"/>
          <w:szCs w:val="32"/>
          <w:highlight w:val="none"/>
        </w:rPr>
      </w:pPr>
    </w:p>
    <w:p w14:paraId="60539D73">
      <w:pPr>
        <w:spacing w:line="380" w:lineRule="exact"/>
        <w:rPr>
          <w:rFonts w:hint="eastAsia" w:ascii="仿宋" w:hAnsi="仿宋" w:eastAsia="仿宋" w:cs="仿宋"/>
          <w:b/>
          <w:color w:val="auto"/>
          <w:sz w:val="32"/>
          <w:szCs w:val="32"/>
          <w:highlight w:val="none"/>
        </w:rPr>
      </w:pPr>
    </w:p>
    <w:p w14:paraId="02CC1B8C">
      <w:pPr>
        <w:spacing w:line="380" w:lineRule="exact"/>
        <w:rPr>
          <w:rFonts w:hint="eastAsia" w:ascii="仿宋" w:hAnsi="仿宋" w:eastAsia="仿宋" w:cs="仿宋"/>
          <w:b/>
          <w:color w:val="auto"/>
          <w:sz w:val="32"/>
          <w:szCs w:val="32"/>
          <w:highlight w:val="none"/>
        </w:rPr>
      </w:pPr>
    </w:p>
    <w:p w14:paraId="6B498A5F">
      <w:pPr>
        <w:spacing w:line="380" w:lineRule="exact"/>
        <w:rPr>
          <w:rFonts w:hint="eastAsia" w:ascii="仿宋" w:hAnsi="仿宋" w:eastAsia="仿宋" w:cs="仿宋"/>
          <w:b/>
          <w:color w:val="auto"/>
          <w:sz w:val="32"/>
          <w:szCs w:val="32"/>
          <w:highlight w:val="none"/>
        </w:rPr>
      </w:pPr>
    </w:p>
    <w:p w14:paraId="7F4E4769">
      <w:pPr>
        <w:spacing w:line="380" w:lineRule="exact"/>
        <w:rPr>
          <w:rFonts w:hint="eastAsia" w:ascii="仿宋" w:hAnsi="仿宋" w:eastAsia="仿宋" w:cs="仿宋"/>
          <w:b/>
          <w:color w:val="auto"/>
          <w:sz w:val="32"/>
          <w:szCs w:val="32"/>
          <w:highlight w:val="none"/>
        </w:rPr>
      </w:pPr>
    </w:p>
    <w:p w14:paraId="79168373">
      <w:pPr>
        <w:spacing w:line="380" w:lineRule="exact"/>
        <w:rPr>
          <w:rFonts w:hint="eastAsia" w:ascii="仿宋" w:hAnsi="仿宋" w:eastAsia="仿宋" w:cs="仿宋"/>
          <w:b/>
          <w:color w:val="auto"/>
          <w:sz w:val="32"/>
          <w:szCs w:val="32"/>
          <w:highlight w:val="none"/>
        </w:rPr>
      </w:pPr>
    </w:p>
    <w:p w14:paraId="6FBDB9CD">
      <w:pPr>
        <w:spacing w:line="380" w:lineRule="exact"/>
        <w:rPr>
          <w:rFonts w:hint="eastAsia" w:ascii="仿宋" w:hAnsi="仿宋" w:eastAsia="仿宋" w:cs="仿宋"/>
          <w:b/>
          <w:color w:val="auto"/>
          <w:sz w:val="32"/>
          <w:szCs w:val="32"/>
          <w:highlight w:val="none"/>
        </w:rPr>
      </w:pPr>
    </w:p>
    <w:p w14:paraId="5C8DE462">
      <w:pPr>
        <w:spacing w:line="380" w:lineRule="exact"/>
        <w:rPr>
          <w:rFonts w:hint="eastAsia" w:ascii="仿宋" w:hAnsi="仿宋" w:eastAsia="仿宋" w:cs="仿宋"/>
          <w:b/>
          <w:color w:val="auto"/>
          <w:sz w:val="32"/>
          <w:szCs w:val="32"/>
          <w:highlight w:val="none"/>
        </w:rPr>
      </w:pPr>
    </w:p>
    <w:p w14:paraId="4A7F67A1">
      <w:pPr>
        <w:spacing w:line="380" w:lineRule="exact"/>
        <w:rPr>
          <w:rFonts w:hint="eastAsia" w:ascii="仿宋" w:hAnsi="仿宋" w:eastAsia="仿宋" w:cs="仿宋"/>
          <w:b/>
          <w:color w:val="auto"/>
          <w:sz w:val="32"/>
          <w:szCs w:val="32"/>
          <w:highlight w:val="none"/>
        </w:rPr>
      </w:pPr>
    </w:p>
    <w:p w14:paraId="14B77823">
      <w:pPr>
        <w:spacing w:line="380" w:lineRule="exact"/>
        <w:rPr>
          <w:rFonts w:hint="eastAsia" w:ascii="仿宋" w:hAnsi="仿宋" w:eastAsia="仿宋" w:cs="仿宋"/>
          <w:b/>
          <w:color w:val="auto"/>
          <w:sz w:val="32"/>
          <w:szCs w:val="32"/>
          <w:highlight w:val="none"/>
        </w:rPr>
      </w:pPr>
    </w:p>
    <w:p w14:paraId="5D8898BA">
      <w:pPr>
        <w:spacing w:line="380" w:lineRule="exact"/>
        <w:rPr>
          <w:rFonts w:hint="eastAsia" w:ascii="仿宋" w:hAnsi="仿宋" w:eastAsia="仿宋" w:cs="仿宋"/>
          <w:b/>
          <w:color w:val="auto"/>
          <w:sz w:val="32"/>
          <w:szCs w:val="32"/>
          <w:highlight w:val="none"/>
        </w:rPr>
      </w:pPr>
    </w:p>
    <w:p w14:paraId="5C57F262">
      <w:pPr>
        <w:spacing w:line="380" w:lineRule="exact"/>
        <w:rPr>
          <w:rFonts w:hint="eastAsia" w:ascii="仿宋" w:hAnsi="仿宋" w:eastAsia="仿宋" w:cs="仿宋"/>
          <w:b/>
          <w:color w:val="auto"/>
          <w:sz w:val="32"/>
          <w:szCs w:val="32"/>
          <w:highlight w:val="none"/>
        </w:rPr>
      </w:pPr>
    </w:p>
    <w:p w14:paraId="34FA7923">
      <w:pPr>
        <w:spacing w:line="380" w:lineRule="exact"/>
        <w:rPr>
          <w:rFonts w:hint="eastAsia" w:ascii="仿宋" w:hAnsi="仿宋" w:eastAsia="仿宋" w:cs="仿宋"/>
          <w:b/>
          <w:color w:val="auto"/>
          <w:sz w:val="32"/>
          <w:szCs w:val="32"/>
          <w:highlight w:val="none"/>
        </w:rPr>
      </w:pPr>
    </w:p>
    <w:p w14:paraId="0805FDE6">
      <w:pPr>
        <w:spacing w:line="380" w:lineRule="exact"/>
        <w:rPr>
          <w:rFonts w:hint="eastAsia" w:ascii="仿宋" w:hAnsi="仿宋" w:eastAsia="仿宋" w:cs="仿宋"/>
          <w:b/>
          <w:color w:val="auto"/>
          <w:sz w:val="32"/>
          <w:szCs w:val="32"/>
          <w:highlight w:val="none"/>
        </w:rPr>
      </w:pPr>
    </w:p>
    <w:p w14:paraId="68EA0D49">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6.售后服务实施方案（如有，请提供）</w:t>
      </w:r>
    </w:p>
    <w:p w14:paraId="760C9437">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5B9EF4FE">
      <w:pPr>
        <w:pStyle w:val="6"/>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售后服务实施方案（格式）</w:t>
      </w:r>
    </w:p>
    <w:p w14:paraId="7C29AD94">
      <w:pPr>
        <w:pStyle w:val="6"/>
        <w:spacing w:line="600" w:lineRule="exact"/>
        <w:ind w:firstLine="420"/>
        <w:jc w:val="left"/>
        <w:rPr>
          <w:rFonts w:hint="eastAsia" w:ascii="仿宋" w:hAnsi="仿宋" w:eastAsia="仿宋" w:cs="仿宋"/>
          <w:color w:val="auto"/>
          <w:szCs w:val="21"/>
          <w:highlight w:val="none"/>
        </w:rPr>
      </w:pPr>
    </w:p>
    <w:p w14:paraId="65F509E3">
      <w:pPr>
        <w:pStyle w:val="6"/>
        <w:spacing w:line="600" w:lineRule="exact"/>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048944E0">
      <w:pPr>
        <w:pStyle w:val="3"/>
        <w:ind w:firstLine="420"/>
        <w:rPr>
          <w:rFonts w:hint="eastAsia" w:ascii="仿宋" w:hAnsi="仿宋" w:eastAsia="仿宋" w:cs="仿宋"/>
          <w:color w:val="auto"/>
          <w:szCs w:val="21"/>
          <w:highlight w:val="none"/>
        </w:rPr>
      </w:pPr>
    </w:p>
    <w:p w14:paraId="2123FF12">
      <w:pPr>
        <w:rPr>
          <w:rFonts w:hint="eastAsia" w:ascii="仿宋" w:hAnsi="仿宋" w:eastAsia="仿宋" w:cs="仿宋"/>
          <w:color w:val="auto"/>
          <w:highlight w:val="none"/>
        </w:rPr>
      </w:pPr>
    </w:p>
    <w:p w14:paraId="7CFD2A21">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14:paraId="174636F7">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14:paraId="7BB768AF">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4638024D">
      <w:pPr>
        <w:spacing w:line="380" w:lineRule="exact"/>
        <w:rPr>
          <w:rFonts w:hint="eastAsia" w:ascii="仿宋" w:hAnsi="仿宋" w:eastAsia="仿宋" w:cs="仿宋"/>
          <w:b/>
          <w:color w:val="auto"/>
          <w:sz w:val="32"/>
          <w:szCs w:val="32"/>
          <w:highlight w:val="none"/>
        </w:rPr>
      </w:pPr>
    </w:p>
    <w:p w14:paraId="6DBD2035">
      <w:pPr>
        <w:pStyle w:val="6"/>
        <w:spacing w:line="400" w:lineRule="exact"/>
        <w:rPr>
          <w:rFonts w:hint="eastAsia" w:ascii="仿宋" w:hAnsi="仿宋" w:eastAsia="仿宋" w:cs="仿宋"/>
          <w:b/>
          <w:color w:val="auto"/>
          <w:sz w:val="32"/>
          <w:szCs w:val="32"/>
          <w:highlight w:val="none"/>
        </w:rPr>
      </w:pPr>
    </w:p>
    <w:p w14:paraId="0B898219">
      <w:pPr>
        <w:pStyle w:val="3"/>
        <w:ind w:firstLine="420"/>
        <w:rPr>
          <w:rFonts w:hint="eastAsia" w:ascii="仿宋" w:hAnsi="仿宋" w:eastAsia="仿宋" w:cs="仿宋"/>
          <w:color w:val="auto"/>
          <w:highlight w:val="none"/>
        </w:rPr>
      </w:pPr>
    </w:p>
    <w:p w14:paraId="3550C1D7">
      <w:pPr>
        <w:rPr>
          <w:rFonts w:hint="eastAsia" w:ascii="仿宋" w:hAnsi="仿宋" w:eastAsia="仿宋" w:cs="仿宋"/>
          <w:color w:val="auto"/>
          <w:highlight w:val="none"/>
        </w:rPr>
      </w:pPr>
    </w:p>
    <w:p w14:paraId="762916E4">
      <w:pPr>
        <w:rPr>
          <w:rFonts w:hint="eastAsia" w:ascii="仿宋" w:hAnsi="仿宋" w:eastAsia="仿宋" w:cs="仿宋"/>
          <w:color w:val="auto"/>
          <w:highlight w:val="none"/>
        </w:rPr>
      </w:pPr>
    </w:p>
    <w:p w14:paraId="2160151A">
      <w:pPr>
        <w:rPr>
          <w:rFonts w:hint="eastAsia" w:ascii="仿宋" w:hAnsi="仿宋" w:eastAsia="仿宋" w:cs="仿宋"/>
          <w:color w:val="auto"/>
          <w:highlight w:val="none"/>
        </w:rPr>
      </w:pPr>
    </w:p>
    <w:p w14:paraId="7E164C0D">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7.对应采购需求要求提供的其他文件资料（如有，请提供）</w:t>
      </w:r>
    </w:p>
    <w:p w14:paraId="3870851C">
      <w:pPr>
        <w:pStyle w:val="6"/>
        <w:spacing w:line="400" w:lineRule="exact"/>
        <w:rPr>
          <w:rFonts w:hint="eastAsia" w:ascii="仿宋" w:hAnsi="仿宋" w:eastAsia="仿宋" w:cs="仿宋"/>
          <w:color w:val="auto"/>
          <w:sz w:val="28"/>
          <w:szCs w:val="28"/>
          <w:highlight w:val="none"/>
        </w:rPr>
      </w:pPr>
    </w:p>
    <w:p w14:paraId="4FAF5CB6">
      <w:pPr>
        <w:rPr>
          <w:rFonts w:hint="eastAsia" w:ascii="仿宋" w:hAnsi="仿宋" w:eastAsia="仿宋" w:cs="仿宋"/>
          <w:color w:val="auto"/>
          <w:highlight w:val="none"/>
        </w:rPr>
      </w:pPr>
    </w:p>
    <w:p w14:paraId="15848E48">
      <w:pPr>
        <w:rPr>
          <w:rFonts w:hint="eastAsia" w:ascii="仿宋" w:hAnsi="仿宋" w:eastAsia="仿宋" w:cs="仿宋"/>
          <w:color w:val="auto"/>
          <w:highlight w:val="none"/>
        </w:rPr>
      </w:pPr>
    </w:p>
    <w:p w14:paraId="195323AB">
      <w:pPr>
        <w:rPr>
          <w:rFonts w:hint="eastAsia" w:ascii="仿宋" w:hAnsi="仿宋" w:eastAsia="仿宋" w:cs="仿宋"/>
          <w:color w:val="auto"/>
          <w:highlight w:val="none"/>
        </w:rPr>
      </w:pPr>
    </w:p>
    <w:p w14:paraId="258C23D9">
      <w:pPr>
        <w:rPr>
          <w:rFonts w:hint="eastAsia" w:ascii="仿宋" w:hAnsi="仿宋" w:eastAsia="仿宋" w:cs="仿宋"/>
          <w:color w:val="auto"/>
          <w:highlight w:val="none"/>
        </w:rPr>
      </w:pPr>
    </w:p>
    <w:p w14:paraId="0C4815AD">
      <w:pPr>
        <w:rPr>
          <w:rFonts w:hint="eastAsia" w:ascii="仿宋" w:hAnsi="仿宋" w:eastAsia="仿宋" w:cs="仿宋"/>
          <w:color w:val="auto"/>
          <w:highlight w:val="none"/>
        </w:rPr>
      </w:pPr>
    </w:p>
    <w:p w14:paraId="44743928">
      <w:pPr>
        <w:rPr>
          <w:rFonts w:hint="eastAsia" w:ascii="仿宋" w:hAnsi="仿宋" w:eastAsia="仿宋" w:cs="仿宋"/>
          <w:color w:val="auto"/>
          <w:highlight w:val="none"/>
        </w:rPr>
      </w:pPr>
    </w:p>
    <w:p w14:paraId="39C18CEC">
      <w:pPr>
        <w:rPr>
          <w:rFonts w:hint="eastAsia" w:ascii="仿宋" w:hAnsi="仿宋" w:eastAsia="仿宋" w:cs="仿宋"/>
          <w:color w:val="auto"/>
          <w:highlight w:val="none"/>
        </w:rPr>
      </w:pPr>
    </w:p>
    <w:p w14:paraId="514807F5">
      <w:pPr>
        <w:rPr>
          <w:rFonts w:hint="eastAsia" w:ascii="仿宋" w:hAnsi="仿宋" w:eastAsia="仿宋" w:cs="仿宋"/>
          <w:color w:val="auto"/>
          <w:highlight w:val="none"/>
        </w:rPr>
      </w:pPr>
    </w:p>
    <w:p w14:paraId="5366341E">
      <w:pPr>
        <w:rPr>
          <w:rFonts w:hint="eastAsia" w:ascii="仿宋" w:hAnsi="仿宋" w:eastAsia="仿宋" w:cs="仿宋"/>
          <w:color w:val="auto"/>
          <w:highlight w:val="none"/>
        </w:rPr>
      </w:pPr>
    </w:p>
    <w:p w14:paraId="12EA553E">
      <w:pPr>
        <w:rPr>
          <w:rFonts w:hint="eastAsia" w:ascii="仿宋" w:hAnsi="仿宋" w:eastAsia="仿宋" w:cs="仿宋"/>
          <w:color w:val="auto"/>
          <w:highlight w:val="none"/>
        </w:rPr>
      </w:pPr>
    </w:p>
    <w:p w14:paraId="42D4E60B">
      <w:pPr>
        <w:rPr>
          <w:rFonts w:hint="eastAsia" w:ascii="仿宋" w:hAnsi="仿宋" w:eastAsia="仿宋" w:cs="仿宋"/>
          <w:color w:val="auto"/>
          <w:highlight w:val="none"/>
        </w:rPr>
      </w:pPr>
    </w:p>
    <w:p w14:paraId="7C8A0883">
      <w:pPr>
        <w:rPr>
          <w:rFonts w:hint="eastAsia" w:ascii="仿宋" w:hAnsi="仿宋" w:eastAsia="仿宋" w:cs="仿宋"/>
          <w:color w:val="auto"/>
          <w:highlight w:val="none"/>
        </w:rPr>
      </w:pPr>
    </w:p>
    <w:p w14:paraId="56758598">
      <w:pPr>
        <w:rPr>
          <w:rFonts w:hint="eastAsia" w:ascii="仿宋" w:hAnsi="仿宋" w:eastAsia="仿宋" w:cs="仿宋"/>
          <w:color w:val="auto"/>
          <w:highlight w:val="none"/>
        </w:rPr>
      </w:pPr>
    </w:p>
    <w:p w14:paraId="759309BB">
      <w:pPr>
        <w:rPr>
          <w:rFonts w:hint="eastAsia" w:ascii="仿宋" w:hAnsi="仿宋" w:eastAsia="仿宋" w:cs="仿宋"/>
          <w:color w:val="auto"/>
          <w:highlight w:val="none"/>
        </w:rPr>
      </w:pPr>
    </w:p>
    <w:p w14:paraId="24E95242">
      <w:pPr>
        <w:rPr>
          <w:rFonts w:hint="eastAsia" w:ascii="仿宋" w:hAnsi="仿宋" w:eastAsia="仿宋" w:cs="仿宋"/>
          <w:color w:val="auto"/>
          <w:highlight w:val="none"/>
        </w:rPr>
      </w:pPr>
    </w:p>
    <w:p w14:paraId="26056341">
      <w:pPr>
        <w:rPr>
          <w:rFonts w:hint="eastAsia" w:ascii="仿宋" w:hAnsi="仿宋" w:eastAsia="仿宋" w:cs="仿宋"/>
          <w:color w:val="auto"/>
          <w:highlight w:val="none"/>
        </w:rPr>
      </w:pPr>
    </w:p>
    <w:p w14:paraId="37BD6DB6">
      <w:pPr>
        <w:rPr>
          <w:rFonts w:hint="eastAsia" w:ascii="仿宋" w:hAnsi="仿宋" w:eastAsia="仿宋" w:cs="仿宋"/>
          <w:color w:val="auto"/>
          <w:highlight w:val="none"/>
        </w:rPr>
      </w:pPr>
    </w:p>
    <w:p w14:paraId="7926A253">
      <w:pPr>
        <w:rPr>
          <w:rFonts w:hint="eastAsia" w:ascii="仿宋" w:hAnsi="仿宋" w:eastAsia="仿宋" w:cs="仿宋"/>
          <w:color w:val="auto"/>
          <w:highlight w:val="none"/>
        </w:rPr>
      </w:pPr>
    </w:p>
    <w:p w14:paraId="5A2E47BB">
      <w:pPr>
        <w:rPr>
          <w:rFonts w:hint="eastAsia" w:ascii="仿宋" w:hAnsi="仿宋" w:eastAsia="仿宋" w:cs="仿宋"/>
          <w:color w:val="auto"/>
          <w:highlight w:val="none"/>
        </w:rPr>
      </w:pPr>
    </w:p>
    <w:p w14:paraId="3C82BB42">
      <w:pPr>
        <w:rPr>
          <w:rFonts w:hint="eastAsia" w:ascii="仿宋" w:hAnsi="仿宋" w:eastAsia="仿宋" w:cs="仿宋"/>
          <w:color w:val="auto"/>
          <w:highlight w:val="none"/>
        </w:rPr>
      </w:pPr>
    </w:p>
    <w:p w14:paraId="7E56A325">
      <w:pPr>
        <w:rPr>
          <w:rFonts w:hint="eastAsia" w:ascii="仿宋" w:hAnsi="仿宋" w:eastAsia="仿宋" w:cs="仿宋"/>
          <w:color w:val="auto"/>
          <w:highlight w:val="none"/>
        </w:rPr>
      </w:pPr>
    </w:p>
    <w:p w14:paraId="5CBDD047">
      <w:pPr>
        <w:pStyle w:val="6"/>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rPr>
        <w:t>8.投标人提供的货物全部由符合政策要求中小企业制造，投标文件中提供《中小企业声明函》；属于监狱企业的，提供由省级以上监狱管理局、戒毒管理局(含新疆生产建设兵团)出具的属于监狱企业的证明文件（如有，请提供）</w:t>
      </w:r>
    </w:p>
    <w:p w14:paraId="78EC2E26">
      <w:pPr>
        <w:spacing w:line="500" w:lineRule="exact"/>
        <w:rPr>
          <w:rFonts w:hint="eastAsia" w:ascii="仿宋" w:hAnsi="仿宋" w:eastAsia="仿宋" w:cs="仿宋"/>
          <w:b/>
          <w:bCs/>
          <w:color w:val="auto"/>
          <w:sz w:val="32"/>
          <w:szCs w:val="32"/>
          <w:highlight w:val="none"/>
        </w:rPr>
      </w:pPr>
    </w:p>
    <w:p w14:paraId="17B35966">
      <w:pPr>
        <w:spacing w:line="500" w:lineRule="exact"/>
        <w:rPr>
          <w:rFonts w:hint="eastAsia" w:ascii="仿宋" w:hAnsi="仿宋" w:eastAsia="仿宋" w:cs="仿宋"/>
          <w:b/>
          <w:bCs/>
          <w:color w:val="auto"/>
          <w:sz w:val="32"/>
          <w:szCs w:val="32"/>
          <w:highlight w:val="none"/>
        </w:rPr>
      </w:pPr>
    </w:p>
    <w:p w14:paraId="56795F9E">
      <w:pPr>
        <w:pStyle w:val="6"/>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14:paraId="095607C5">
      <w:pPr>
        <w:snapToGrid w:val="0"/>
        <w:spacing w:before="156" w:beforeLines="50" w:after="50"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中小企业声明函（货物）（格式）</w:t>
      </w:r>
    </w:p>
    <w:p w14:paraId="4474BC1A">
      <w:pPr>
        <w:snapToGrid w:val="0"/>
        <w:spacing w:before="156" w:beforeLines="50" w:after="50" w:line="320" w:lineRule="exact"/>
        <w:jc w:val="center"/>
        <w:rPr>
          <w:rFonts w:hint="eastAsia" w:ascii="仿宋" w:hAnsi="仿宋" w:eastAsia="仿宋" w:cs="仿宋"/>
          <w:b/>
          <w:color w:val="auto"/>
          <w:sz w:val="32"/>
          <w:szCs w:val="32"/>
          <w:highlight w:val="none"/>
        </w:rPr>
      </w:pPr>
    </w:p>
    <w:p w14:paraId="4D60F96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1C4BC01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万元，属于（中型企业、小型企业、微型企业）；</w:t>
      </w:r>
    </w:p>
    <w:p w14:paraId="2115725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万元，属于（中型企业、小型企业、微型企业）；</w:t>
      </w:r>
    </w:p>
    <w:p w14:paraId="4ECF9B9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D8FD31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61A28CF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4060D76">
      <w:pPr>
        <w:spacing w:line="400" w:lineRule="exact"/>
        <w:ind w:firstLine="480" w:firstLineChars="200"/>
        <w:jc w:val="right"/>
        <w:rPr>
          <w:rFonts w:hint="eastAsia" w:ascii="仿宋" w:hAnsi="仿宋" w:eastAsia="仿宋" w:cs="仿宋"/>
          <w:color w:val="auto"/>
          <w:sz w:val="24"/>
          <w:highlight w:val="none"/>
        </w:rPr>
      </w:pPr>
    </w:p>
    <w:p w14:paraId="673F30C5">
      <w:pPr>
        <w:spacing w:line="4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单位名称（电子签章）：          </w:t>
      </w:r>
    </w:p>
    <w:p w14:paraId="7E3EEBA6">
      <w:pPr>
        <w:spacing w:line="4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4EE349B2">
      <w:pPr>
        <w:spacing w:line="400" w:lineRule="exact"/>
        <w:ind w:firstLine="482" w:firstLineChars="200"/>
        <w:rPr>
          <w:rFonts w:hint="eastAsia" w:ascii="仿宋" w:hAnsi="仿宋" w:eastAsia="仿宋" w:cs="仿宋"/>
          <w:b/>
          <w:color w:val="auto"/>
          <w:sz w:val="24"/>
          <w:highlight w:val="none"/>
        </w:rPr>
      </w:pPr>
    </w:p>
    <w:p w14:paraId="008F1E64">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0D8D84F3">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1.从业人员、营业收入、资产总额填报上一年度数据，无上一年度数据的新成立企业可不填报。</w:t>
      </w:r>
    </w:p>
    <w:p w14:paraId="09320E9C">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60673BB7">
      <w:pPr>
        <w:tabs>
          <w:tab w:val="left" w:pos="1305"/>
        </w:tabs>
        <w:spacing w:line="38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9.符合条件的残疾人福利性单位在参加政府采购活动时，提供《残疾人福利性单位声明函》，并对声明的真实性负责（如有，请提供）</w:t>
      </w:r>
    </w:p>
    <w:p w14:paraId="736AD726">
      <w:pPr>
        <w:pStyle w:val="6"/>
        <w:ind w:firstLine="472" w:firstLineChars="147"/>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14:paraId="64CCB21B">
      <w:pPr>
        <w:tabs>
          <w:tab w:val="left" w:pos="1305"/>
        </w:tabs>
        <w:spacing w:line="380" w:lineRule="exact"/>
        <w:rPr>
          <w:rFonts w:hint="eastAsia" w:ascii="仿宋" w:hAnsi="仿宋" w:eastAsia="仿宋" w:cs="仿宋"/>
          <w:b/>
          <w:bCs/>
          <w:color w:val="auto"/>
          <w:sz w:val="32"/>
          <w:szCs w:val="32"/>
          <w:highlight w:val="none"/>
        </w:rPr>
      </w:pPr>
    </w:p>
    <w:p w14:paraId="1BD9A5D4">
      <w:pPr>
        <w:pStyle w:val="6"/>
        <w:jc w:val="center"/>
        <w:rPr>
          <w:rFonts w:hint="eastAsia" w:ascii="仿宋" w:hAnsi="仿宋" w:eastAsia="仿宋" w:cs="仿宋"/>
          <w:b/>
          <w:bCs/>
          <w:color w:val="auto"/>
          <w:sz w:val="32"/>
          <w:szCs w:val="32"/>
          <w:highlight w:val="none"/>
        </w:rPr>
      </w:pPr>
      <w:bookmarkStart w:id="28" w:name="OLE_LINK14"/>
      <w:bookmarkStart w:id="29" w:name="OLE_LINK13"/>
      <w:r>
        <w:rPr>
          <w:rFonts w:hint="eastAsia" w:ascii="仿宋" w:hAnsi="仿宋" w:eastAsia="仿宋" w:cs="仿宋"/>
          <w:b/>
          <w:bCs/>
          <w:color w:val="auto"/>
          <w:sz w:val="32"/>
          <w:szCs w:val="32"/>
          <w:highlight w:val="none"/>
        </w:rPr>
        <w:t>残疾人福利性单位声明函（格式）</w:t>
      </w:r>
    </w:p>
    <w:bookmarkEnd w:id="28"/>
    <w:bookmarkEnd w:id="29"/>
    <w:p w14:paraId="07BB7EB3">
      <w:pPr>
        <w:spacing w:line="588" w:lineRule="exact"/>
        <w:rPr>
          <w:rFonts w:hint="eastAsia" w:ascii="仿宋" w:hAnsi="仿宋" w:eastAsia="仿宋" w:cs="仿宋"/>
          <w:b/>
          <w:color w:val="auto"/>
          <w:spacing w:val="6"/>
          <w:sz w:val="30"/>
          <w:szCs w:val="30"/>
          <w:highlight w:val="none"/>
        </w:rPr>
      </w:pPr>
    </w:p>
    <w:p w14:paraId="3EF853D9">
      <w:pPr>
        <w:spacing w:line="588" w:lineRule="exact"/>
        <w:ind w:firstLine="624" w:firstLineChars="200"/>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本单位郑重声明，根据《财政部 民政部 中国残疾人联合会关于促进残疾人就业政府采购政策的通知》（财库</w:t>
      </w:r>
      <w:r>
        <w:rPr>
          <w:rFonts w:hint="eastAsia" w:ascii="仿宋" w:hAnsi="仿宋" w:eastAsia="仿宋" w:cs="仿宋"/>
          <w:color w:val="auto"/>
          <w:sz w:val="32"/>
          <w:szCs w:val="32"/>
          <w:highlight w:val="none"/>
        </w:rPr>
        <w:t>〔2017〕 141</w:t>
      </w:r>
      <w:r>
        <w:rPr>
          <w:rFonts w:hint="eastAsia" w:ascii="仿宋" w:hAnsi="仿宋" w:eastAsia="仿宋" w:cs="仿宋"/>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B575DC">
      <w:pPr>
        <w:spacing w:line="588" w:lineRule="exact"/>
        <w:ind w:firstLine="624" w:firstLineChars="200"/>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本单位对上述声明的真实性负责。如有虚假，将依法承担相应责任。</w:t>
      </w:r>
    </w:p>
    <w:p w14:paraId="67776471">
      <w:pPr>
        <w:spacing w:line="588" w:lineRule="exact"/>
        <w:ind w:firstLine="624" w:firstLineChars="200"/>
        <w:rPr>
          <w:rFonts w:hint="eastAsia" w:ascii="仿宋" w:hAnsi="仿宋" w:eastAsia="仿宋" w:cs="仿宋"/>
          <w:color w:val="auto"/>
          <w:spacing w:val="6"/>
          <w:sz w:val="30"/>
          <w:szCs w:val="30"/>
          <w:highlight w:val="none"/>
        </w:rPr>
      </w:pPr>
    </w:p>
    <w:p w14:paraId="6A5535FD">
      <w:pPr>
        <w:tabs>
          <w:tab w:val="left" w:pos="4860"/>
        </w:tabs>
        <w:spacing w:line="588" w:lineRule="exact"/>
        <w:ind w:right="1560" w:firstLine="624" w:firstLineChars="200"/>
        <w:jc w:val="center"/>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 xml:space="preserve">      单位名称（电子签章）：</w:t>
      </w:r>
    </w:p>
    <w:p w14:paraId="62051D2D">
      <w:pPr>
        <w:tabs>
          <w:tab w:val="left" w:pos="4860"/>
        </w:tabs>
        <w:spacing w:line="588" w:lineRule="exact"/>
        <w:ind w:right="1560" w:firstLine="624" w:firstLineChars="200"/>
        <w:jc w:val="center"/>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 xml:space="preserve">   日  期：</w:t>
      </w:r>
    </w:p>
    <w:p w14:paraId="793D2142">
      <w:pPr>
        <w:spacing w:line="500" w:lineRule="exact"/>
        <w:rPr>
          <w:rFonts w:hint="eastAsia" w:ascii="仿宋" w:hAnsi="仿宋" w:eastAsia="仿宋" w:cs="仿宋"/>
          <w:b/>
          <w:bCs/>
          <w:color w:val="auto"/>
          <w:sz w:val="32"/>
          <w:szCs w:val="32"/>
          <w:highlight w:val="none"/>
        </w:rPr>
      </w:pPr>
    </w:p>
    <w:p w14:paraId="3931DFFB">
      <w:pPr>
        <w:spacing w:line="500" w:lineRule="exact"/>
        <w:rPr>
          <w:rFonts w:hint="eastAsia" w:ascii="仿宋" w:hAnsi="仿宋" w:eastAsia="仿宋" w:cs="仿宋"/>
          <w:b/>
          <w:bCs/>
          <w:color w:val="auto"/>
          <w:sz w:val="32"/>
          <w:szCs w:val="32"/>
          <w:highlight w:val="none"/>
        </w:rPr>
      </w:pPr>
    </w:p>
    <w:p w14:paraId="496A7587">
      <w:pPr>
        <w:spacing w:line="500" w:lineRule="exact"/>
        <w:rPr>
          <w:rFonts w:hint="eastAsia" w:ascii="仿宋" w:hAnsi="仿宋" w:eastAsia="仿宋" w:cs="仿宋"/>
          <w:b/>
          <w:bCs/>
          <w:color w:val="auto"/>
          <w:sz w:val="32"/>
          <w:szCs w:val="32"/>
          <w:highlight w:val="none"/>
        </w:rPr>
      </w:pPr>
    </w:p>
    <w:p w14:paraId="142B919D">
      <w:pPr>
        <w:spacing w:line="500" w:lineRule="exact"/>
        <w:rPr>
          <w:rFonts w:hint="eastAsia" w:ascii="仿宋" w:hAnsi="仿宋" w:eastAsia="仿宋" w:cs="仿宋"/>
          <w:b/>
          <w:bCs/>
          <w:color w:val="auto"/>
          <w:sz w:val="32"/>
          <w:szCs w:val="32"/>
          <w:highlight w:val="none"/>
        </w:rPr>
      </w:pPr>
    </w:p>
    <w:p w14:paraId="667DF825">
      <w:pPr>
        <w:spacing w:line="500" w:lineRule="exact"/>
        <w:rPr>
          <w:rFonts w:hint="eastAsia" w:ascii="仿宋" w:hAnsi="仿宋" w:eastAsia="仿宋" w:cs="仿宋"/>
          <w:b/>
          <w:bCs/>
          <w:color w:val="auto"/>
          <w:sz w:val="32"/>
          <w:szCs w:val="32"/>
          <w:highlight w:val="none"/>
        </w:rPr>
      </w:pPr>
    </w:p>
    <w:p w14:paraId="09A5818E">
      <w:pPr>
        <w:spacing w:line="5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10.投标人可结合本项目的评标办法视自身情况自行提交相关证明材料（如有，请提供）</w:t>
      </w:r>
    </w:p>
    <w:p w14:paraId="2D67DD75">
      <w:pPr>
        <w:spacing w:line="500" w:lineRule="exact"/>
        <w:rPr>
          <w:rFonts w:hint="eastAsia" w:ascii="仿宋" w:hAnsi="仿宋" w:eastAsia="仿宋" w:cs="仿宋"/>
          <w:b/>
          <w:bCs/>
          <w:color w:val="auto"/>
          <w:sz w:val="32"/>
          <w:szCs w:val="32"/>
          <w:highlight w:val="none"/>
        </w:rPr>
      </w:pPr>
    </w:p>
    <w:p w14:paraId="04A7A62D">
      <w:pPr>
        <w:spacing w:line="500" w:lineRule="exact"/>
        <w:rPr>
          <w:rFonts w:hint="eastAsia" w:ascii="仿宋" w:hAnsi="仿宋" w:eastAsia="仿宋" w:cs="仿宋"/>
          <w:b/>
          <w:bCs/>
          <w:color w:val="auto"/>
          <w:sz w:val="32"/>
          <w:szCs w:val="32"/>
          <w:highlight w:val="none"/>
        </w:rPr>
      </w:pPr>
    </w:p>
    <w:p w14:paraId="2E9EC991">
      <w:pPr>
        <w:rPr>
          <w:color w:val="auto"/>
          <w:highlight w:val="none"/>
        </w:rPr>
      </w:pPr>
    </w:p>
    <w:p w14:paraId="1CA78284">
      <w:pPr>
        <w:rPr>
          <w:color w:val="auto"/>
          <w:highlight w:val="none"/>
        </w:rPr>
      </w:pPr>
    </w:p>
    <w:p w14:paraId="6146B654">
      <w:pPr>
        <w:rPr>
          <w:color w:val="auto"/>
          <w:highlight w:val="none"/>
        </w:rPr>
      </w:pPr>
    </w:p>
    <w:sectPr>
      <w:footerReference r:id="rId8" w:type="default"/>
      <w:pgSz w:w="11906" w:h="16838"/>
      <w:pgMar w:top="1021"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ADD2">
    <w:pPr>
      <w:pStyle w:val="7"/>
      <w:framePr w:wrap="around" w:vAnchor="text" w:hAnchor="margin" w:xAlign="center" w:yAlign="top"/>
      <w:rPr>
        <w:rStyle w:val="13"/>
      </w:rPr>
    </w:pPr>
    <w:r>
      <w:fldChar w:fldCharType="begin"/>
    </w:r>
    <w:r>
      <w:rPr>
        <w:rStyle w:val="13"/>
      </w:rPr>
      <w:instrText xml:space="preserve">PAGE  </w:instrText>
    </w:r>
    <w:r>
      <w:fldChar w:fldCharType="end"/>
    </w:r>
  </w:p>
  <w:p w14:paraId="25CC4D2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BD29">
    <w:pPr>
      <w:pStyle w:val="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D498">
    <w:pPr>
      <w:pStyle w:val="7"/>
      <w:jc w:val="center"/>
    </w:pPr>
    <w:r>
      <w:fldChar w:fldCharType="begin"/>
    </w:r>
    <w:r>
      <w:rPr>
        <w:rStyle w:val="13"/>
      </w:rPr>
      <w:instrText xml:space="preserve"> PAGE </w:instrText>
    </w:r>
    <w:r>
      <w:fldChar w:fldCharType="separate"/>
    </w:r>
    <w:r>
      <w:rPr>
        <w:rStyle w:val="13"/>
      </w:rPr>
      <w:t>97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930A7">
    <w:pPr>
      <w:pStyle w:val="8"/>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A7C4">
    <w:pPr>
      <w:pStyle w:val="8"/>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9126">
    <w:pPr>
      <w:pStyle w:val="8"/>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B4126"/>
    <w:multiLevelType w:val="multilevel"/>
    <w:tmpl w:val="51FB4126"/>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7C4095"/>
    <w:multiLevelType w:val="singleLevel"/>
    <w:tmpl w:val="797C4095"/>
    <w:lvl w:ilvl="0" w:tentative="0">
      <w:start w:val="1"/>
      <w:numFmt w:val="decimal"/>
      <w:lvlText w:val="(%1)"/>
      <w:lvlJc w:val="left"/>
      <w:pPr>
        <w:tabs>
          <w:tab w:val="left" w:pos="312"/>
        </w:tabs>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B9C"/>
    <w:rsid w:val="0021699F"/>
    <w:rsid w:val="00377063"/>
    <w:rsid w:val="003F6D5A"/>
    <w:rsid w:val="00616866"/>
    <w:rsid w:val="00814795"/>
    <w:rsid w:val="00FA4DA7"/>
    <w:rsid w:val="01F201C1"/>
    <w:rsid w:val="023D4CBD"/>
    <w:rsid w:val="025832D3"/>
    <w:rsid w:val="03083E26"/>
    <w:rsid w:val="035472E6"/>
    <w:rsid w:val="03C020B7"/>
    <w:rsid w:val="03CD2E8C"/>
    <w:rsid w:val="03DA3C5D"/>
    <w:rsid w:val="03F9655F"/>
    <w:rsid w:val="04EA2A9E"/>
    <w:rsid w:val="051261E1"/>
    <w:rsid w:val="053101FA"/>
    <w:rsid w:val="05FC035D"/>
    <w:rsid w:val="072C2A1A"/>
    <w:rsid w:val="075D770B"/>
    <w:rsid w:val="07DC4E87"/>
    <w:rsid w:val="07E61D25"/>
    <w:rsid w:val="07ED4390"/>
    <w:rsid w:val="088E0630"/>
    <w:rsid w:val="090830A4"/>
    <w:rsid w:val="090C47E8"/>
    <w:rsid w:val="091266F1"/>
    <w:rsid w:val="097A4477"/>
    <w:rsid w:val="09C14B09"/>
    <w:rsid w:val="09CB500B"/>
    <w:rsid w:val="0A430D0D"/>
    <w:rsid w:val="0A4A7809"/>
    <w:rsid w:val="0A8D0A83"/>
    <w:rsid w:val="0B3C3437"/>
    <w:rsid w:val="0B89451B"/>
    <w:rsid w:val="0C105FB5"/>
    <w:rsid w:val="0C4729B0"/>
    <w:rsid w:val="0C90792D"/>
    <w:rsid w:val="0CF5713B"/>
    <w:rsid w:val="0E39220B"/>
    <w:rsid w:val="0E644A75"/>
    <w:rsid w:val="0EB057CA"/>
    <w:rsid w:val="100861F5"/>
    <w:rsid w:val="103E0F42"/>
    <w:rsid w:val="1058663A"/>
    <w:rsid w:val="1070625D"/>
    <w:rsid w:val="10D339DD"/>
    <w:rsid w:val="11F8610A"/>
    <w:rsid w:val="121A40C0"/>
    <w:rsid w:val="131D046B"/>
    <w:rsid w:val="13554BAE"/>
    <w:rsid w:val="13870A14"/>
    <w:rsid w:val="155A6060"/>
    <w:rsid w:val="15807C55"/>
    <w:rsid w:val="15892AE3"/>
    <w:rsid w:val="17306E6C"/>
    <w:rsid w:val="174D3155"/>
    <w:rsid w:val="17652CA6"/>
    <w:rsid w:val="177A5491"/>
    <w:rsid w:val="17AC4D67"/>
    <w:rsid w:val="189823E5"/>
    <w:rsid w:val="18C9692B"/>
    <w:rsid w:val="19B765F8"/>
    <w:rsid w:val="19D16505"/>
    <w:rsid w:val="1A2972F9"/>
    <w:rsid w:val="1ACF642C"/>
    <w:rsid w:val="1BF9454B"/>
    <w:rsid w:val="1CAF251B"/>
    <w:rsid w:val="1CBA165E"/>
    <w:rsid w:val="1D532BBD"/>
    <w:rsid w:val="1E340C41"/>
    <w:rsid w:val="1E556CA9"/>
    <w:rsid w:val="1EB92133"/>
    <w:rsid w:val="1F50476D"/>
    <w:rsid w:val="1FDA4F3D"/>
    <w:rsid w:val="20E43CE3"/>
    <w:rsid w:val="21380790"/>
    <w:rsid w:val="21472FA9"/>
    <w:rsid w:val="22191E3B"/>
    <w:rsid w:val="22344AC3"/>
    <w:rsid w:val="223E6344"/>
    <w:rsid w:val="225F0B39"/>
    <w:rsid w:val="22D91657"/>
    <w:rsid w:val="22E63803"/>
    <w:rsid w:val="2339226E"/>
    <w:rsid w:val="23474117"/>
    <w:rsid w:val="24212C83"/>
    <w:rsid w:val="245D130F"/>
    <w:rsid w:val="24BF6A58"/>
    <w:rsid w:val="25B54415"/>
    <w:rsid w:val="26A27A1A"/>
    <w:rsid w:val="26D24169"/>
    <w:rsid w:val="27357223"/>
    <w:rsid w:val="279B763B"/>
    <w:rsid w:val="283006CB"/>
    <w:rsid w:val="2878467C"/>
    <w:rsid w:val="28853AA6"/>
    <w:rsid w:val="28AF5232"/>
    <w:rsid w:val="28B356D4"/>
    <w:rsid w:val="28B50BD7"/>
    <w:rsid w:val="292D0B77"/>
    <w:rsid w:val="294629B5"/>
    <w:rsid w:val="2A506E02"/>
    <w:rsid w:val="2A9F2DDF"/>
    <w:rsid w:val="2B614ECC"/>
    <w:rsid w:val="2BC817F9"/>
    <w:rsid w:val="2BD733B6"/>
    <w:rsid w:val="2C0D77A1"/>
    <w:rsid w:val="2C622F99"/>
    <w:rsid w:val="2C6D3C9C"/>
    <w:rsid w:val="2CB26104"/>
    <w:rsid w:val="2D173AB6"/>
    <w:rsid w:val="2DCB2480"/>
    <w:rsid w:val="2E4326F5"/>
    <w:rsid w:val="2E894159"/>
    <w:rsid w:val="2EF23F15"/>
    <w:rsid w:val="2F780088"/>
    <w:rsid w:val="30166791"/>
    <w:rsid w:val="30B138A3"/>
    <w:rsid w:val="30B72950"/>
    <w:rsid w:val="30DE27BB"/>
    <w:rsid w:val="31732CAF"/>
    <w:rsid w:val="320C1ACF"/>
    <w:rsid w:val="325A210C"/>
    <w:rsid w:val="32AD71A1"/>
    <w:rsid w:val="33012785"/>
    <w:rsid w:val="3344327C"/>
    <w:rsid w:val="33826E7B"/>
    <w:rsid w:val="33CA5530"/>
    <w:rsid w:val="33CE728B"/>
    <w:rsid w:val="344F4008"/>
    <w:rsid w:val="34C04B85"/>
    <w:rsid w:val="34DF5C94"/>
    <w:rsid w:val="35316ED2"/>
    <w:rsid w:val="35BA7826"/>
    <w:rsid w:val="362A510D"/>
    <w:rsid w:val="36F22C88"/>
    <w:rsid w:val="370E2CE4"/>
    <w:rsid w:val="378679C0"/>
    <w:rsid w:val="378C4D7F"/>
    <w:rsid w:val="37B53077"/>
    <w:rsid w:val="37E868CC"/>
    <w:rsid w:val="37F93E62"/>
    <w:rsid w:val="383E7EED"/>
    <w:rsid w:val="38C65B34"/>
    <w:rsid w:val="392635CF"/>
    <w:rsid w:val="39764653"/>
    <w:rsid w:val="397E1BE3"/>
    <w:rsid w:val="3A5D587F"/>
    <w:rsid w:val="3A871F12"/>
    <w:rsid w:val="3AA931EF"/>
    <w:rsid w:val="3B461DC0"/>
    <w:rsid w:val="3BA80DA1"/>
    <w:rsid w:val="3C261162"/>
    <w:rsid w:val="3CDF0448"/>
    <w:rsid w:val="3DEB30F5"/>
    <w:rsid w:val="3F555576"/>
    <w:rsid w:val="3F832FD5"/>
    <w:rsid w:val="3F9877AE"/>
    <w:rsid w:val="40D46A6C"/>
    <w:rsid w:val="40FA58B4"/>
    <w:rsid w:val="42462474"/>
    <w:rsid w:val="42B70F03"/>
    <w:rsid w:val="42BA4918"/>
    <w:rsid w:val="42D3745C"/>
    <w:rsid w:val="4311364B"/>
    <w:rsid w:val="4355099C"/>
    <w:rsid w:val="43744B39"/>
    <w:rsid w:val="43B01E6B"/>
    <w:rsid w:val="445709AF"/>
    <w:rsid w:val="44647CC4"/>
    <w:rsid w:val="45287A02"/>
    <w:rsid w:val="45593A55"/>
    <w:rsid w:val="45693CEF"/>
    <w:rsid w:val="457412D9"/>
    <w:rsid w:val="45817352"/>
    <w:rsid w:val="46427C1A"/>
    <w:rsid w:val="465E3302"/>
    <w:rsid w:val="46674E60"/>
    <w:rsid w:val="467F5A35"/>
    <w:rsid w:val="46ED18ED"/>
    <w:rsid w:val="473318E6"/>
    <w:rsid w:val="47B10977"/>
    <w:rsid w:val="48A70E8C"/>
    <w:rsid w:val="49C34AA3"/>
    <w:rsid w:val="4A0402F7"/>
    <w:rsid w:val="4A924464"/>
    <w:rsid w:val="4AA448D5"/>
    <w:rsid w:val="4B105834"/>
    <w:rsid w:val="4C7668EA"/>
    <w:rsid w:val="4CC86664"/>
    <w:rsid w:val="4D0C4375"/>
    <w:rsid w:val="4D291727"/>
    <w:rsid w:val="4D8515C9"/>
    <w:rsid w:val="4DC572DA"/>
    <w:rsid w:val="4DF92F05"/>
    <w:rsid w:val="4E397B77"/>
    <w:rsid w:val="4E8F44F1"/>
    <w:rsid w:val="51D27F79"/>
    <w:rsid w:val="51E35F0D"/>
    <w:rsid w:val="51FE0D6E"/>
    <w:rsid w:val="521C456F"/>
    <w:rsid w:val="52416EAD"/>
    <w:rsid w:val="52972F71"/>
    <w:rsid w:val="52C20D2E"/>
    <w:rsid w:val="52E857E3"/>
    <w:rsid w:val="52FF0538"/>
    <w:rsid w:val="53702ACE"/>
    <w:rsid w:val="53AE4E59"/>
    <w:rsid w:val="53BE6520"/>
    <w:rsid w:val="54055182"/>
    <w:rsid w:val="540A554E"/>
    <w:rsid w:val="540E28F4"/>
    <w:rsid w:val="544D6C42"/>
    <w:rsid w:val="54571DEF"/>
    <w:rsid w:val="54C620A2"/>
    <w:rsid w:val="551450ED"/>
    <w:rsid w:val="554B53D1"/>
    <w:rsid w:val="55AF2956"/>
    <w:rsid w:val="55F44906"/>
    <w:rsid w:val="5633598F"/>
    <w:rsid w:val="573C0CDF"/>
    <w:rsid w:val="57F01655"/>
    <w:rsid w:val="58125365"/>
    <w:rsid w:val="584F4EF2"/>
    <w:rsid w:val="58530075"/>
    <w:rsid w:val="58540E15"/>
    <w:rsid w:val="589F26F3"/>
    <w:rsid w:val="58BB7DD1"/>
    <w:rsid w:val="590C5B29"/>
    <w:rsid w:val="594F1EAF"/>
    <w:rsid w:val="5950536F"/>
    <w:rsid w:val="596D6D08"/>
    <w:rsid w:val="59747253"/>
    <w:rsid w:val="5AF22ED6"/>
    <w:rsid w:val="5B0B44FC"/>
    <w:rsid w:val="5BA261E3"/>
    <w:rsid w:val="5E4E54F3"/>
    <w:rsid w:val="5E8B689C"/>
    <w:rsid w:val="5EC91A1A"/>
    <w:rsid w:val="5F887941"/>
    <w:rsid w:val="60E27299"/>
    <w:rsid w:val="611B6B1B"/>
    <w:rsid w:val="612917D2"/>
    <w:rsid w:val="613227E2"/>
    <w:rsid w:val="61F47A8C"/>
    <w:rsid w:val="62571673"/>
    <w:rsid w:val="63DA4B5E"/>
    <w:rsid w:val="646D1D84"/>
    <w:rsid w:val="64A67653"/>
    <w:rsid w:val="6502071E"/>
    <w:rsid w:val="659A4C88"/>
    <w:rsid w:val="665B4AAC"/>
    <w:rsid w:val="66E856F1"/>
    <w:rsid w:val="67192A32"/>
    <w:rsid w:val="67C9107F"/>
    <w:rsid w:val="67DA3613"/>
    <w:rsid w:val="68ED7DC4"/>
    <w:rsid w:val="695D51EA"/>
    <w:rsid w:val="69A433E0"/>
    <w:rsid w:val="69B12712"/>
    <w:rsid w:val="6A681023"/>
    <w:rsid w:val="6A797D44"/>
    <w:rsid w:val="6A9E35F8"/>
    <w:rsid w:val="6AA80BCD"/>
    <w:rsid w:val="6AC67AF8"/>
    <w:rsid w:val="6B146AE8"/>
    <w:rsid w:val="6B28575B"/>
    <w:rsid w:val="6B3721EE"/>
    <w:rsid w:val="6B3A6CFA"/>
    <w:rsid w:val="6B566DE5"/>
    <w:rsid w:val="6B8F3DB2"/>
    <w:rsid w:val="6BCA2D65"/>
    <w:rsid w:val="6C6A4E6D"/>
    <w:rsid w:val="6CCB038A"/>
    <w:rsid w:val="6D3A4588"/>
    <w:rsid w:val="6D512242"/>
    <w:rsid w:val="6E702CBE"/>
    <w:rsid w:val="6EB55AE1"/>
    <w:rsid w:val="6F0312AE"/>
    <w:rsid w:val="6F5079E2"/>
    <w:rsid w:val="6FDF4DD7"/>
    <w:rsid w:val="6FE70C3C"/>
    <w:rsid w:val="70987DDD"/>
    <w:rsid w:val="718F649C"/>
    <w:rsid w:val="72492390"/>
    <w:rsid w:val="73573CB8"/>
    <w:rsid w:val="735F1CEE"/>
    <w:rsid w:val="736E0E6D"/>
    <w:rsid w:val="73A40BF2"/>
    <w:rsid w:val="73CD63C4"/>
    <w:rsid w:val="744A709B"/>
    <w:rsid w:val="74B7598C"/>
    <w:rsid w:val="74CF7FE9"/>
    <w:rsid w:val="75330480"/>
    <w:rsid w:val="7585185D"/>
    <w:rsid w:val="759A017D"/>
    <w:rsid w:val="76680C46"/>
    <w:rsid w:val="76B30C4A"/>
    <w:rsid w:val="771244E7"/>
    <w:rsid w:val="77150947"/>
    <w:rsid w:val="771A5176"/>
    <w:rsid w:val="77A8025E"/>
    <w:rsid w:val="780A196C"/>
    <w:rsid w:val="781B5F00"/>
    <w:rsid w:val="78C53AE4"/>
    <w:rsid w:val="78FD4E2C"/>
    <w:rsid w:val="792C25D8"/>
    <w:rsid w:val="79F8561F"/>
    <w:rsid w:val="7AAC5B09"/>
    <w:rsid w:val="7AF16A40"/>
    <w:rsid w:val="7B095F0A"/>
    <w:rsid w:val="7BAB5214"/>
    <w:rsid w:val="7BBD2F68"/>
    <w:rsid w:val="7BBF6E3A"/>
    <w:rsid w:val="7C3E2B9C"/>
    <w:rsid w:val="7C6C5F2D"/>
    <w:rsid w:val="7D4168D5"/>
    <w:rsid w:val="7D770539"/>
    <w:rsid w:val="7DDD290B"/>
    <w:rsid w:val="7E207EFD"/>
    <w:rsid w:val="7E497A3C"/>
    <w:rsid w:val="7EED169F"/>
    <w:rsid w:val="7F46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index 8"/>
    <w:basedOn w:val="1"/>
    <w:next w:val="1"/>
    <w:qFormat/>
    <w:uiPriority w:val="99"/>
    <w:pPr>
      <w:spacing w:line="400" w:lineRule="exact"/>
      <w:ind w:left="2940" w:firstLine="1044" w:firstLineChars="200"/>
      <w:jc w:val="left"/>
    </w:pPr>
  </w:style>
  <w:style w:type="paragraph" w:styleId="4">
    <w:name w:val="annotation text"/>
    <w:basedOn w:val="1"/>
    <w:qFormat/>
    <w:uiPriority w:val="99"/>
    <w:pPr>
      <w:jc w:val="left"/>
    </w:pPr>
  </w:style>
  <w:style w:type="paragraph" w:styleId="5">
    <w:name w:val="Body Text"/>
    <w:basedOn w:val="1"/>
    <w:next w:val="1"/>
    <w:qFormat/>
    <w:uiPriority w:val="99"/>
    <w:pPr>
      <w:spacing w:line="380" w:lineRule="exact"/>
      <w:ind w:firstLine="1044" w:firstLineChars="200"/>
      <w:jc w:val="left"/>
    </w:pPr>
    <w:rPr>
      <w:sz w:val="24"/>
    </w:rPr>
  </w:style>
  <w:style w:type="paragraph" w:styleId="6">
    <w:name w:val="Plain Text"/>
    <w:basedOn w:val="1"/>
    <w:next w:val="3"/>
    <w:qFormat/>
    <w:uiPriority w:val="99"/>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page number"/>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1"/>
    <w:basedOn w:val="1"/>
    <w:next w:val="6"/>
    <w:qFormat/>
    <w:uiPriority w:val="99"/>
    <w:rPr>
      <w:rFonts w:ascii="宋体" w:hAnsi="Courier New"/>
      <w:szCs w:val="20"/>
    </w:rPr>
  </w:style>
  <w:style w:type="paragraph" w:customStyle="1" w:styleId="17">
    <w:name w:val="Char"/>
    <w:basedOn w:val="1"/>
    <w:qFormat/>
    <w:uiPriority w:val="99"/>
  </w:style>
  <w:style w:type="paragraph" w:customStyle="1" w:styleId="18">
    <w:name w:val="_Style 1"/>
    <w:qFormat/>
    <w:uiPriority w:val="1"/>
    <w:pPr>
      <w:widowControl w:val="0"/>
      <w:jc w:val="both"/>
    </w:pPr>
    <w:rPr>
      <w:rFonts w:ascii="Calibri" w:hAnsi="Calibri" w:eastAsia="宋体" w:cs="Times New Roman"/>
      <w:kern w:val="2"/>
      <w:sz w:val="21"/>
      <w:szCs w:val="24"/>
      <w:lang w:val="en-US" w:eastAsia="zh-CN" w:bidi="ar-SA"/>
    </w:rPr>
  </w:style>
  <w:style w:type="character" w:customStyle="1" w:styleId="19">
    <w:name w:val="font31"/>
    <w:basedOn w:val="12"/>
    <w:qFormat/>
    <w:uiPriority w:val="0"/>
    <w:rPr>
      <w:rFonts w:ascii="AvantGarde Bk BT" w:hAnsi="AvantGarde Bk BT" w:eastAsia="AvantGarde Bk BT" w:cs="AvantGarde Bk BT"/>
      <w:color w:val="FF0000"/>
      <w:sz w:val="24"/>
      <w:szCs w:val="24"/>
      <w:u w:val="none"/>
    </w:rPr>
  </w:style>
  <w:style w:type="character" w:customStyle="1" w:styleId="20">
    <w:name w:val="font41"/>
    <w:basedOn w:val="12"/>
    <w:qFormat/>
    <w:uiPriority w:val="0"/>
    <w:rPr>
      <w:rFonts w:hint="eastAsia" w:ascii="宋体" w:hAnsi="宋体" w:eastAsia="宋体" w:cs="宋体"/>
      <w:color w:val="000000"/>
      <w:sz w:val="24"/>
      <w:szCs w:val="24"/>
      <w:u w:val="none"/>
    </w:rPr>
  </w:style>
  <w:style w:type="paragraph" w:customStyle="1" w:styleId="21">
    <w:name w:val="Table Paragraph"/>
    <w:basedOn w:val="1"/>
    <w:qFormat/>
    <w:uiPriority w:val="1"/>
    <w:pPr>
      <w:spacing w:line="400" w:lineRule="exact"/>
      <w:ind w:firstLine="1044" w:firstLineChars="200"/>
      <w:jc w:val="left"/>
    </w:pPr>
    <w:rPr>
      <w:sz w:val="24"/>
    </w:rPr>
  </w:style>
  <w:style w:type="paragraph" w:customStyle="1" w:styleId="22">
    <w:name w:val="表格文字"/>
    <w:basedOn w:val="1"/>
    <w:qFormat/>
    <w:uiPriority w:val="99"/>
    <w:pPr>
      <w:spacing w:before="25" w:after="25" w:line="400" w:lineRule="exact"/>
      <w:ind w:firstLine="1044" w:firstLineChars="200"/>
      <w:jc w:val="left"/>
    </w:pPr>
    <w:rPr>
      <w:bCs/>
      <w:spacing w:val="10"/>
      <w:kern w:val="0"/>
      <w:sz w:val="24"/>
    </w:rPr>
  </w:style>
  <w:style w:type="character" w:customStyle="1" w:styleId="23">
    <w:name w:val="font51"/>
    <w:basedOn w:val="12"/>
    <w:qFormat/>
    <w:uiPriority w:val="0"/>
    <w:rPr>
      <w:rFonts w:hint="eastAsia" w:ascii="宋体" w:hAnsi="宋体" w:eastAsia="宋体" w:cs="宋体"/>
      <w:color w:val="000000"/>
      <w:sz w:val="22"/>
      <w:szCs w:val="22"/>
      <w:u w:val="none"/>
    </w:rPr>
  </w:style>
  <w:style w:type="character" w:customStyle="1" w:styleId="24">
    <w:name w:val="font91"/>
    <w:basedOn w:val="12"/>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12830</Words>
  <Characters>13844</Characters>
  <Lines>623</Lines>
  <Paragraphs>175</Paragraphs>
  <TotalTime>0</TotalTime>
  <ScaleCrop>false</ScaleCrop>
  <LinksUpToDate>false</LinksUpToDate>
  <CharactersWithSpaces>13938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2025-09-10T03:20:00Z</dcterms:created>
  <dc:creator>M先生</dc:creator>
  <cp:lastModifiedBy>M先生</cp:lastModifiedBy>
  <dcterms:modified xsi:type="dcterms:W3CDTF">2025-09-29T07:20:21Z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8BCABDA5D7DA4D3FB2C924D4CCB6116F_11</vt:lpwstr>
  </property>
  <property fmtid="{D5CDD505-2E9C-101B-9397-08002B2CF9AE}" pid="4" name="KSOTemplateDocerSaveRecord">
    <vt:lpwstr>eyJoZGlkIjoiMjY3ZDIwZjA0ZDhhMGNjNjI3NmQyNDQ4ZDJlYTRjYWMiLCJ1c2VySWQiOiI0MjA0OTg4MjYifQ==</vt:lpwstr>
  </property>
</Properties>
</file>