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color w:val="auto"/>
          <w:sz w:val="44"/>
          <w:szCs w:val="44"/>
          <w:highlight w:val="none"/>
        </w:rPr>
      </w:pPr>
      <w:bookmarkStart w:id="0" w:name="_Toc10319"/>
      <w:bookmarkStart w:id="1" w:name="_Toc7014_WPSOffice_Level1"/>
      <w:r>
        <w:rPr>
          <w:rFonts w:hint="eastAsia" w:ascii="宋体" w:hAnsi="宋体" w:cs="宋体"/>
          <w:b/>
          <w:color w:val="auto"/>
          <w:sz w:val="52"/>
          <w:highlight w:val="none"/>
        </w:rPr>
        <w:t xml:space="preserve"> </w:t>
      </w:r>
      <w:r>
        <w:rPr>
          <w:rFonts w:hint="eastAsia" w:ascii="宋体" w:hAnsi="宋体" w:cs="宋体"/>
          <w:b/>
          <w:color w:val="auto"/>
          <w:sz w:val="56"/>
          <w:szCs w:val="56"/>
          <w:highlight w:val="none"/>
        </w:rPr>
        <w:t>广西天罡工程项目管理有限公司</w:t>
      </w:r>
    </w:p>
    <w:p>
      <w:pPr>
        <w:pStyle w:val="21"/>
        <w:rPr>
          <w:rFonts w:ascii="宋体" w:hAnsi="宋体" w:cs="宋体"/>
          <w:b/>
          <w:bCs/>
          <w:color w:val="auto"/>
          <w:sz w:val="52"/>
          <w:szCs w:val="52"/>
          <w:highlight w:val="none"/>
        </w:rPr>
      </w:pPr>
    </w:p>
    <w:p>
      <w:pPr>
        <w:pStyle w:val="21"/>
        <w:rPr>
          <w:rFonts w:ascii="宋体" w:hAnsi="宋体" w:cs="宋体"/>
          <w:b/>
          <w:bCs/>
          <w:color w:val="auto"/>
          <w:sz w:val="52"/>
          <w:szCs w:val="52"/>
          <w:highlight w:val="none"/>
        </w:rPr>
      </w:pPr>
    </w:p>
    <w:p>
      <w:pPr>
        <w:pStyle w:val="21"/>
        <w:rPr>
          <w:rFonts w:ascii="宋体" w:hAnsi="宋体" w:cs="宋体"/>
          <w:b/>
          <w:bCs/>
          <w:color w:val="auto"/>
          <w:sz w:val="52"/>
          <w:szCs w:val="52"/>
          <w:highlight w:val="none"/>
        </w:rPr>
      </w:pPr>
    </w:p>
    <w:p>
      <w:pPr>
        <w:ind w:left="558" w:right="683"/>
        <w:jc w:val="center"/>
        <w:rPr>
          <w:rFonts w:ascii="宋体" w:hAnsi="宋体" w:cs="宋体"/>
          <w:b/>
          <w:color w:val="auto"/>
          <w:sz w:val="56"/>
          <w:szCs w:val="56"/>
          <w:highlight w:val="none"/>
        </w:rPr>
      </w:pPr>
      <w:r>
        <w:rPr>
          <w:rFonts w:hint="eastAsia" w:ascii="宋体" w:hAnsi="宋体" w:cs="宋体"/>
          <w:b/>
          <w:color w:val="auto"/>
          <w:spacing w:val="93"/>
          <w:sz w:val="56"/>
          <w:szCs w:val="56"/>
          <w:highlight w:val="none"/>
        </w:rPr>
        <w:t>竞争性磋商文件</w:t>
      </w: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p>
    <w:p>
      <w:pPr>
        <w:ind w:left="3200" w:hanging="3200" w:hangingChars="1000"/>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 xml:space="preserve">  项 目 名 称：桂林市第二技工学校安保服务项目</w:t>
      </w:r>
    </w:p>
    <w:p>
      <w:pP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rPr>
        <w:t xml:space="preserve"> 项 目 编 号：</w:t>
      </w:r>
      <w:r>
        <w:rPr>
          <w:rFonts w:hint="eastAsia" w:ascii="宋体" w:hAnsi="宋体" w:cs="宋体"/>
          <w:color w:val="auto"/>
          <w:sz w:val="32"/>
          <w:szCs w:val="32"/>
          <w:highlight w:val="none"/>
          <w:lang w:eastAsia="zh-CN"/>
        </w:rPr>
        <w:t>GLZC2025-C3-990695-GXTG</w:t>
      </w:r>
    </w:p>
    <w:p>
      <w:pPr>
        <w:ind w:firstLine="1600" w:firstLineChars="500"/>
        <w:rPr>
          <w:rFonts w:ascii="宋体" w:hAnsi="宋体" w:cs="宋体"/>
          <w:color w:val="auto"/>
          <w:sz w:val="32"/>
          <w:szCs w:val="32"/>
          <w:highlight w:val="none"/>
        </w:rPr>
      </w:pPr>
    </w:p>
    <w:p>
      <w:pPr>
        <w:jc w:val="center"/>
        <w:rPr>
          <w:rFonts w:ascii="宋体" w:hAnsi="宋体" w:cs="宋体"/>
          <w:color w:val="auto"/>
          <w:sz w:val="32"/>
          <w:szCs w:val="32"/>
          <w:highlight w:val="none"/>
        </w:rPr>
      </w:pPr>
    </w:p>
    <w:p>
      <w:pPr>
        <w:rPr>
          <w:rFonts w:ascii="宋体" w:hAnsi="宋体" w:cs="宋体"/>
          <w:color w:val="auto"/>
          <w:sz w:val="32"/>
          <w:szCs w:val="32"/>
          <w:highlight w:val="none"/>
        </w:rPr>
      </w:pPr>
    </w:p>
    <w:p>
      <w:pPr>
        <w:pStyle w:val="21"/>
        <w:rPr>
          <w:color w:val="auto"/>
          <w:highlight w:val="none"/>
        </w:rPr>
      </w:pPr>
    </w:p>
    <w:p>
      <w:pPr>
        <w:rPr>
          <w:rFonts w:ascii="宋体" w:hAnsi="宋体" w:cs="宋体"/>
          <w:color w:val="auto"/>
          <w:sz w:val="32"/>
          <w:szCs w:val="32"/>
          <w:highlight w:val="none"/>
        </w:rPr>
      </w:pPr>
    </w:p>
    <w:p>
      <w:pPr>
        <w:ind w:firstLine="1600" w:firstLineChars="500"/>
        <w:rPr>
          <w:rFonts w:ascii="宋体" w:hAnsi="宋体" w:cs="宋体"/>
          <w:color w:val="auto"/>
          <w:sz w:val="32"/>
          <w:szCs w:val="32"/>
          <w:highlight w:val="none"/>
        </w:rPr>
      </w:pPr>
      <w:r>
        <w:rPr>
          <w:rFonts w:hint="eastAsia" w:ascii="宋体" w:hAnsi="宋体" w:cs="宋体"/>
          <w:color w:val="auto"/>
          <w:sz w:val="32"/>
          <w:szCs w:val="32"/>
          <w:highlight w:val="none"/>
        </w:rPr>
        <w:t>采购代理机构：广西天罡工程项目管理有限公司</w:t>
      </w:r>
    </w:p>
    <w:p>
      <w:pPr>
        <w:pStyle w:val="9"/>
        <w:rPr>
          <w:rFonts w:ascii="宋体" w:hAnsi="宋体" w:cs="宋体"/>
          <w:color w:val="auto"/>
          <w:highlight w:val="none"/>
        </w:rPr>
      </w:pPr>
    </w:p>
    <w:p>
      <w:pPr>
        <w:ind w:firstLine="3840" w:firstLineChars="1200"/>
        <w:rPr>
          <w:rFonts w:ascii="宋体" w:hAnsi="宋体" w:cs="宋体"/>
          <w:color w:val="auto"/>
          <w:sz w:val="48"/>
          <w:szCs w:val="48"/>
          <w:highlight w:val="none"/>
        </w:rPr>
        <w:sectPr>
          <w:footerReference r:id="rId3" w:type="default"/>
          <w:pgSz w:w="11906" w:h="16838"/>
          <w:pgMar w:top="1440" w:right="935" w:bottom="1440" w:left="777" w:header="851" w:footer="992" w:gutter="0"/>
          <w:pgNumType w:fmt="decimal" w:start="1" w:chapStyle="1" w:chapSep="hyphen"/>
          <w:cols w:space="720" w:num="1"/>
          <w:docGrid w:type="linesAndChars" w:linePitch="312" w:charSpace="0"/>
        </w:sectPr>
      </w:pP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年1月</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目</w:t>
      </w:r>
      <w:r>
        <w:rPr>
          <w:rFonts w:hint="eastAsia"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zh-CN"/>
        </w:rPr>
        <w:t>录</w:t>
      </w:r>
    </w:p>
    <w:p>
      <w:pPr>
        <w:pStyle w:val="23"/>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cs="宋体"/>
          <w:b/>
          <w:bCs/>
          <w:color w:val="auto"/>
          <w:sz w:val="30"/>
          <w:szCs w:val="30"/>
          <w:highlight w:val="none"/>
        </w:rPr>
        <w:fldChar w:fldCharType="begin"/>
      </w:r>
      <w:r>
        <w:rPr>
          <w:rFonts w:hint="eastAsia" w:ascii="宋体" w:hAnsi="宋体" w:cs="宋体"/>
          <w:b/>
          <w:bCs/>
          <w:color w:val="auto"/>
          <w:sz w:val="30"/>
          <w:szCs w:val="30"/>
          <w:highlight w:val="none"/>
        </w:rPr>
        <w:instrText xml:space="preserve">TOC \o "1-1" \h \u </w:instrText>
      </w:r>
      <w:r>
        <w:rPr>
          <w:rFonts w:hint="eastAsia" w:ascii="宋体" w:hAnsi="宋体" w:cs="宋体"/>
          <w:b/>
          <w:bCs/>
          <w:color w:val="auto"/>
          <w:sz w:val="30"/>
          <w:szCs w:val="30"/>
          <w:highlight w:val="none"/>
        </w:rPr>
        <w:fldChar w:fldCharType="separate"/>
      </w: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_Toc23881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36"/>
          <w:highlight w:val="none"/>
          <w:lang w:val="en-US" w:eastAsia="zh-CN" w:bidi="ar-SA"/>
        </w:rPr>
        <w:t>第一章 竞争性磋商公告</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_Toc23881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2</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pPr>
        <w:pStyle w:val="23"/>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_Toc32493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72"/>
          <w:highlight w:val="none"/>
          <w:lang w:val="en-US" w:eastAsia="zh-CN" w:bidi="ar-SA"/>
        </w:rPr>
        <w:t>第二章  供应商须知</w:t>
      </w:r>
      <w:bookmarkStart w:id="240" w:name="_GoBack"/>
      <w:bookmarkEnd w:id="240"/>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_Toc32493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5</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pPr>
        <w:pStyle w:val="23"/>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_Toc30793 </w:instrText>
      </w:r>
      <w:r>
        <w:rPr>
          <w:rFonts w:hint="eastAsia" w:ascii="宋体" w:hAnsi="宋体" w:eastAsia="宋体" w:cs="宋体"/>
          <w:bCs/>
          <w:color w:val="auto"/>
          <w:kern w:val="2"/>
          <w:sz w:val="28"/>
          <w:szCs w:val="40"/>
          <w:highlight w:val="none"/>
          <w:lang w:val="en-US" w:eastAsia="zh-CN" w:bidi="ar-SA"/>
        </w:rPr>
        <w:fldChar w:fldCharType="separate"/>
      </w:r>
      <w:r>
        <w:rPr>
          <w:rFonts w:hint="default" w:ascii="Times New Roman" w:hAnsi="Times New Roman" w:eastAsia="宋体" w:cs="Times New Roman"/>
          <w:color w:val="auto"/>
          <w:kern w:val="2"/>
          <w:sz w:val="28"/>
          <w:szCs w:val="72"/>
          <w:highlight w:val="none"/>
          <w:lang w:val="en-US" w:eastAsia="zh-CN" w:bidi="ar-SA"/>
        </w:rPr>
        <w:t>第三章 采购需求</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_Toc30793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22</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pPr>
        <w:pStyle w:val="23"/>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_Toc29196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72"/>
          <w:highlight w:val="none"/>
          <w:lang w:val="en-US" w:eastAsia="zh-CN" w:bidi="ar-SA"/>
        </w:rPr>
        <w:t>第四章 评审办法</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_Toc29196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25</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pPr>
        <w:pStyle w:val="23"/>
        <w:tabs>
          <w:tab w:val="right" w:leader="dot" w:pos="10194"/>
        </w:tabs>
        <w:rPr>
          <w:rFonts w:ascii="Times New Roman" w:hAnsi="Times New Roman" w:eastAsia="宋体" w:cs="Times New Roman"/>
          <w:color w:val="auto"/>
          <w:kern w:val="2"/>
          <w:sz w:val="28"/>
          <w:szCs w:val="36"/>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_Toc4397 </w:instrText>
      </w:r>
      <w:r>
        <w:rPr>
          <w:rFonts w:hint="eastAsia" w:ascii="宋体" w:hAnsi="宋体" w:eastAsia="宋体" w:cs="宋体"/>
          <w:bCs/>
          <w:color w:val="auto"/>
          <w:kern w:val="2"/>
          <w:sz w:val="28"/>
          <w:szCs w:val="40"/>
          <w:highlight w:val="none"/>
          <w:lang w:val="en-US" w:eastAsia="zh-CN" w:bidi="ar-SA"/>
        </w:rPr>
        <w:fldChar w:fldCharType="separate"/>
      </w:r>
      <w:r>
        <w:rPr>
          <w:rFonts w:hint="eastAsia" w:ascii="Times New Roman" w:hAnsi="Times New Roman" w:eastAsia="宋体" w:cs="Times New Roman"/>
          <w:color w:val="auto"/>
          <w:kern w:val="2"/>
          <w:sz w:val="28"/>
          <w:szCs w:val="72"/>
          <w:highlight w:val="none"/>
          <w:lang w:val="en-US" w:eastAsia="zh-CN" w:bidi="ar-SA"/>
        </w:rPr>
        <w:t>第五章 采购合同（合同主要条款及格式）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_Toc4397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30</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pPr>
        <w:pStyle w:val="23"/>
        <w:tabs>
          <w:tab w:val="right" w:leader="dot" w:pos="10194"/>
        </w:tabs>
        <w:rPr>
          <w:rFonts w:ascii="Times New Roman" w:hAnsi="Times New Roman" w:eastAsia="宋体" w:cs="Times New Roman"/>
          <w:color w:val="auto"/>
          <w:kern w:val="2"/>
          <w:szCs w:val="24"/>
          <w:highlight w:val="none"/>
          <w:lang w:val="en-US" w:eastAsia="zh-CN" w:bidi="ar-SA"/>
        </w:rPr>
      </w:pPr>
      <w:r>
        <w:rPr>
          <w:rFonts w:hint="eastAsia" w:ascii="宋体" w:hAnsi="宋体" w:eastAsia="宋体" w:cs="宋体"/>
          <w:bCs/>
          <w:color w:val="auto"/>
          <w:kern w:val="2"/>
          <w:sz w:val="28"/>
          <w:szCs w:val="40"/>
          <w:highlight w:val="none"/>
          <w:lang w:val="en-US" w:eastAsia="zh-CN" w:bidi="ar-SA"/>
        </w:rPr>
        <w:fldChar w:fldCharType="begin"/>
      </w:r>
      <w:r>
        <w:rPr>
          <w:rFonts w:hint="eastAsia" w:ascii="宋体" w:hAnsi="宋体" w:eastAsia="宋体" w:cs="宋体"/>
          <w:bCs/>
          <w:color w:val="auto"/>
          <w:kern w:val="2"/>
          <w:sz w:val="28"/>
          <w:szCs w:val="40"/>
          <w:highlight w:val="none"/>
          <w:lang w:val="en-US" w:eastAsia="zh-CN" w:bidi="ar-SA"/>
        </w:rPr>
        <w:instrText xml:space="preserve"> HYPERLINK \l _Toc5304 </w:instrText>
      </w:r>
      <w:r>
        <w:rPr>
          <w:rFonts w:hint="eastAsia" w:ascii="宋体" w:hAnsi="宋体" w:eastAsia="宋体" w:cs="宋体"/>
          <w:bCs/>
          <w:color w:val="auto"/>
          <w:kern w:val="2"/>
          <w:sz w:val="28"/>
          <w:szCs w:val="40"/>
          <w:highlight w:val="none"/>
          <w:lang w:val="en-US" w:eastAsia="zh-CN" w:bidi="ar-SA"/>
        </w:rPr>
        <w:fldChar w:fldCharType="separate"/>
      </w:r>
      <w:r>
        <w:rPr>
          <w:rFonts w:hint="default" w:ascii="Times New Roman" w:hAnsi="Times New Roman" w:eastAsia="宋体" w:cs="Times New Roman"/>
          <w:color w:val="auto"/>
          <w:kern w:val="2"/>
          <w:sz w:val="28"/>
          <w:szCs w:val="72"/>
          <w:highlight w:val="none"/>
          <w:lang w:val="en-US" w:eastAsia="zh-CN" w:bidi="ar-SA"/>
        </w:rPr>
        <w:t>第六章  响应文件（格式）</w:t>
      </w:r>
      <w:r>
        <w:rPr>
          <w:rFonts w:ascii="Times New Roman" w:hAnsi="Times New Roman" w:eastAsia="宋体" w:cs="Times New Roman"/>
          <w:color w:val="auto"/>
          <w:kern w:val="2"/>
          <w:sz w:val="28"/>
          <w:szCs w:val="36"/>
          <w:highlight w:val="none"/>
          <w:lang w:val="en-US" w:eastAsia="zh-CN" w:bidi="ar-SA"/>
        </w:rPr>
        <w:tab/>
      </w:r>
      <w:r>
        <w:rPr>
          <w:rFonts w:ascii="Times New Roman" w:hAnsi="Times New Roman" w:eastAsia="宋体" w:cs="Times New Roman"/>
          <w:color w:val="auto"/>
          <w:kern w:val="2"/>
          <w:sz w:val="28"/>
          <w:szCs w:val="36"/>
          <w:highlight w:val="none"/>
          <w:lang w:val="en-US" w:eastAsia="zh-CN" w:bidi="ar-SA"/>
        </w:rPr>
        <w:fldChar w:fldCharType="begin"/>
      </w:r>
      <w:r>
        <w:rPr>
          <w:rFonts w:ascii="Times New Roman" w:hAnsi="Times New Roman" w:eastAsia="宋体" w:cs="Times New Roman"/>
          <w:color w:val="auto"/>
          <w:kern w:val="2"/>
          <w:sz w:val="28"/>
          <w:szCs w:val="36"/>
          <w:highlight w:val="none"/>
          <w:lang w:val="en-US" w:eastAsia="zh-CN" w:bidi="ar-SA"/>
        </w:rPr>
        <w:instrText xml:space="preserve"> PAGEREF _Toc5304 </w:instrText>
      </w:r>
      <w:r>
        <w:rPr>
          <w:rFonts w:ascii="Times New Roman" w:hAnsi="Times New Roman" w:eastAsia="宋体" w:cs="Times New Roman"/>
          <w:color w:val="auto"/>
          <w:kern w:val="2"/>
          <w:sz w:val="28"/>
          <w:szCs w:val="36"/>
          <w:highlight w:val="none"/>
          <w:lang w:val="en-US" w:eastAsia="zh-CN" w:bidi="ar-SA"/>
        </w:rPr>
        <w:fldChar w:fldCharType="separate"/>
      </w:r>
      <w:r>
        <w:rPr>
          <w:rFonts w:ascii="Times New Roman" w:hAnsi="Times New Roman" w:eastAsia="宋体" w:cs="Times New Roman"/>
          <w:color w:val="auto"/>
          <w:kern w:val="2"/>
          <w:sz w:val="28"/>
          <w:szCs w:val="36"/>
          <w:highlight w:val="none"/>
          <w:lang w:val="en-US" w:eastAsia="zh-CN" w:bidi="ar-SA"/>
        </w:rPr>
        <w:t>34</w:t>
      </w:r>
      <w:r>
        <w:rPr>
          <w:rFonts w:ascii="Times New Roman" w:hAnsi="Times New Roman" w:eastAsia="宋体" w:cs="Times New Roman"/>
          <w:color w:val="auto"/>
          <w:kern w:val="2"/>
          <w:sz w:val="28"/>
          <w:szCs w:val="36"/>
          <w:highlight w:val="none"/>
          <w:lang w:val="en-US" w:eastAsia="zh-CN" w:bidi="ar-SA"/>
        </w:rPr>
        <w:fldChar w:fldCharType="end"/>
      </w:r>
      <w:r>
        <w:rPr>
          <w:rFonts w:hint="eastAsia" w:ascii="宋体" w:hAnsi="宋体" w:eastAsia="宋体" w:cs="宋体"/>
          <w:bCs/>
          <w:color w:val="auto"/>
          <w:kern w:val="2"/>
          <w:sz w:val="28"/>
          <w:szCs w:val="40"/>
          <w:highlight w:val="none"/>
          <w:lang w:val="en-US" w:eastAsia="zh-CN" w:bidi="ar-SA"/>
        </w:rPr>
        <w:fldChar w:fldCharType="end"/>
      </w:r>
    </w:p>
    <w:p>
      <w:pPr>
        <w:jc w:val="center"/>
        <w:rPr>
          <w:rFonts w:ascii="宋体" w:hAnsi="宋体" w:cs="宋体"/>
          <w:b/>
          <w:bCs/>
          <w:color w:val="auto"/>
          <w:sz w:val="32"/>
          <w:szCs w:val="32"/>
          <w:highlight w:val="none"/>
        </w:rPr>
      </w:pPr>
      <w:r>
        <w:rPr>
          <w:rFonts w:hint="eastAsia" w:ascii="宋体" w:hAnsi="宋体" w:eastAsia="宋体" w:cs="宋体"/>
          <w:bCs/>
          <w:color w:val="auto"/>
          <w:kern w:val="2"/>
          <w:szCs w:val="30"/>
          <w:highlight w:val="none"/>
          <w:lang w:val="en-US" w:eastAsia="zh-CN" w:bidi="ar-SA"/>
        </w:rPr>
        <w:fldChar w:fldCharType="end"/>
      </w:r>
    </w:p>
    <w:p>
      <w:pPr>
        <w:rPr>
          <w:rFonts w:ascii="宋体" w:hAnsi="宋体" w:cs="宋体"/>
          <w:b/>
          <w:bCs/>
          <w:color w:val="auto"/>
          <w:sz w:val="32"/>
          <w:szCs w:val="32"/>
          <w:highlight w:val="none"/>
        </w:rPr>
        <w:sectPr>
          <w:footerReference r:id="rId4" w:type="default"/>
          <w:pgSz w:w="11906" w:h="16838"/>
          <w:pgMar w:top="1440" w:right="935" w:bottom="1440" w:left="777" w:header="851" w:footer="992" w:gutter="0"/>
          <w:pgNumType w:fmt="decimal" w:start="1" w:chapStyle="1" w:chapSep="hyphen"/>
          <w:cols w:space="720" w:num="1"/>
          <w:docGrid w:type="linesAndChars" w:linePitch="312" w:charSpace="0"/>
        </w:sectPr>
      </w:pPr>
    </w:p>
    <w:p>
      <w:pPr>
        <w:pStyle w:val="3"/>
        <w:numPr>
          <w:ilvl w:val="-1"/>
          <w:numId w:val="0"/>
        </w:numPr>
        <w:spacing w:line="480" w:lineRule="auto"/>
        <w:ind w:firstLine="0"/>
        <w:rPr>
          <w:color w:val="auto"/>
          <w:highlight w:val="none"/>
        </w:rPr>
      </w:pPr>
      <w:bookmarkStart w:id="2" w:name="_Toc28359011"/>
      <w:bookmarkStart w:id="3" w:name="_Toc31855"/>
      <w:bookmarkStart w:id="4" w:name="_Toc25809"/>
      <w:bookmarkStart w:id="5" w:name="_Toc29067"/>
      <w:bookmarkStart w:id="6" w:name="_Toc20378"/>
      <w:bookmarkStart w:id="7" w:name="_Toc26809"/>
      <w:bookmarkStart w:id="8" w:name="_Toc30170"/>
      <w:bookmarkStart w:id="9" w:name="_Toc23881"/>
      <w:bookmarkStart w:id="10" w:name="_Toc35393797"/>
      <w:bookmarkStart w:id="11" w:name="_Toc17502"/>
      <w:r>
        <w:rPr>
          <w:rFonts w:hint="eastAsia"/>
          <w:color w:val="auto"/>
          <w:highlight w:val="none"/>
          <w:lang w:eastAsia="zh-CN"/>
        </w:rPr>
        <w:t>第一章</w:t>
      </w:r>
      <w:r>
        <w:rPr>
          <w:rFonts w:hint="eastAsia"/>
          <w:color w:val="auto"/>
          <w:highlight w:val="none"/>
          <w:lang w:val="en-US" w:eastAsia="zh-CN"/>
        </w:rPr>
        <w:t xml:space="preserve"> </w:t>
      </w:r>
      <w:r>
        <w:rPr>
          <w:rFonts w:hint="eastAsia"/>
          <w:color w:val="auto"/>
          <w:highlight w:val="none"/>
        </w:rPr>
        <w:t>竞争性磋商公告</w:t>
      </w:r>
      <w:bookmarkEnd w:id="2"/>
      <w:bookmarkEnd w:id="3"/>
      <w:bookmarkEnd w:id="4"/>
      <w:bookmarkEnd w:id="5"/>
      <w:bookmarkEnd w:id="6"/>
      <w:bookmarkEnd w:id="7"/>
      <w:bookmarkEnd w:id="8"/>
      <w:bookmarkEnd w:id="9"/>
      <w:bookmarkEnd w:id="10"/>
      <w:bookmarkEnd w:id="11"/>
    </w:p>
    <w:tbl>
      <w:tblPr>
        <w:tblStyle w:val="44"/>
        <w:tblpPr w:leftFromText="180" w:rightFromText="180" w:vertAnchor="text" w:tblpX="38" w:tblpY="134"/>
        <w:tblOverlap w:val="never"/>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trPr>
        <w:tc>
          <w:tcPr>
            <w:tcW w:w="9702" w:type="dxa"/>
          </w:tcPr>
          <w:p>
            <w:pPr>
              <w:keepNext w:val="0"/>
              <w:keepLines w:val="0"/>
              <w:suppressLineNumbers w:val="0"/>
              <w:spacing w:before="0" w:beforeAutospacing="0" w:after="0" w:afterAutospacing="0" w:line="3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pPr>
              <w:keepNext w:val="0"/>
              <w:keepLines w:val="0"/>
              <w:suppressLineNumbers w:val="0"/>
              <w:spacing w:before="0" w:beforeAutospacing="0" w:after="0" w:afterAutospacing="0" w:line="36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桂林市第二技工学校安保服务项目</w:t>
            </w:r>
            <w:r>
              <w:rPr>
                <w:rFonts w:hint="eastAsia" w:ascii="宋体" w:hAnsi="宋体" w:cs="宋体"/>
                <w:color w:val="auto"/>
                <w:szCs w:val="21"/>
                <w:highlight w:val="none"/>
              </w:rPr>
              <w:t>的潜在供应商应在广西政府采购云平台（https://www.gcy.zfcg.gxzf.gov.cn/）获取磋商文件，并于</w:t>
            </w:r>
            <w:r>
              <w:rPr>
                <w:rFonts w:hint="eastAsia" w:ascii="宋体" w:hAnsi="宋体" w:cs="宋体"/>
                <w:color w:val="auto"/>
                <w:szCs w:val="21"/>
                <w:highlight w:val="none"/>
                <w:u w:val="single"/>
                <w:lang w:eastAsia="zh-CN"/>
              </w:rPr>
              <w:t>2026年1月20日</w:t>
            </w:r>
            <w:r>
              <w:rPr>
                <w:rFonts w:hint="eastAsia" w:ascii="宋体" w:hAnsi="宋体" w:cs="宋体"/>
                <w:bCs/>
                <w:color w:val="auto"/>
                <w:szCs w:val="21"/>
                <w:highlight w:val="none"/>
                <w:u w:val="single"/>
              </w:rPr>
              <w:t>9时30分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tc>
      </w:tr>
    </w:tbl>
    <w:p>
      <w:pPr>
        <w:spacing w:line="360" w:lineRule="exact"/>
        <w:rPr>
          <w:rFonts w:ascii="宋体" w:hAnsi="宋体" w:cs="宋体"/>
          <w:color w:val="auto"/>
          <w:szCs w:val="21"/>
          <w:highlight w:val="none"/>
        </w:rPr>
      </w:pPr>
      <w:bookmarkStart w:id="12" w:name="_Toc35393629"/>
      <w:bookmarkStart w:id="13" w:name="_Toc28359089"/>
      <w:bookmarkStart w:id="14" w:name="_Toc35393798"/>
      <w:bookmarkStart w:id="15" w:name="_Toc28359012"/>
      <w:r>
        <w:rPr>
          <w:rFonts w:hint="eastAsia" w:ascii="宋体" w:hAnsi="宋体" w:cs="宋体"/>
          <w:color w:val="auto"/>
          <w:szCs w:val="21"/>
          <w:highlight w:val="none"/>
        </w:rPr>
        <w:t>一、项目基本情况</w:t>
      </w:r>
      <w:bookmarkEnd w:id="12"/>
      <w:bookmarkEnd w:id="13"/>
      <w:bookmarkEnd w:id="14"/>
      <w:bookmarkEnd w:id="15"/>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GLZC2025-C3-990695-GXTG</w:t>
      </w:r>
    </w:p>
    <w:p>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桂林市第二技工学校安保服务项目</w:t>
      </w:r>
      <w:r>
        <w:rPr>
          <w:rFonts w:hint="eastAsia" w:ascii="宋体" w:hAnsi="宋体" w:cs="宋体"/>
          <w:color w:val="auto"/>
          <w:szCs w:val="21"/>
          <w:highlight w:val="none"/>
        </w:rPr>
        <w:t xml:space="preserve">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val="0"/>
          <w:color w:val="auto"/>
          <w:szCs w:val="21"/>
          <w:highlight w:val="none"/>
        </w:rPr>
      </w:pPr>
      <w:r>
        <w:rPr>
          <w:rFonts w:hint="eastAsia" w:ascii="宋体" w:hAnsi="宋体" w:cs="宋体"/>
          <w:b w:val="0"/>
          <w:bCs w:val="0"/>
          <w:color w:val="auto"/>
          <w:szCs w:val="21"/>
          <w:highlight w:val="none"/>
        </w:rPr>
        <w:t>预算金额：</w:t>
      </w:r>
      <w:r>
        <w:rPr>
          <w:rFonts w:hint="eastAsia" w:ascii="宋体" w:hAnsi="宋体" w:cs="宋体"/>
          <w:b/>
          <w:bCs w:val="0"/>
          <w:color w:val="auto"/>
          <w:szCs w:val="21"/>
          <w:highlight w:val="none"/>
          <w:lang w:eastAsia="zh-CN"/>
        </w:rPr>
        <w:t>547200.00元</w:t>
      </w:r>
    </w:p>
    <w:p>
      <w:pPr>
        <w:spacing w:line="360" w:lineRule="exact"/>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采购需求</w:t>
      </w:r>
      <w:r>
        <w:rPr>
          <w:rFonts w:hint="eastAsia" w:ascii="宋体" w:hAnsi="宋体" w:cs="宋体"/>
          <w:color w:val="auto"/>
          <w:szCs w:val="21"/>
          <w:highlight w:val="none"/>
        </w:rPr>
        <w:t>：</w:t>
      </w:r>
    </w:p>
    <w:tbl>
      <w:tblPr>
        <w:tblStyle w:val="43"/>
        <w:tblW w:w="9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420"/>
        <w:gridCol w:w="900"/>
        <w:gridCol w:w="960"/>
        <w:gridCol w:w="3022"/>
        <w:tblGridChange w:id="0">
          <w:tblGrid>
            <w:gridCol w:w="713"/>
            <w:gridCol w:w="3420"/>
            <w:gridCol w:w="900"/>
            <w:gridCol w:w="960"/>
            <w:gridCol w:w="302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序</w:t>
            </w:r>
            <w:r>
              <w:rPr>
                <w:rFonts w:hint="eastAsia" w:ascii="宋体" w:hAnsi="宋体" w:cs="宋体"/>
                <w:color w:val="auto"/>
                <w:szCs w:val="21"/>
                <w:highlight w:val="none"/>
              </w:rPr>
              <w:t>号</w:t>
            </w:r>
          </w:p>
        </w:tc>
        <w:tc>
          <w:tcPr>
            <w:tcW w:w="342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9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30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exact"/>
          <w:jc w:val="center"/>
        </w:trPr>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p>
        </w:tc>
        <w:tc>
          <w:tcPr>
            <w:tcW w:w="342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lang w:eastAsia="zh-CN"/>
              </w:rPr>
              <w:t>桂林市第二技工学校安保服务项目</w:t>
            </w:r>
          </w:p>
        </w:tc>
        <w:tc>
          <w:tcPr>
            <w:tcW w:w="9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30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用于</w:t>
            </w:r>
            <w:r>
              <w:rPr>
                <w:rFonts w:hint="eastAsia" w:ascii="宋体" w:hAnsi="宋体" w:cs="宋体"/>
                <w:color w:val="auto"/>
                <w:szCs w:val="21"/>
                <w:highlight w:val="none"/>
                <w:lang w:eastAsia="zh-CN"/>
              </w:rPr>
              <w:t>桂林市第二技工学校</w:t>
            </w:r>
            <w:r>
              <w:rPr>
                <w:rFonts w:hint="eastAsia" w:ascii="宋体" w:hAnsi="宋体" w:cs="宋体"/>
                <w:color w:val="auto"/>
                <w:szCs w:val="21"/>
                <w:highlight w:val="none"/>
                <w:lang w:val="en-US" w:eastAsia="zh-CN"/>
              </w:rPr>
              <w:t>，</w:t>
            </w:r>
            <w:r>
              <w:rPr>
                <w:rFonts w:hint="eastAsia"/>
                <w:color w:val="auto"/>
                <w:highlight w:val="none"/>
                <w:lang w:val="en-US" w:eastAsia="zh-CN"/>
              </w:rPr>
              <w:t>详见磋商文件。</w:t>
            </w:r>
          </w:p>
        </w:tc>
      </w:tr>
    </w:tbl>
    <w:p>
      <w:pPr>
        <w:widowControl/>
        <w:snapToGrid w:val="0"/>
        <w:spacing w:line="400" w:lineRule="exact"/>
        <w:ind w:firstLine="420" w:firstLineChars="0"/>
        <w:jc w:val="left"/>
        <w:rPr>
          <w:rFonts w:hint="default" w:eastAsia="宋体"/>
          <w:color w:val="auto"/>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本项目不接受联合体参与磋商。</w:t>
      </w:r>
    </w:p>
    <w:p>
      <w:pPr>
        <w:spacing w:line="360" w:lineRule="exact"/>
        <w:rPr>
          <w:rFonts w:ascii="宋体" w:hAnsi="宋体" w:cs="宋体"/>
          <w:color w:val="auto"/>
          <w:szCs w:val="21"/>
          <w:highlight w:val="none"/>
        </w:rPr>
      </w:pPr>
      <w:bookmarkStart w:id="16" w:name="_Toc35393630"/>
      <w:bookmarkStart w:id="17" w:name="_Toc35393799"/>
      <w:bookmarkStart w:id="18" w:name="_Toc28359013"/>
      <w:bookmarkStart w:id="19" w:name="_Toc28359090"/>
      <w:r>
        <w:rPr>
          <w:rFonts w:hint="eastAsia" w:ascii="宋体" w:hAnsi="宋体" w:cs="宋体"/>
          <w:color w:val="auto"/>
          <w:szCs w:val="21"/>
          <w:highlight w:val="none"/>
        </w:rPr>
        <w:t>二、申请人的资格要求：</w:t>
      </w:r>
      <w:bookmarkEnd w:id="16"/>
      <w:bookmarkEnd w:id="17"/>
      <w:bookmarkEnd w:id="18"/>
      <w:bookmarkEnd w:id="19"/>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0" w:firstLineChars="200"/>
        <w:outlineLvl w:val="9"/>
        <w:rPr>
          <w:rFonts w:ascii="宋体" w:hAnsi="宋体" w:cs="宋体"/>
          <w:b/>
          <w:bCs/>
          <w:color w:val="auto"/>
          <w:szCs w:val="21"/>
          <w:highlight w:val="none"/>
        </w:rPr>
      </w:pPr>
      <w:bookmarkStart w:id="20" w:name="_Toc28359091"/>
      <w:bookmarkStart w:id="21" w:name="_Toc28359014"/>
      <w:r>
        <w:rPr>
          <w:rFonts w:hint="eastAsia" w:ascii="宋体" w:hAnsi="宋体" w:cs="宋体"/>
          <w:color w:val="auto"/>
          <w:szCs w:val="21"/>
          <w:highlight w:val="none"/>
        </w:rPr>
        <w:t>3.落实政府采购政策需满足的资格要求：</w:t>
      </w:r>
      <w:r>
        <w:rPr>
          <w:rFonts w:hint="eastAsia" w:ascii="宋体" w:hAnsi="宋体" w:eastAsia="宋体" w:cs="宋体"/>
          <w:color w:val="auto"/>
          <w:szCs w:val="21"/>
          <w:highlight w:val="none"/>
        </w:rPr>
        <w:t>本项目属于</w:t>
      </w:r>
      <w:r>
        <w:rPr>
          <w:rFonts w:hint="eastAsia" w:ascii="宋体" w:hAnsi="宋体" w:eastAsia="宋体" w:cs="宋体"/>
          <w:color w:val="auto"/>
          <w:szCs w:val="21"/>
          <w:highlight w:val="none"/>
          <w:lang w:eastAsia="zh-CN"/>
        </w:rPr>
        <w:t>专门面向</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小微企业</w:t>
      </w:r>
      <w:r>
        <w:rPr>
          <w:rFonts w:hint="eastAsia" w:ascii="宋体" w:hAnsi="宋体" w:eastAsia="宋体" w:cs="宋体"/>
          <w:color w:val="auto"/>
          <w:szCs w:val="21"/>
          <w:highlight w:val="none"/>
        </w:rPr>
        <w:t>采购的项目，</w:t>
      </w:r>
      <w:r>
        <w:rPr>
          <w:rFonts w:hint="eastAsia" w:ascii="宋体" w:hAnsi="宋体" w:eastAsia="宋体" w:cs="宋体"/>
          <w:color w:val="auto"/>
          <w:szCs w:val="21"/>
          <w:highlight w:val="none"/>
          <w:lang w:eastAsia="zh-CN"/>
        </w:rPr>
        <w:t>根据财库【2020】46号《政府采购促进中小企业发展管理办法》要求，</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lang w:eastAsia="zh-CN"/>
        </w:rPr>
        <w:t>应为</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小微企业</w:t>
      </w:r>
      <w:r>
        <w:rPr>
          <w:rFonts w:hint="eastAsia" w:ascii="宋体" w:hAnsi="宋体" w:eastAsia="宋体" w:cs="宋体"/>
          <w:color w:val="auto"/>
          <w:szCs w:val="21"/>
          <w:highlight w:val="none"/>
        </w:rPr>
        <w:t>或监狱企业或残疾人福利性单位</w:t>
      </w:r>
      <w:r>
        <w:rPr>
          <w:rFonts w:hint="eastAsia" w:ascii="宋体" w:hAnsi="宋体" w:eastAsia="宋体" w:cs="宋体"/>
          <w:color w:val="auto"/>
          <w:szCs w:val="21"/>
          <w:highlight w:val="none"/>
          <w:lang w:eastAsia="zh-CN"/>
        </w:rPr>
        <w:t>。</w:t>
      </w:r>
    </w:p>
    <w:p>
      <w:pPr>
        <w:spacing w:line="36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4.本项目的特定资格要求：</w:t>
      </w:r>
      <w:bookmarkStart w:id="22" w:name="_Toc35393631"/>
      <w:bookmarkStart w:id="23" w:name="_Toc35393800"/>
      <w:r>
        <w:rPr>
          <w:rFonts w:hint="eastAsia" w:ascii="宋体" w:hAnsi="宋体" w:cs="宋体"/>
          <w:color w:val="auto"/>
          <w:szCs w:val="21"/>
          <w:highlight w:val="none"/>
          <w:lang w:eastAsia="zh-CN"/>
        </w:rPr>
        <w:t>供应商须提供有效的保安服务许可证和劳务派遣经营许可证</w:t>
      </w:r>
      <w:r>
        <w:rPr>
          <w:rFonts w:hint="eastAsia" w:ascii="宋体" w:hAnsi="宋体" w:cs="宋体"/>
          <w:color w:val="auto"/>
          <w:szCs w:val="21"/>
          <w:highlight w:val="none"/>
        </w:rPr>
        <w:t>。</w:t>
      </w:r>
    </w:p>
    <w:bookmarkEnd w:id="20"/>
    <w:bookmarkEnd w:id="21"/>
    <w:bookmarkEnd w:id="22"/>
    <w:bookmarkEnd w:id="23"/>
    <w:p>
      <w:pPr>
        <w:rPr>
          <w:rFonts w:ascii="宋体" w:hAnsi="宋体" w:cs="宋体"/>
          <w:color w:val="auto"/>
          <w:szCs w:val="21"/>
          <w:highlight w:val="none"/>
        </w:rPr>
      </w:pPr>
      <w:bookmarkStart w:id="24" w:name="_Toc35393623"/>
      <w:bookmarkStart w:id="25" w:name="_Toc35393792"/>
      <w:bookmarkStart w:id="26" w:name="_Toc28359018"/>
      <w:bookmarkStart w:id="27" w:name="_Toc28359095"/>
      <w:bookmarkStart w:id="28" w:name="_Toc35393636"/>
      <w:bookmarkStart w:id="29" w:name="_Toc35393805"/>
      <w:r>
        <w:rPr>
          <w:rFonts w:hint="eastAsia" w:ascii="宋体" w:hAnsi="宋体" w:cs="宋体"/>
          <w:color w:val="auto"/>
          <w:szCs w:val="21"/>
          <w:highlight w:val="none"/>
        </w:rPr>
        <w:t>三、获取采购文件</w:t>
      </w:r>
      <w:bookmarkEnd w:id="24"/>
      <w:bookmarkEnd w:id="25"/>
    </w:p>
    <w:p>
      <w:pPr>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    1.采购文件获取时间：</w:t>
      </w:r>
      <w:r>
        <w:rPr>
          <w:rFonts w:hint="eastAsia" w:ascii="宋体" w:hAnsi="宋体" w:cs="宋体"/>
          <w:color w:val="auto"/>
          <w:szCs w:val="21"/>
          <w:highlight w:val="none"/>
          <w:lang w:eastAsia="zh-CN"/>
        </w:rPr>
        <w:t>2026年1月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日</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2026年1月20日</w:t>
      </w:r>
      <w:r>
        <w:rPr>
          <w:rFonts w:hint="eastAsia" w:ascii="宋体" w:hAnsi="宋体" w:cs="宋体"/>
          <w:color w:val="auto"/>
          <w:szCs w:val="21"/>
          <w:highlight w:val="none"/>
        </w:rPr>
        <w:t>9时30分。</w:t>
      </w:r>
    </w:p>
    <w:p>
      <w:pPr>
        <w:rPr>
          <w:rFonts w:ascii="宋体" w:hAnsi="宋体" w:cs="宋体"/>
          <w:color w:val="auto"/>
          <w:szCs w:val="21"/>
          <w:highlight w:val="none"/>
        </w:rPr>
      </w:pPr>
      <w:bookmarkStart w:id="30" w:name="_Toc28359005"/>
      <w:bookmarkStart w:id="31" w:name="_Toc28359082"/>
      <w:bookmarkStart w:id="32" w:name="_Toc35393793"/>
      <w:bookmarkStart w:id="33" w:name="_Toc35393624"/>
      <w:r>
        <w:rPr>
          <w:rFonts w:hint="eastAsia" w:ascii="宋体" w:hAnsi="宋体" w:cs="宋体"/>
          <w:color w:val="auto"/>
          <w:szCs w:val="21"/>
          <w:highlight w:val="none"/>
        </w:rPr>
        <w:t xml:space="preserve">    2.地点（网址）：广西政府采购云平台（www.zcygov.cn） </w:t>
      </w:r>
    </w:p>
    <w:p>
      <w:pPr>
        <w:rPr>
          <w:rFonts w:ascii="宋体" w:hAnsi="宋体" w:cs="宋体"/>
          <w:color w:val="auto"/>
          <w:szCs w:val="21"/>
          <w:highlight w:val="none"/>
        </w:rPr>
      </w:pPr>
      <w:r>
        <w:rPr>
          <w:rFonts w:hint="eastAsia" w:ascii="宋体" w:hAnsi="宋体" w:cs="宋体"/>
          <w:color w:val="auto"/>
          <w:szCs w:val="21"/>
          <w:highlight w:val="none"/>
        </w:rPr>
        <w:t>   3.方式：潜在供应商登录广西政府采购云平台（www.zcygov.cn）免费获取竞争性磋商文件电子版。供应商应在广西政府采购云平台进行“申请获取采购文件”操作，否则，将导致无法在线编制响应文件并参与竞标，其不利后果由供应商自行承担。 </w:t>
      </w:r>
    </w:p>
    <w:p>
      <w:pPr>
        <w:rPr>
          <w:rFonts w:ascii="宋体" w:hAnsi="宋体" w:cs="宋体"/>
          <w:color w:val="auto"/>
          <w:szCs w:val="21"/>
          <w:highlight w:val="none"/>
        </w:rPr>
      </w:pPr>
      <w:r>
        <w:rPr>
          <w:rFonts w:hint="eastAsia" w:ascii="宋体" w:hAnsi="宋体" w:cs="宋体"/>
          <w:color w:val="auto"/>
          <w:szCs w:val="21"/>
          <w:highlight w:val="none"/>
        </w:rPr>
        <w:t>   4.售价（元）：0 </w:t>
      </w:r>
    </w:p>
    <w:p>
      <w:pPr>
        <w:rPr>
          <w:rFonts w:ascii="宋体" w:hAnsi="宋体" w:cs="宋体"/>
          <w:color w:val="auto"/>
          <w:szCs w:val="21"/>
          <w:highlight w:val="none"/>
        </w:rPr>
      </w:pPr>
      <w:r>
        <w:rPr>
          <w:rFonts w:hint="eastAsia" w:ascii="宋体" w:hAnsi="宋体" w:cs="宋体"/>
          <w:color w:val="auto"/>
          <w:szCs w:val="21"/>
          <w:highlight w:val="none"/>
        </w:rPr>
        <w:t>四、响应文件</w:t>
      </w:r>
      <w:bookmarkEnd w:id="30"/>
      <w:bookmarkEnd w:id="31"/>
      <w:r>
        <w:rPr>
          <w:rFonts w:hint="eastAsia" w:ascii="宋体" w:hAnsi="宋体" w:cs="宋体"/>
          <w:color w:val="auto"/>
          <w:szCs w:val="21"/>
          <w:highlight w:val="none"/>
        </w:rPr>
        <w:t>提交时间和地点</w:t>
      </w:r>
      <w:bookmarkEnd w:id="32"/>
      <w:bookmarkEnd w:id="33"/>
    </w:p>
    <w:p>
      <w:pPr>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szCs w:val="21"/>
          <w:highlight w:val="none"/>
          <w:lang w:eastAsia="zh-CN"/>
        </w:rPr>
        <w:t>2026年1月20日</w:t>
      </w:r>
      <w:r>
        <w:rPr>
          <w:rFonts w:hint="eastAsia" w:ascii="宋体" w:hAnsi="宋体" w:cs="宋体"/>
          <w:color w:val="auto"/>
          <w:szCs w:val="21"/>
          <w:highlight w:val="none"/>
        </w:rPr>
        <w:t>09时30分(</w:t>
      </w:r>
      <w:r>
        <w:rPr>
          <w:rFonts w:hint="eastAsia" w:ascii="宋体" w:hAnsi="宋体" w:cs="宋体"/>
          <w:bCs/>
          <w:color w:val="auto"/>
          <w:szCs w:val="21"/>
          <w:highlight w:val="none"/>
        </w:rPr>
        <w:t>北京时间）。</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点：通过广西政府采购云平台实行在线响应。</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五、开启</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    时间：</w:t>
      </w:r>
      <w:r>
        <w:rPr>
          <w:rFonts w:hint="eastAsia" w:ascii="宋体" w:hAnsi="宋体" w:cs="宋体"/>
          <w:color w:val="auto"/>
          <w:szCs w:val="21"/>
          <w:highlight w:val="none"/>
          <w:lang w:eastAsia="zh-CN"/>
        </w:rPr>
        <w:t>2026年1月20日</w:t>
      </w:r>
      <w:r>
        <w:rPr>
          <w:rFonts w:hint="eastAsia" w:ascii="宋体" w:hAnsi="宋体" w:cs="宋体"/>
          <w:color w:val="auto"/>
          <w:szCs w:val="21"/>
          <w:highlight w:val="none"/>
        </w:rPr>
        <w:t>09时30分(北京时间）截标后。</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 xml:space="preserve">    地点：通过广西政府采购云平台实行在线解密开启。</w:t>
      </w:r>
    </w:p>
    <w:p>
      <w:pPr>
        <w:rPr>
          <w:rFonts w:ascii="宋体" w:hAnsi="宋体" w:cs="宋体"/>
          <w:color w:val="auto"/>
          <w:szCs w:val="21"/>
          <w:highlight w:val="none"/>
        </w:rPr>
      </w:pPr>
      <w:bookmarkStart w:id="34" w:name="_Toc28359084"/>
      <w:bookmarkStart w:id="35" w:name="_Toc35393794"/>
      <w:bookmarkStart w:id="36" w:name="_Toc35393625"/>
      <w:bookmarkStart w:id="37" w:name="_Toc28359007"/>
      <w:r>
        <w:rPr>
          <w:rFonts w:hint="eastAsia" w:ascii="宋体" w:hAnsi="宋体" w:cs="宋体"/>
          <w:color w:val="auto"/>
          <w:szCs w:val="21"/>
          <w:highlight w:val="none"/>
        </w:rPr>
        <w:t>六、公告期限</w:t>
      </w:r>
      <w:bookmarkEnd w:id="34"/>
      <w:bookmarkEnd w:id="35"/>
      <w:bookmarkEnd w:id="36"/>
      <w:bookmarkEnd w:id="37"/>
    </w:p>
    <w:p>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pPr>
        <w:rPr>
          <w:rFonts w:ascii="宋体" w:hAnsi="宋体" w:cs="宋体"/>
          <w:color w:val="auto"/>
          <w:szCs w:val="21"/>
          <w:highlight w:val="none"/>
        </w:rPr>
      </w:pPr>
      <w:bookmarkStart w:id="38" w:name="_Toc35393626"/>
      <w:bookmarkStart w:id="39" w:name="_Toc35393795"/>
      <w:r>
        <w:rPr>
          <w:rFonts w:hint="eastAsia" w:ascii="宋体" w:hAnsi="宋体" w:cs="宋体"/>
          <w:color w:val="auto"/>
          <w:szCs w:val="21"/>
          <w:highlight w:val="none"/>
        </w:rPr>
        <w:t>七、其他补充事宜</w:t>
      </w:r>
      <w:bookmarkEnd w:id="38"/>
      <w:bookmarkEnd w:id="39"/>
    </w:p>
    <w:p>
      <w:pPr>
        <w:spacing w:line="38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1.本项目无需缴纳磋商保证金。</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2.本项目信息发布媒体：</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中国政府采购网（http://www.ccgp.gov.cn）</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广西壮族自治区政府采购网（http://www.ccgp-guangxi.gov.cn/）</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桂林市政府采购网（zfcg.czj.guilin.gov.cn）</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全国公共资源交易平台(广西•桂林)（http://ggzy.jgswj.gxzf.gov.cn/glggzy/）</w:t>
      </w:r>
    </w:p>
    <w:p>
      <w:pPr>
        <w:pStyle w:val="46"/>
        <w:numPr>
          <w:ilvl w:val="0"/>
          <w:numId w:val="1"/>
        </w:numPr>
        <w:ind w:firstLine="480"/>
        <w:rPr>
          <w:rFonts w:ascii="宋体" w:hAnsi="宋体" w:cs="宋体"/>
          <w:color w:val="auto"/>
          <w:sz w:val="21"/>
          <w:szCs w:val="21"/>
          <w:highlight w:val="none"/>
        </w:rPr>
      </w:pPr>
      <w:r>
        <w:rPr>
          <w:rFonts w:hint="eastAsia" w:ascii="宋体" w:hAnsi="宋体" w:cs="宋体"/>
          <w:color w:val="auto"/>
          <w:sz w:val="21"/>
          <w:szCs w:val="21"/>
          <w:highlight w:val="none"/>
        </w:rPr>
        <w:t>磋商响应文件解密时间：截标时间后</w:t>
      </w:r>
      <w:r>
        <w:rPr>
          <w:rFonts w:hint="eastAsia" w:ascii="宋体" w:hAnsi="宋体" w:cs="宋体"/>
          <w:color w:val="auto"/>
          <w:sz w:val="21"/>
          <w:szCs w:val="21"/>
          <w:highlight w:val="none"/>
          <w:u w:val="single"/>
        </w:rPr>
        <w:t>30</w:t>
      </w:r>
      <w:r>
        <w:rPr>
          <w:rFonts w:hint="eastAsia" w:ascii="宋体" w:hAnsi="宋体" w:cs="宋体"/>
          <w:color w:val="auto"/>
          <w:sz w:val="21"/>
          <w:szCs w:val="21"/>
          <w:highlight w:val="none"/>
        </w:rPr>
        <w:t>分钟内（</w:t>
      </w:r>
      <w:r>
        <w:rPr>
          <w:rFonts w:hint="eastAsia" w:ascii="宋体" w:hAnsi="宋体" w:cs="宋体"/>
          <w:color w:val="auto"/>
          <w:sz w:val="21"/>
          <w:szCs w:val="21"/>
          <w:highlight w:val="none"/>
          <w:u w:val="single"/>
          <w:lang w:eastAsia="zh-CN"/>
        </w:rPr>
        <w:t>2026年1月20日</w:t>
      </w:r>
      <w:r>
        <w:rPr>
          <w:rFonts w:hint="eastAsia" w:ascii="宋体" w:hAnsi="宋体" w:cs="宋体"/>
          <w:color w:val="auto"/>
          <w:sz w:val="21"/>
          <w:szCs w:val="21"/>
          <w:highlight w:val="none"/>
          <w:u w:val="single"/>
        </w:rPr>
        <w:t>上午9时30分至10时00分</w:t>
      </w:r>
      <w:r>
        <w:rPr>
          <w:rFonts w:hint="eastAsia" w:ascii="宋体" w:hAnsi="宋体" w:cs="宋体"/>
          <w:color w:val="auto"/>
          <w:sz w:val="21"/>
          <w:szCs w:val="21"/>
          <w:highlight w:val="none"/>
        </w:rPr>
        <w:t>)磋商供应商可以登录广西政府采购云平台，用“项目采购-开标评标”功能进行解密电子磋商响应文件。</w:t>
      </w:r>
    </w:p>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4.本项目需要落实的政府采购政策：</w:t>
      </w:r>
    </w:p>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4.1《政府采购促进中小企业发展管理办法》（财库[2020]46号）。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4.2《关于政府采购支持监狱企业发展有关问题的通知》（财库[2014]68号）。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4.3《关于促进残疾人就业政府采购政策的通知》（财库[2017]141号）。</w:t>
      </w:r>
    </w:p>
    <w:p>
      <w:pPr>
        <w:pStyle w:val="21"/>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b/>
          <w:bCs/>
          <w:color w:val="auto"/>
          <w:kern w:val="0"/>
          <w:sz w:val="21"/>
          <w:szCs w:val="21"/>
          <w:highlight w:val="none"/>
        </w:rPr>
        <w:t>5.本项目所属行业为“</w:t>
      </w:r>
      <w:r>
        <w:rPr>
          <w:rFonts w:hint="eastAsia" w:ascii="宋体" w:hAnsi="宋体" w:cs="宋体"/>
          <w:b/>
          <w:bCs/>
          <w:color w:val="auto"/>
          <w:kern w:val="0"/>
          <w:sz w:val="21"/>
          <w:szCs w:val="21"/>
          <w:highlight w:val="none"/>
          <w:lang w:eastAsia="zh-CN"/>
        </w:rPr>
        <w:t>其他未列明行业</w:t>
      </w:r>
      <w:r>
        <w:rPr>
          <w:rFonts w:hint="eastAsia" w:ascii="宋体" w:hAnsi="宋体" w:cs="宋体"/>
          <w:b/>
          <w:bCs/>
          <w:color w:val="auto"/>
          <w:kern w:val="0"/>
          <w:sz w:val="21"/>
          <w:szCs w:val="21"/>
          <w:highlight w:val="none"/>
        </w:rPr>
        <w:t>”。</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6.资格条件特别说明：</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20"/>
        <w:rPr>
          <w:rFonts w:ascii="宋体" w:hAnsi="宋体" w:cs="宋体"/>
          <w:color w:val="auto"/>
          <w:highlight w:val="none"/>
        </w:rPr>
      </w:pPr>
      <w:r>
        <w:rPr>
          <w:rFonts w:hint="eastAsia" w:ascii="宋体" w:hAnsi="宋体" w:cs="宋体"/>
          <w:color w:val="auto"/>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7.广西政府采购云平台电子竞标相关事宜：</w:t>
      </w:r>
    </w:p>
    <w:p>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（2）电子竞标具体操作流程参考《政府采购项目电子交易管理操作指南-供应商》（详见桂林市政府采购网—采购资讯—重要通知）；如遇平台技术问题详询95763。</w:t>
      </w:r>
    </w:p>
    <w:p>
      <w:pPr>
        <w:adjustRightInd w:val="0"/>
        <w:snapToGrid w:val="0"/>
        <w:spacing w:line="400" w:lineRule="exact"/>
        <w:ind w:firstLine="420"/>
        <w:rPr>
          <w:color w:val="auto"/>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电子响应文件的制作、加密、</w:t>
      </w:r>
      <w:r>
        <w:rPr>
          <w:rFonts w:hint="eastAsia" w:ascii="宋体" w:hAnsi="宋体" w:cs="宋体"/>
          <w:color w:val="auto"/>
          <w:szCs w:val="21"/>
          <w:highlight w:val="none"/>
        </w:rPr>
        <w:t>提交、解密等相关事宜详见第二章 “供应商须知”。</w:t>
      </w:r>
    </w:p>
    <w:p>
      <w:pPr>
        <w:spacing w:line="500" w:lineRule="exact"/>
        <w:rPr>
          <w:rFonts w:ascii="宋体" w:hAnsi="宋体" w:cs="宋体"/>
          <w:b/>
          <w:color w:val="auto"/>
          <w:szCs w:val="21"/>
          <w:highlight w:val="none"/>
        </w:rPr>
      </w:pPr>
      <w:r>
        <w:rPr>
          <w:rFonts w:hint="eastAsia" w:ascii="宋体" w:hAnsi="宋体" w:cs="宋体"/>
          <w:b/>
          <w:color w:val="auto"/>
          <w:szCs w:val="21"/>
          <w:highlight w:val="none"/>
        </w:rPr>
        <w:t>八、</w:t>
      </w:r>
      <w:bookmarkEnd w:id="26"/>
      <w:bookmarkEnd w:id="27"/>
      <w:bookmarkEnd w:id="28"/>
      <w:bookmarkEnd w:id="29"/>
      <w:r>
        <w:rPr>
          <w:rFonts w:hint="eastAsia" w:ascii="宋体" w:hAnsi="宋体" w:cs="宋体"/>
          <w:b/>
          <w:color w:val="auto"/>
          <w:szCs w:val="21"/>
          <w:highlight w:val="none"/>
        </w:rPr>
        <w:t>凡对本次采购提出询问，请按以下方式联系。</w:t>
      </w:r>
      <w:bookmarkStart w:id="40" w:name="_Toc35393637"/>
      <w:bookmarkStart w:id="41" w:name="_Toc28359019"/>
      <w:bookmarkStart w:id="42" w:name="_Toc28359096"/>
      <w:bookmarkStart w:id="43" w:name="_Toc35393806"/>
    </w:p>
    <w:p>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1.采购人信息</w:t>
      </w:r>
      <w:bookmarkEnd w:id="40"/>
      <w:bookmarkEnd w:id="41"/>
      <w:bookmarkEnd w:id="42"/>
      <w:bookmarkEnd w:id="43"/>
    </w:p>
    <w:p>
      <w:pPr>
        <w:spacing w:line="500" w:lineRule="exact"/>
        <w:ind w:firstLine="420" w:firstLineChars="200"/>
        <w:jc w:val="left"/>
        <w:rPr>
          <w:rFonts w:ascii="宋体" w:hAnsi="宋体" w:cs="宋体"/>
          <w:color w:val="auto"/>
          <w:szCs w:val="21"/>
          <w:highlight w:val="none"/>
        </w:rPr>
      </w:pPr>
      <w:bookmarkStart w:id="44" w:name="_Toc35393807"/>
      <w:bookmarkStart w:id="45" w:name="_Toc28359097"/>
      <w:bookmarkStart w:id="46" w:name="_Toc35393638"/>
      <w:bookmarkStart w:id="47" w:name="_Toc28359020"/>
      <w:r>
        <w:rPr>
          <w:rFonts w:hint="eastAsia" w:ascii="宋体" w:hAnsi="宋体" w:cs="宋体"/>
          <w:color w:val="auto"/>
          <w:szCs w:val="21"/>
          <w:highlight w:val="none"/>
        </w:rPr>
        <w:t>名  称：</w:t>
      </w:r>
      <w:r>
        <w:rPr>
          <w:rFonts w:hint="eastAsia" w:ascii="宋体" w:hAnsi="宋体" w:cs="宋体"/>
          <w:color w:val="auto"/>
          <w:szCs w:val="21"/>
          <w:highlight w:val="none"/>
          <w:lang w:eastAsia="zh-CN"/>
        </w:rPr>
        <w:t>桂林市第二技工学校</w:t>
      </w:r>
      <w:r>
        <w:rPr>
          <w:rFonts w:hint="eastAsia" w:ascii="宋体" w:hAnsi="宋体" w:cs="宋体"/>
          <w:color w:val="auto"/>
          <w:szCs w:val="21"/>
          <w:highlight w:val="none"/>
        </w:rPr>
        <w:t> </w:t>
      </w:r>
    </w:p>
    <w:p>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地址：桂林市象山区象塘路266号；</w:t>
      </w:r>
    </w:p>
    <w:p>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19167567097</w:t>
      </w:r>
    </w:p>
    <w:p>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44"/>
      <w:bookmarkEnd w:id="45"/>
      <w:bookmarkEnd w:id="46"/>
      <w:bookmarkEnd w:id="47"/>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称：广西天罡工程项目管理有限公司</w:t>
      </w:r>
    </w:p>
    <w:p>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址：桂林市七星区七里店路108号桂林国家大学科技园2栋2单元5楼</w:t>
      </w:r>
    </w:p>
    <w:p>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联系方式：0773-5896688</w:t>
      </w:r>
    </w:p>
    <w:p>
      <w:pPr>
        <w:spacing w:line="500" w:lineRule="exact"/>
        <w:ind w:firstLine="420" w:firstLineChars="200"/>
        <w:jc w:val="left"/>
        <w:rPr>
          <w:rFonts w:ascii="宋体" w:hAnsi="宋体" w:cs="宋体"/>
          <w:color w:val="auto"/>
          <w:szCs w:val="21"/>
          <w:highlight w:val="none"/>
        </w:rPr>
      </w:pPr>
      <w:bookmarkStart w:id="48" w:name="_Toc35393639"/>
      <w:bookmarkStart w:id="49" w:name="_Toc28359098"/>
      <w:bookmarkStart w:id="50" w:name="_Toc28359021"/>
      <w:bookmarkStart w:id="51" w:name="_Toc35393808"/>
      <w:r>
        <w:rPr>
          <w:rFonts w:hint="eastAsia" w:ascii="宋体" w:hAnsi="宋体" w:cs="宋体"/>
          <w:color w:val="auto"/>
          <w:szCs w:val="21"/>
          <w:highlight w:val="none"/>
        </w:rPr>
        <w:t>3.项目联系方式</w:t>
      </w:r>
      <w:bookmarkEnd w:id="48"/>
      <w:bookmarkEnd w:id="49"/>
      <w:bookmarkEnd w:id="50"/>
      <w:bookmarkEnd w:id="51"/>
    </w:p>
    <w:p>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项目联系人：张工</w:t>
      </w:r>
    </w:p>
    <w:p>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话：0773-5896688</w:t>
      </w:r>
    </w:p>
    <w:p>
      <w:pPr>
        <w:pStyle w:val="9"/>
        <w:spacing w:line="500" w:lineRule="exact"/>
        <w:rPr>
          <w:rFonts w:ascii="宋体" w:hAnsi="宋体" w:cs="宋体"/>
          <w:color w:val="auto"/>
          <w:szCs w:val="21"/>
          <w:highlight w:val="none"/>
        </w:rPr>
      </w:pPr>
    </w:p>
    <w:p>
      <w:pPr>
        <w:pStyle w:val="9"/>
        <w:spacing w:line="500" w:lineRule="exact"/>
        <w:rPr>
          <w:rFonts w:ascii="宋体" w:hAnsi="宋体" w:cs="宋体"/>
          <w:color w:val="auto"/>
          <w:szCs w:val="21"/>
          <w:highlight w:val="none"/>
        </w:rPr>
      </w:pPr>
    </w:p>
    <w:p>
      <w:pPr>
        <w:pStyle w:val="3"/>
        <w:rPr>
          <w:color w:val="auto"/>
          <w:highlight w:val="none"/>
        </w:rPr>
      </w:pPr>
      <w:bookmarkStart w:id="52" w:name="_Toc8849"/>
      <w:bookmarkStart w:id="53" w:name="_Toc10668"/>
    </w:p>
    <w:p>
      <w:pPr>
        <w:pStyle w:val="3"/>
        <w:rPr>
          <w:color w:val="auto"/>
          <w:highlight w:val="none"/>
        </w:rPr>
      </w:pPr>
    </w:p>
    <w:p>
      <w:pPr>
        <w:rPr>
          <w:color w:val="auto"/>
          <w:highlight w:val="none"/>
        </w:rPr>
      </w:pPr>
    </w:p>
    <w:p>
      <w:pPr>
        <w:pStyle w:val="9"/>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3"/>
        <w:rPr>
          <w:color w:val="auto"/>
          <w:sz w:val="40"/>
          <w:szCs w:val="48"/>
          <w:highlight w:val="none"/>
        </w:rPr>
      </w:pPr>
      <w:bookmarkStart w:id="54" w:name="_Toc381"/>
      <w:bookmarkStart w:id="55" w:name="_Toc14154"/>
      <w:bookmarkStart w:id="56" w:name="_Toc32493"/>
      <w:bookmarkStart w:id="57" w:name="_Toc24546"/>
      <w:r>
        <w:rPr>
          <w:rFonts w:hint="eastAsia"/>
          <w:color w:val="auto"/>
          <w:sz w:val="40"/>
          <w:szCs w:val="48"/>
          <w:highlight w:val="none"/>
        </w:rPr>
        <w:t>第二章  供应商须知</w:t>
      </w:r>
      <w:bookmarkEnd w:id="0"/>
      <w:bookmarkEnd w:id="1"/>
      <w:bookmarkEnd w:id="52"/>
      <w:bookmarkEnd w:id="53"/>
      <w:bookmarkEnd w:id="54"/>
      <w:bookmarkEnd w:id="55"/>
      <w:bookmarkEnd w:id="56"/>
      <w:bookmarkEnd w:id="57"/>
      <w:bookmarkStart w:id="58" w:name="_Toc9508"/>
      <w:bookmarkStart w:id="59" w:name="_Toc13547"/>
      <w:bookmarkStart w:id="60" w:name="_Toc25063"/>
    </w:p>
    <w:p>
      <w:pPr>
        <w:spacing w:line="400" w:lineRule="exact"/>
        <w:ind w:left="425"/>
        <w:jc w:val="center"/>
        <w:rPr>
          <w:color w:val="auto"/>
          <w:sz w:val="28"/>
          <w:szCs w:val="36"/>
          <w:highlight w:val="none"/>
        </w:rPr>
      </w:pPr>
      <w:bookmarkStart w:id="61" w:name="_Toc32284"/>
      <w:bookmarkStart w:id="62" w:name="_Toc15488"/>
      <w:bookmarkStart w:id="63" w:name="_Toc824"/>
      <w:bookmarkStart w:id="64" w:name="_Toc23082"/>
      <w:r>
        <w:rPr>
          <w:rFonts w:hint="eastAsia"/>
          <w:color w:val="auto"/>
          <w:sz w:val="28"/>
          <w:szCs w:val="36"/>
          <w:highlight w:val="none"/>
        </w:rPr>
        <w:t>供 应 商 须 知 前 附 表</w:t>
      </w:r>
      <w:bookmarkEnd w:id="58"/>
      <w:bookmarkEnd w:id="59"/>
      <w:bookmarkEnd w:id="60"/>
      <w:bookmarkEnd w:id="61"/>
      <w:bookmarkEnd w:id="62"/>
      <w:bookmarkEnd w:id="63"/>
      <w:bookmarkEnd w:id="64"/>
    </w:p>
    <w:tbl>
      <w:tblPr>
        <w:tblStyle w:val="43"/>
        <w:tblW w:w="10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652"/>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03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项目名称及项目编号</w:t>
            </w:r>
          </w:p>
        </w:tc>
        <w:tc>
          <w:tcPr>
            <w:tcW w:w="7035" w:type="dxa"/>
          </w:tcPr>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桂林市第二技工学校安保服务项目</w:t>
            </w:r>
          </w:p>
          <w:p>
            <w:pPr>
              <w:keepNext w:val="0"/>
              <w:keepLines w:val="0"/>
              <w:suppressLineNumbers w:val="0"/>
              <w:spacing w:before="0" w:beforeAutospacing="0" w:after="0" w:afterAutospacing="0" w:line="360" w:lineRule="auto"/>
              <w:ind w:left="0" w:right="0"/>
              <w:jc w:val="left"/>
              <w:rPr>
                <w:rFonts w:hint="eastAsia" w:ascii="宋体" w:hAnsi="宋体" w:cs="宋体"/>
                <w:color w:val="auto"/>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GLZC2025-C3-990695-GXTG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供应商资格</w:t>
            </w:r>
          </w:p>
        </w:tc>
        <w:tc>
          <w:tcPr>
            <w:tcW w:w="7035" w:type="dxa"/>
            <w:vAlign w:val="center"/>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3.3.落实政府采购政策需满足的资格要求：本项目属于</w:t>
            </w:r>
            <w:r>
              <w:rPr>
                <w:rFonts w:hint="eastAsia" w:ascii="宋体" w:hAnsi="宋体" w:cs="宋体"/>
                <w:color w:val="auto"/>
                <w:szCs w:val="21"/>
                <w:highlight w:val="none"/>
                <w:lang w:eastAsia="zh-CN"/>
              </w:rPr>
              <w:t>专门面向中小微企业</w:t>
            </w:r>
            <w:r>
              <w:rPr>
                <w:rFonts w:hint="eastAsia" w:ascii="宋体" w:hAnsi="宋体" w:cs="宋体"/>
                <w:color w:val="auto"/>
                <w:szCs w:val="21"/>
                <w:highlight w:val="none"/>
              </w:rPr>
              <w:t>采购的项目，</w:t>
            </w:r>
            <w:r>
              <w:rPr>
                <w:rFonts w:hint="eastAsia" w:ascii="宋体" w:hAnsi="宋体" w:cs="宋体"/>
                <w:color w:val="auto"/>
                <w:szCs w:val="21"/>
                <w:highlight w:val="none"/>
                <w:lang w:eastAsia="zh-CN"/>
              </w:rPr>
              <w:t>根据财库【2020】46号《政府采购促进中小企业发展管理办法》要求，供应商应为中小微企业</w:t>
            </w:r>
            <w:r>
              <w:rPr>
                <w:rFonts w:hint="eastAsia" w:ascii="宋体" w:hAnsi="宋体" w:cs="宋体"/>
                <w:color w:val="auto"/>
                <w:szCs w:val="21"/>
                <w:highlight w:val="none"/>
              </w:rPr>
              <w:t>或监狱企业或残疾人福利性单位</w:t>
            </w:r>
            <w:r>
              <w:rPr>
                <w:rFonts w:hint="eastAsia" w:ascii="宋体" w:hAnsi="宋体" w:cs="宋体"/>
                <w:color w:val="auto"/>
                <w:szCs w:val="21"/>
                <w:highlight w:val="none"/>
                <w:lang w:eastAsia="zh-CN"/>
              </w:rPr>
              <w:t>。</w:t>
            </w:r>
          </w:p>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3.4.本项目的特定资格要求：</w:t>
            </w:r>
            <w:r>
              <w:rPr>
                <w:rFonts w:hint="eastAsia" w:ascii="宋体" w:hAnsi="宋体" w:cs="宋体"/>
                <w:color w:val="auto"/>
                <w:szCs w:val="21"/>
                <w:highlight w:val="none"/>
                <w:lang w:eastAsia="zh-CN"/>
              </w:rPr>
              <w:t>供应商须提供有效的保安服务许可证和劳务派遣经营许可证</w:t>
            </w:r>
            <w:r>
              <w:rPr>
                <w:rFonts w:hint="eastAsia" w:ascii="宋体" w:hAnsi="宋体" w:cs="宋体"/>
                <w:color w:val="auto"/>
                <w:szCs w:val="21"/>
                <w:highlight w:val="none"/>
              </w:rPr>
              <w:t>。</w:t>
            </w:r>
          </w:p>
          <w:p>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szCs w:val="21"/>
                <w:highlight w:val="none"/>
              </w:rPr>
              <w:t>3.5.本项目不接受联合体。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磋商费用</w:t>
            </w:r>
          </w:p>
        </w:tc>
        <w:tc>
          <w:tcPr>
            <w:tcW w:w="7035"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13</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szCs w:val="21"/>
                <w:highlight w:val="none"/>
              </w:rPr>
              <w:t>磋商报价及采购预算金额</w:t>
            </w:r>
          </w:p>
        </w:tc>
        <w:tc>
          <w:tcPr>
            <w:tcW w:w="7035" w:type="dxa"/>
            <w:vAlign w:val="center"/>
          </w:tcPr>
          <w:p>
            <w:pPr>
              <w:keepNext w:val="0"/>
              <w:keepLines w:val="0"/>
              <w:suppressLineNumbers w:val="0"/>
              <w:spacing w:before="0" w:beforeAutospacing="0" w:after="0" w:afterAutospacing="0" w:line="36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13.1 磋商报价应按磋商文件中相关附表格式填写。</w:t>
            </w:r>
            <w:r>
              <w:rPr>
                <w:rFonts w:hint="eastAsia" w:ascii="宋体" w:hAnsi="宋体" w:cs="宋体"/>
                <w:b/>
                <w:bCs/>
                <w:color w:val="auto"/>
                <w:szCs w:val="21"/>
                <w:highlight w:val="none"/>
              </w:rPr>
              <w:t>采购预算金额</w:t>
            </w:r>
            <w:r>
              <w:rPr>
                <w:rFonts w:hint="eastAsia" w:ascii="宋体" w:hAnsi="宋体" w:cs="宋体"/>
                <w:b/>
                <w:bCs/>
                <w:color w:val="auto"/>
                <w:szCs w:val="21"/>
                <w:highlight w:val="none"/>
                <w:lang w:eastAsia="zh-CN"/>
              </w:rPr>
              <w:t>547200.00元</w:t>
            </w:r>
            <w:r>
              <w:rPr>
                <w:rFonts w:hint="eastAsia" w:ascii="宋体" w:hAnsi="宋体" w:eastAsia="宋体" w:cs="宋体"/>
                <w:b/>
                <w:bCs w:val="0"/>
                <w:color w:val="auto"/>
                <w:szCs w:val="21"/>
                <w:highlight w:val="none"/>
                <w:lang w:eastAsia="zh-CN"/>
              </w:rPr>
              <w:t>。</w:t>
            </w:r>
            <w:r>
              <w:rPr>
                <w:rFonts w:hint="eastAsia" w:ascii="宋体" w:hAnsi="宋体" w:cs="宋体"/>
                <w:color w:val="auto"/>
                <w:szCs w:val="21"/>
                <w:highlight w:val="none"/>
              </w:rPr>
              <w:t>供应商报价</w:t>
            </w:r>
            <w:r>
              <w:rPr>
                <w:rFonts w:hint="eastAsia" w:ascii="宋体" w:hAnsi="宋体" w:cs="宋体"/>
                <w:color w:val="auto"/>
                <w:kern w:val="0"/>
                <w:szCs w:val="21"/>
                <w:highlight w:val="none"/>
              </w:rPr>
              <w:t>超出采购预算金额的，响应文件按无效处理。</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13.2供应商必须就“采购需求”中所有内容作完整唯一报价，否则，其响应文件无效；响应文件只允许有一个报价，有选择的或有条件的报价将不予接受。</w:t>
            </w:r>
          </w:p>
          <w:p>
            <w:pPr>
              <w:keepNext w:val="0"/>
              <w:keepLines w:val="0"/>
              <w:suppressLineNumbers w:val="0"/>
              <w:snapToGrid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13.4</w:t>
            </w:r>
            <w:r>
              <w:rPr>
                <w:rFonts w:hint="eastAsia" w:ascii="宋体" w:hAnsi="宋体" w:cs="宋体"/>
                <w:color w:val="auto"/>
                <w:kern w:val="0"/>
                <w:szCs w:val="21"/>
                <w:highlight w:val="none"/>
              </w:rPr>
              <w:t>供应商应在规定时间内在政采云系统上提交最后报价，超出评委设定的最后报价时限或其最后报价超出采购预算导致已通过评审的响应文件无效的，按供应商在提交响应文件截止时间后撤回响应文件处理。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14.1</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响应文件有效期</w:t>
            </w:r>
          </w:p>
        </w:tc>
        <w:tc>
          <w:tcPr>
            <w:tcW w:w="7035" w:type="dxa"/>
          </w:tcPr>
          <w:p>
            <w:pPr>
              <w:keepNext w:val="0"/>
              <w:keepLines w:val="0"/>
              <w:suppressLineNumbers w:val="0"/>
              <w:tabs>
                <w:tab w:val="left" w:pos="1305"/>
              </w:tabs>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15</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保证金</w:t>
            </w:r>
          </w:p>
        </w:tc>
        <w:tc>
          <w:tcPr>
            <w:tcW w:w="7035" w:type="dxa"/>
          </w:tcPr>
          <w:p>
            <w:pPr>
              <w:keepNext w:val="0"/>
              <w:keepLines w:val="0"/>
              <w:suppressLineNumbers w:val="0"/>
              <w:tabs>
                <w:tab w:val="left" w:pos="1305"/>
              </w:tabs>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52" w:type="dxa"/>
            <w:vAlign w:val="center"/>
          </w:tcPr>
          <w:p>
            <w:pPr>
              <w:pStyle w:val="4"/>
              <w:suppressLineNumbers w:val="0"/>
              <w:spacing w:before="0" w:beforeAutospacing="0" w:after="0" w:afterAutospacing="0" w:line="360" w:lineRule="auto"/>
              <w:ind w:left="0" w:right="0"/>
              <w:jc w:val="center"/>
              <w:rPr>
                <w:rFonts w:hint="eastAsia" w:ascii="宋体" w:hAnsi="宋体" w:cs="宋体"/>
                <w:b w:val="0"/>
                <w:bCs/>
                <w:color w:val="auto"/>
                <w:sz w:val="21"/>
                <w:szCs w:val="21"/>
                <w:highlight w:val="none"/>
              </w:rPr>
            </w:pPr>
            <w:bookmarkStart w:id="65" w:name="_Toc27452"/>
            <w:bookmarkStart w:id="66" w:name="_Toc19911"/>
            <w:r>
              <w:rPr>
                <w:rFonts w:hint="eastAsia" w:ascii="宋体" w:hAnsi="宋体" w:cs="宋体"/>
                <w:b w:val="0"/>
                <w:bCs/>
                <w:color w:val="auto"/>
                <w:sz w:val="21"/>
                <w:szCs w:val="21"/>
                <w:highlight w:val="none"/>
              </w:rPr>
              <w:t>竞争性磋商响应文件的制作</w:t>
            </w:r>
            <w:bookmarkEnd w:id="65"/>
            <w:bookmarkEnd w:id="66"/>
          </w:p>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7035"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证书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证书签章的，应在响应文件中涉及到签字的位置使用个人CA证书签章，没有办理政采云个人CA证书签章的可在响应文件中涉及到签字的位置手写签字后扫描或者拍照做成 PDF 的格式上传即可。</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磋商响应文件不得涂改，若有修改错漏处，须法定代表人（负责人）或授权委托人签字（或个人CA证书签章）。磋商响应文件因字迹潦草或表达不清所引起的后果由供应商负责。</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16.4磋商前准备 </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18.1</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响应文件递交截止时间</w:t>
            </w:r>
          </w:p>
        </w:tc>
        <w:tc>
          <w:tcPr>
            <w:tcW w:w="7035"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u w:val="single"/>
              </w:rPr>
              <w:t>于</w:t>
            </w:r>
            <w:r>
              <w:rPr>
                <w:rFonts w:hint="eastAsia" w:ascii="宋体" w:hAnsi="宋体" w:cs="宋体"/>
                <w:color w:val="auto"/>
                <w:szCs w:val="21"/>
                <w:highlight w:val="none"/>
                <w:u w:val="single"/>
                <w:lang w:eastAsia="zh-CN"/>
              </w:rPr>
              <w:t>2026年1月20日</w:t>
            </w:r>
            <w:r>
              <w:rPr>
                <w:rFonts w:hint="eastAsia" w:ascii="宋体" w:hAnsi="宋体" w:cs="宋体"/>
                <w:color w:val="auto"/>
                <w:szCs w:val="21"/>
                <w:highlight w:val="none"/>
                <w:u w:val="single"/>
              </w:rPr>
              <w:t>9时30分</w:t>
            </w:r>
            <w:r>
              <w:rPr>
                <w:rFonts w:hint="eastAsia" w:ascii="宋体" w:hAnsi="宋体" w:cs="宋体"/>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9</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18.2</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position w:val="-2"/>
                <w:szCs w:val="21"/>
                <w:highlight w:val="none"/>
              </w:rPr>
            </w:pPr>
            <w:r>
              <w:rPr>
                <w:rFonts w:hint="eastAsia" w:ascii="宋体" w:hAnsi="宋体" w:cs="宋体"/>
                <w:color w:val="auto"/>
                <w:szCs w:val="21"/>
                <w:highlight w:val="none"/>
              </w:rPr>
              <w:t>磋商响应文件解密时间</w:t>
            </w:r>
          </w:p>
        </w:tc>
        <w:tc>
          <w:tcPr>
            <w:tcW w:w="7035" w:type="dxa"/>
            <w:vAlign w:val="center"/>
          </w:tcPr>
          <w:p>
            <w:pPr>
              <w:pStyle w:val="15"/>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u w:val="single"/>
                <w:lang w:eastAsia="zh-CN"/>
              </w:rPr>
              <w:t>2026年1月20日</w:t>
            </w:r>
            <w:r>
              <w:rPr>
                <w:rFonts w:hint="eastAsia" w:ascii="宋体" w:hAnsi="宋体" w:cs="宋体"/>
                <w:color w:val="auto"/>
                <w:szCs w:val="21"/>
                <w:highlight w:val="none"/>
                <w:u w:val="single"/>
              </w:rPr>
              <w:t>09时30分</w:t>
            </w:r>
            <w:r>
              <w:rPr>
                <w:rFonts w:hint="eastAsia" w:ascii="宋体" w:hAnsi="宋体" w:cs="宋体"/>
                <w:color w:val="auto"/>
                <w:highlight w:val="none"/>
                <w:u w:val="single"/>
              </w:rPr>
              <w:t>至10时00分</w:t>
            </w:r>
            <w:r>
              <w:rPr>
                <w:rFonts w:hint="eastAsia" w:ascii="宋体" w:hAnsi="宋体" w:cs="宋体"/>
                <w:color w:val="auto"/>
                <w:highlight w:val="none"/>
              </w:rPr>
              <w:t>)磋商供应商可以登录广西政府采购云平台，用“项目采购-开标评标”功能进行解密磋商响应文件。</w:t>
            </w:r>
            <w:r>
              <w:rPr>
                <w:rFonts w:hint="eastAsia" w:ascii="宋体" w:hAnsi="宋体" w:cs="宋体"/>
                <w:b/>
                <w:bCs/>
                <w:color w:val="auto"/>
                <w:szCs w:val="21"/>
                <w:highlight w:val="none"/>
              </w:rPr>
              <w:t>若磋商供应商在规定时间内无法解密或解密失败，</w:t>
            </w:r>
            <w:r>
              <w:rPr>
                <w:rFonts w:hint="eastAsia" w:ascii="宋体" w:hAnsi="宋体" w:cs="宋体"/>
                <w:b/>
                <w:bCs/>
                <w:color w:val="auto"/>
                <w:kern w:val="0"/>
                <w:szCs w:val="21"/>
                <w:highlight w:val="none"/>
              </w:rPr>
              <w:t>视为供应商放弃磋商</w:t>
            </w:r>
            <w:r>
              <w:rPr>
                <w:rFonts w:hint="eastAsia" w:ascii="宋体" w:hAnsi="宋体" w:cs="宋体"/>
                <w:b/>
                <w:bCs/>
                <w:color w:val="auto"/>
                <w:szCs w:val="21"/>
                <w:highlight w:val="none"/>
              </w:rPr>
              <w:t>，造成响应无效的后果由供应商自行承担。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42" w:type="dxa"/>
            <w:vAlign w:val="center"/>
          </w:tcPr>
          <w:p>
            <w:pPr>
              <w:keepNext w:val="0"/>
              <w:keepLines w:val="0"/>
              <w:suppressLineNumbers w:val="0"/>
              <w:spacing w:before="0" w:beforeAutospacing="0" w:after="0" w:afterAutospacing="0" w:line="360" w:lineRule="auto"/>
              <w:ind w:left="0" w:right="0" w:firstLine="105" w:firstLineChars="50"/>
              <w:jc w:val="center"/>
              <w:rPr>
                <w:rFonts w:hint="eastAsia" w:ascii="宋体" w:hAnsi="宋体" w:cs="宋体"/>
                <w:color w:val="auto"/>
                <w:position w:val="-2"/>
                <w:szCs w:val="21"/>
                <w:highlight w:val="none"/>
              </w:rPr>
            </w:pPr>
            <w:r>
              <w:rPr>
                <w:rFonts w:hint="eastAsia" w:ascii="宋体" w:hAnsi="宋体" w:cs="宋体"/>
                <w:color w:val="auto"/>
                <w:position w:val="-2"/>
                <w:szCs w:val="21"/>
                <w:highlight w:val="none"/>
              </w:rPr>
              <w:t>19.1</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磋商小组组成</w:t>
            </w:r>
          </w:p>
        </w:tc>
        <w:tc>
          <w:tcPr>
            <w:tcW w:w="7035" w:type="dxa"/>
            <w:vAlign w:val="center"/>
          </w:tcPr>
          <w:p>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19.2</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磋商时间、地点、人员</w:t>
            </w:r>
          </w:p>
        </w:tc>
        <w:tc>
          <w:tcPr>
            <w:tcW w:w="7035" w:type="dxa"/>
          </w:tcPr>
          <w:p>
            <w:pPr>
              <w:keepNext w:val="0"/>
              <w:keepLines w:val="0"/>
              <w:suppressLineNumbers w:val="0"/>
              <w:spacing w:before="0" w:beforeAutospacing="0" w:after="0" w:afterAutospacing="0" w:line="360" w:lineRule="auto"/>
              <w:ind w:left="315" w:right="0"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rPr>
              <w:t>19.2.1磋商时间：响应文件递交截止时间后。</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19.2.2磋商地点：本项目需要磋商供应商代表在截标当天截标后，按磋商小组要求及时登陆广西政府采购云平台等候在线磋商。</w:t>
            </w:r>
          </w:p>
          <w:p>
            <w:pPr>
              <w:keepNext w:val="0"/>
              <w:keepLines w:val="0"/>
              <w:suppressLineNumbers w:val="0"/>
              <w:spacing w:before="0" w:beforeAutospacing="0" w:after="0" w:afterAutospacing="0" w:line="360" w:lineRule="auto"/>
              <w:ind w:left="15" w:right="0" w:hanging="14" w:hangingChars="7"/>
              <w:jc w:val="left"/>
              <w:rPr>
                <w:rFonts w:hint="eastAsia" w:ascii="宋体" w:hAnsi="宋体" w:cs="宋体"/>
                <w:color w:val="auto"/>
                <w:szCs w:val="21"/>
                <w:highlight w:val="none"/>
              </w:rPr>
            </w:pPr>
            <w:r>
              <w:rPr>
                <w:rFonts w:hint="eastAsia" w:ascii="宋体" w:hAnsi="宋体" w:cs="宋体"/>
                <w:color w:val="auto"/>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pPr>
              <w:keepNext w:val="0"/>
              <w:keepLines w:val="0"/>
              <w:suppressLineNumbers w:val="0"/>
              <w:tabs>
                <w:tab w:val="left" w:pos="1140"/>
              </w:tabs>
              <w:spacing w:before="0" w:beforeAutospacing="0" w:after="0" w:afterAutospacing="0" w:line="36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19.2.4响应文件递交截止时间后，由磋商小组在评标室内线上开启响应文件。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12</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20.2</w:t>
            </w:r>
          </w:p>
        </w:tc>
        <w:tc>
          <w:tcPr>
            <w:tcW w:w="1652" w:type="dxa"/>
            <w:vAlign w:val="center"/>
          </w:tcPr>
          <w:p>
            <w:pPr>
              <w:pStyle w:val="19"/>
              <w:keepNext w:val="0"/>
              <w:keepLines w:val="0"/>
              <w:suppressLineNumbers w:val="0"/>
              <w:spacing w:before="0" w:beforeAutospacing="0" w:after="0" w:afterAutospacing="0" w:line="360" w:lineRule="auto"/>
              <w:ind w:left="0" w:right="0"/>
              <w:jc w:val="center"/>
              <w:rPr>
                <w:rFonts w:hint="eastAsia" w:hAnsi="宋体" w:cs="宋体"/>
                <w:color w:val="auto"/>
                <w:kern w:val="0"/>
                <w:szCs w:val="21"/>
                <w:highlight w:val="none"/>
              </w:rPr>
            </w:pPr>
            <w:r>
              <w:rPr>
                <w:rFonts w:hint="eastAsia" w:hAnsi="宋体" w:cs="宋体"/>
                <w:color w:val="auto"/>
                <w:kern w:val="0"/>
                <w:szCs w:val="21"/>
                <w:highlight w:val="none"/>
              </w:rPr>
              <w:t>评审办法</w:t>
            </w:r>
          </w:p>
        </w:tc>
        <w:tc>
          <w:tcPr>
            <w:tcW w:w="7035" w:type="dxa"/>
            <w:vAlign w:val="center"/>
          </w:tcPr>
          <w:p>
            <w:pPr>
              <w:keepNext w:val="0"/>
              <w:keepLines w:val="0"/>
              <w:suppressLineNumbers w:val="0"/>
              <w:tabs>
                <w:tab w:val="left" w:pos="1140"/>
              </w:tabs>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信用查询</w:t>
            </w:r>
          </w:p>
        </w:tc>
        <w:tc>
          <w:tcPr>
            <w:tcW w:w="7035" w:type="dxa"/>
            <w:vAlign w:val="center"/>
          </w:tcPr>
          <w:p>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w:t>
            </w:r>
            <w:r>
              <w:rPr>
                <w:rFonts w:hint="eastAsia"/>
                <w:color w:val="auto"/>
                <w:highlight w:val="none"/>
              </w:rPr>
              <w:t>号</w:t>
            </w:r>
            <w:r>
              <w:rPr>
                <w:rFonts w:hint="eastAsia" w:ascii="宋体" w:hAnsi="宋体" w:cs="宋体"/>
                <w:color w:val="auto"/>
                <w:szCs w:val="21"/>
                <w:highlight w:val="none"/>
              </w:rPr>
              <w:t>），由采购代理机构对第一成交候选人进行信用查询：</w:t>
            </w:r>
          </w:p>
          <w:p>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pPr>
              <w:keepNext w:val="0"/>
              <w:keepLines w:val="0"/>
              <w:suppressLineNumbers w:val="0"/>
              <w:spacing w:before="0" w:beforeAutospacing="0" w:after="0" w:afterAutospacing="0" w:line="360" w:lineRule="auto"/>
              <w:ind w:left="315" w:right="0"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pPr>
              <w:keepNext w:val="0"/>
              <w:keepLines w:val="0"/>
              <w:suppressLineNumbers w:val="0"/>
              <w:spacing w:before="0" w:beforeAutospacing="0" w:after="0" w:afterAutospacing="0" w:line="360" w:lineRule="auto"/>
              <w:ind w:left="15" w:right="0" w:hanging="14" w:hangingChars="7"/>
              <w:rPr>
                <w:rFonts w:hint="eastAsia" w:ascii="宋体" w:hAnsi="宋体" w:cs="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成交结果公告</w:t>
            </w:r>
          </w:p>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及成交通知书</w:t>
            </w:r>
          </w:p>
        </w:tc>
        <w:tc>
          <w:tcPr>
            <w:tcW w:w="7035" w:type="dxa"/>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27.2在发布成交公告的同时，采购代理机构向成交供应商发出成交通知书。成交供应商自接到通知之日起七个工作日内，办理成交通知书领取手续。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035" w:type="dxa"/>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r>
              <w:rPr>
                <w:rFonts w:hint="eastAsia" w:hAnsi="宋体" w:cs="宋体"/>
                <w:color w:val="auto"/>
                <w:szCs w:val="21"/>
                <w:highlight w:val="none"/>
              </w:rPr>
              <w:t>本项目无需缴纳履约保证金。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签订合同时间</w:t>
            </w:r>
          </w:p>
        </w:tc>
        <w:tc>
          <w:tcPr>
            <w:tcW w:w="7035" w:type="dxa"/>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bCs/>
                <w:color w:val="auto"/>
                <w:kern w:val="0"/>
                <w:szCs w:val="21"/>
                <w:highlight w:val="none"/>
              </w:rPr>
              <w:t>成交通知书发出之日起八个工作日内签订合同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合同备案存档</w:t>
            </w:r>
          </w:p>
        </w:tc>
        <w:tc>
          <w:tcPr>
            <w:tcW w:w="7035" w:type="dxa"/>
            <w:vAlign w:val="center"/>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广西天罡工程项目管理有限公司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采购代理服务费</w:t>
            </w:r>
          </w:p>
        </w:tc>
        <w:tc>
          <w:tcPr>
            <w:tcW w:w="7035" w:type="dxa"/>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olor w:val="auto"/>
                <w:szCs w:val="21"/>
                <w:highlight w:val="none"/>
              </w:rPr>
              <w:t>本项目代理服务费按本须知第30.2条“代理服务收费标准”中服务类收费标准计算，成交供应商在领取成交通知书前，向采购代理机构一次性支付（</w:t>
            </w:r>
            <w:r>
              <w:rPr>
                <w:rFonts w:hint="eastAsia" w:ascii="宋体" w:hAnsi="宋体"/>
                <w:color w:val="auto"/>
                <w:szCs w:val="21"/>
                <w:highlight w:val="none"/>
                <w:lang w:eastAsia="zh-CN"/>
              </w:rPr>
              <w:t>服务费</w:t>
            </w:r>
            <w:r>
              <w:rPr>
                <w:rFonts w:hint="eastAsia" w:ascii="宋体" w:hAnsi="宋体"/>
                <w:color w:val="auto"/>
                <w:szCs w:val="21"/>
                <w:highlight w:val="none"/>
              </w:rPr>
              <w:t>不足人民币6000元的，按6000元支付）。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解释权</w:t>
            </w:r>
          </w:p>
        </w:tc>
        <w:tc>
          <w:tcPr>
            <w:tcW w:w="7035" w:type="dxa"/>
          </w:tcPr>
          <w:p>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6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94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652"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监督管理机构</w:t>
            </w:r>
          </w:p>
        </w:tc>
        <w:tc>
          <w:tcPr>
            <w:tcW w:w="7035" w:type="dxa"/>
            <w:vAlign w:val="center"/>
          </w:tcPr>
          <w:p>
            <w:pPr>
              <w:keepNext w:val="0"/>
              <w:keepLines w:val="0"/>
              <w:suppressLineNumbers w:val="0"/>
              <w:spacing w:before="0" w:beforeAutospacing="0" w:after="0" w:afterAutospacing="0" w:line="340" w:lineRule="exact"/>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桂林市政府采购管理办公室          </w:t>
            </w:r>
          </w:p>
          <w:p>
            <w:pPr>
              <w:keepNext w:val="0"/>
              <w:keepLines w:val="0"/>
              <w:suppressLineNumbers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kern w:val="0"/>
                <w:szCs w:val="21"/>
                <w:highlight w:val="none"/>
              </w:rPr>
              <w:t>联系电话：0773-2862142</w:t>
            </w:r>
          </w:p>
        </w:tc>
      </w:tr>
    </w:tbl>
    <w:p>
      <w:pPr>
        <w:rPr>
          <w:rFonts w:ascii="宋体" w:hAnsi="宋体" w:cs="宋体"/>
          <w:color w:val="auto"/>
          <w:highlight w:val="none"/>
        </w:rPr>
      </w:pPr>
    </w:p>
    <w:p>
      <w:pPr>
        <w:pStyle w:val="2"/>
        <w:jc w:val="center"/>
        <w:rPr>
          <w:rFonts w:ascii="宋体" w:hAnsi="宋体" w:cs="宋体"/>
          <w:b/>
          <w:bCs w:val="0"/>
          <w:color w:val="auto"/>
          <w:szCs w:val="28"/>
          <w:highlight w:val="none"/>
        </w:rPr>
      </w:pPr>
      <w:bookmarkStart w:id="67" w:name="_Toc22792"/>
      <w:bookmarkStart w:id="68" w:name="_Toc10058"/>
    </w:p>
    <w:p>
      <w:pPr>
        <w:pStyle w:val="2"/>
        <w:jc w:val="center"/>
        <w:rPr>
          <w:rFonts w:ascii="宋体" w:hAnsi="宋体" w:cs="宋体"/>
          <w:b/>
          <w:bCs w:val="0"/>
          <w:color w:val="auto"/>
          <w:szCs w:val="28"/>
          <w:highlight w:val="none"/>
        </w:rPr>
      </w:pPr>
    </w:p>
    <w:p>
      <w:pPr>
        <w:pStyle w:val="2"/>
        <w:jc w:val="center"/>
        <w:rPr>
          <w:rFonts w:ascii="宋体" w:hAnsi="宋体" w:cs="宋体"/>
          <w:b/>
          <w:bCs w:val="0"/>
          <w:color w:val="auto"/>
          <w:szCs w:val="28"/>
          <w:highlight w:val="none"/>
        </w:rPr>
      </w:pPr>
    </w:p>
    <w:p>
      <w:pPr>
        <w:pStyle w:val="2"/>
        <w:ind w:left="0" w:firstLine="0"/>
        <w:rPr>
          <w:rFonts w:ascii="宋体" w:hAnsi="宋体" w:cs="宋体"/>
          <w:b/>
          <w:bCs w:val="0"/>
          <w:color w:val="auto"/>
          <w:szCs w:val="28"/>
          <w:highlight w:val="none"/>
        </w:rPr>
      </w:pPr>
    </w:p>
    <w:p>
      <w:pPr>
        <w:rPr>
          <w:rFonts w:ascii="宋体" w:hAnsi="宋体" w:cs="宋体"/>
          <w:b/>
          <w:color w:val="auto"/>
          <w:szCs w:val="28"/>
          <w:highlight w:val="none"/>
        </w:rPr>
      </w:pPr>
    </w:p>
    <w:p>
      <w:pPr>
        <w:pStyle w:val="45"/>
        <w:rPr>
          <w:color w:val="auto"/>
          <w:highlight w:val="none"/>
        </w:rPr>
      </w:pPr>
    </w:p>
    <w:p>
      <w:pPr>
        <w:pStyle w:val="45"/>
        <w:rPr>
          <w:color w:val="auto"/>
          <w:highlight w:val="none"/>
        </w:rPr>
      </w:pPr>
    </w:p>
    <w:p>
      <w:pPr>
        <w:pStyle w:val="45"/>
        <w:rPr>
          <w:color w:val="auto"/>
          <w:highlight w:val="none"/>
        </w:rPr>
      </w:pPr>
    </w:p>
    <w:p>
      <w:pPr>
        <w:pStyle w:val="21"/>
        <w:rPr>
          <w:rFonts w:ascii="宋体" w:hAnsi="宋体" w:cs="宋体"/>
          <w:b/>
          <w:color w:val="auto"/>
          <w:szCs w:val="28"/>
          <w:highlight w:val="none"/>
        </w:rPr>
      </w:pPr>
    </w:p>
    <w:p>
      <w:pPr>
        <w:pStyle w:val="21"/>
        <w:rPr>
          <w:rFonts w:ascii="宋体" w:hAnsi="宋体" w:cs="宋体"/>
          <w:b/>
          <w:color w:val="auto"/>
          <w:szCs w:val="28"/>
          <w:highlight w:val="none"/>
        </w:rPr>
      </w:pPr>
    </w:p>
    <w:p>
      <w:pPr>
        <w:pStyle w:val="21"/>
        <w:rPr>
          <w:rFonts w:ascii="宋体" w:hAnsi="宋体" w:cs="宋体"/>
          <w:b/>
          <w:color w:val="auto"/>
          <w:szCs w:val="28"/>
          <w:highlight w:val="none"/>
        </w:rPr>
      </w:pPr>
    </w:p>
    <w:p>
      <w:pPr>
        <w:pStyle w:val="21"/>
        <w:rPr>
          <w:rFonts w:ascii="宋体" w:hAnsi="宋体" w:cs="宋体"/>
          <w:b/>
          <w:color w:val="auto"/>
          <w:szCs w:val="28"/>
          <w:highlight w:val="none"/>
        </w:rPr>
      </w:pPr>
    </w:p>
    <w:p>
      <w:pPr>
        <w:pStyle w:val="2"/>
        <w:jc w:val="center"/>
        <w:rPr>
          <w:rFonts w:ascii="宋体" w:hAnsi="宋体" w:cs="宋体"/>
          <w:b/>
          <w:bCs w:val="0"/>
          <w:color w:val="auto"/>
          <w:szCs w:val="28"/>
          <w:highlight w:val="none"/>
        </w:rPr>
      </w:pPr>
      <w:r>
        <w:rPr>
          <w:rFonts w:hint="eastAsia" w:ascii="宋体" w:hAnsi="宋体" w:cs="宋体"/>
          <w:b/>
          <w:bCs w:val="0"/>
          <w:color w:val="auto"/>
          <w:szCs w:val="28"/>
          <w:highlight w:val="none"/>
        </w:rPr>
        <w:t>一、总则</w:t>
      </w:r>
      <w:bookmarkEnd w:id="67"/>
      <w:bookmarkEnd w:id="68"/>
    </w:p>
    <w:p>
      <w:pPr>
        <w:pStyle w:val="4"/>
        <w:spacing w:line="360" w:lineRule="auto"/>
        <w:ind w:firstLine="422" w:firstLineChars="200"/>
        <w:rPr>
          <w:rFonts w:ascii="宋体" w:hAnsi="宋体" w:cs="宋体"/>
          <w:color w:val="auto"/>
          <w:sz w:val="21"/>
          <w:szCs w:val="21"/>
          <w:highlight w:val="none"/>
        </w:rPr>
      </w:pPr>
      <w:bookmarkStart w:id="69" w:name="_Toc6626"/>
      <w:bookmarkStart w:id="70" w:name="_Toc24721"/>
      <w:r>
        <w:rPr>
          <w:rFonts w:hint="eastAsia" w:ascii="宋体" w:hAnsi="宋体" w:cs="宋体"/>
          <w:color w:val="auto"/>
          <w:sz w:val="21"/>
          <w:szCs w:val="21"/>
          <w:highlight w:val="none"/>
        </w:rPr>
        <w:t>1. 适应范围</w:t>
      </w:r>
      <w:bookmarkEnd w:id="69"/>
      <w:bookmarkEnd w:id="70"/>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1.1  项目名称及项目编号：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桂林市第二技工学校安保服务项目</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GLZC2025-C3-990695-GXTG</w:t>
      </w:r>
    </w:p>
    <w:p>
      <w:pPr>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1.2本竞争性磋商文件（以下简称磋商文件）适用于本磋商项目的磋商、评审、合同履约、验收、付款等行为（法律、法规另有规定的，从其规定）。</w:t>
      </w:r>
    </w:p>
    <w:p>
      <w:pPr>
        <w:pStyle w:val="4"/>
        <w:spacing w:line="360" w:lineRule="auto"/>
        <w:ind w:firstLine="422" w:firstLineChars="200"/>
        <w:rPr>
          <w:rFonts w:ascii="宋体" w:hAnsi="宋体" w:cs="宋体"/>
          <w:color w:val="auto"/>
          <w:sz w:val="21"/>
          <w:szCs w:val="21"/>
          <w:highlight w:val="none"/>
        </w:rPr>
      </w:pPr>
      <w:bookmarkStart w:id="71" w:name="_Toc28336"/>
      <w:bookmarkStart w:id="72" w:name="_Toc3355"/>
      <w:r>
        <w:rPr>
          <w:rFonts w:hint="eastAsia" w:ascii="宋体" w:hAnsi="宋体" w:cs="宋体"/>
          <w:color w:val="auto"/>
          <w:sz w:val="21"/>
          <w:szCs w:val="21"/>
          <w:highlight w:val="none"/>
        </w:rPr>
        <w:t>2. 定义</w:t>
      </w:r>
      <w:bookmarkEnd w:id="71"/>
      <w:bookmarkEnd w:id="72"/>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2.2“货物”系指按磋商文件规定，供应商须向采购人提供的一切设备、保险、税金、备品备件、工具、手册及其它有关技术资料和材料。</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2.5“书面形式”包括信函、传真、电报等。</w:t>
      </w:r>
    </w:p>
    <w:p>
      <w:pPr>
        <w:spacing w:line="360" w:lineRule="exact"/>
        <w:ind w:firstLine="435"/>
        <w:rPr>
          <w:rFonts w:ascii="宋体" w:hAnsi="宋体" w:cs="宋体"/>
          <w:b/>
          <w:color w:val="auto"/>
          <w:sz w:val="24"/>
          <w:highlight w:val="none"/>
        </w:rPr>
      </w:pPr>
      <w:r>
        <w:rPr>
          <w:rFonts w:hint="eastAsia" w:ascii="宋体" w:hAnsi="宋体" w:cs="宋体"/>
          <w:b/>
          <w:bCs w:val="0"/>
          <w:color w:val="auto"/>
          <w:sz w:val="21"/>
          <w:szCs w:val="21"/>
          <w:highlight w:val="none"/>
        </w:rPr>
        <w:t>2.</w:t>
      </w:r>
      <w:r>
        <w:rPr>
          <w:rFonts w:hint="eastAsia" w:ascii="宋体" w:hAnsi="宋体" w:cs="宋体"/>
          <w:b/>
          <w:bCs w:val="0"/>
          <w:color w:val="auto"/>
          <w:szCs w:val="21"/>
          <w:highlight w:val="none"/>
        </w:rPr>
        <w:t>6实质性要求：</w:t>
      </w:r>
      <w:r>
        <w:rPr>
          <w:rFonts w:hint="eastAsia" w:ascii="宋体" w:hAnsi="宋体" w:cs="宋体"/>
          <w:b/>
          <w:color w:val="auto"/>
          <w:szCs w:val="21"/>
          <w:highlight w:val="none"/>
        </w:rPr>
        <w:t>“采购需求”中的所有内容均为实质性要求，不允许负偏离，否则响应无效。</w:t>
      </w:r>
    </w:p>
    <w:p>
      <w:pPr>
        <w:pStyle w:val="4"/>
        <w:spacing w:line="360" w:lineRule="auto"/>
        <w:ind w:firstLine="422" w:firstLineChars="200"/>
        <w:rPr>
          <w:rFonts w:ascii="宋体" w:hAnsi="宋体" w:cs="宋体"/>
          <w:color w:val="auto"/>
          <w:sz w:val="21"/>
          <w:szCs w:val="21"/>
          <w:highlight w:val="none"/>
        </w:rPr>
      </w:pPr>
      <w:bookmarkStart w:id="73" w:name="_Toc23631"/>
      <w:bookmarkStart w:id="74" w:name="_Toc25441"/>
      <w:r>
        <w:rPr>
          <w:rFonts w:hint="eastAsia" w:ascii="宋体" w:hAnsi="宋体" w:cs="宋体"/>
          <w:color w:val="auto"/>
          <w:sz w:val="21"/>
          <w:szCs w:val="21"/>
          <w:highlight w:val="none"/>
        </w:rPr>
        <w:t>3. 供应商资格</w:t>
      </w:r>
      <w:bookmarkEnd w:id="73"/>
      <w:bookmarkEnd w:id="74"/>
    </w:p>
    <w:p>
      <w:pPr>
        <w:ind w:firstLine="420" w:firstLineChars="200"/>
        <w:rPr>
          <w:rFonts w:ascii="宋体" w:hAnsi="宋体" w:cs="宋体"/>
          <w:color w:val="auto"/>
          <w:szCs w:val="21"/>
          <w:highlight w:val="none"/>
        </w:rPr>
      </w:pPr>
      <w:bookmarkStart w:id="75" w:name="_Toc16496"/>
      <w:r>
        <w:rPr>
          <w:rFonts w:hint="eastAsia" w:ascii="宋体" w:hAnsi="宋体" w:cs="宋体"/>
          <w:color w:val="auto"/>
          <w:szCs w:val="21"/>
          <w:highlight w:val="none"/>
        </w:rPr>
        <w:t>3.1.满足《中华人民共和国政府采购法》第二十二条规定；</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3.3.落实政府采购政策需满足的资格要求：本项目属于</w:t>
      </w:r>
      <w:r>
        <w:rPr>
          <w:rFonts w:hint="eastAsia" w:ascii="宋体" w:hAnsi="宋体" w:cs="宋体"/>
          <w:color w:val="auto"/>
          <w:szCs w:val="21"/>
          <w:highlight w:val="none"/>
          <w:lang w:eastAsia="zh-CN"/>
        </w:rPr>
        <w:t>专门面向中小微企业</w:t>
      </w:r>
      <w:r>
        <w:rPr>
          <w:rFonts w:hint="eastAsia" w:ascii="宋体" w:hAnsi="宋体" w:cs="宋体"/>
          <w:color w:val="auto"/>
          <w:szCs w:val="21"/>
          <w:highlight w:val="none"/>
        </w:rPr>
        <w:t>采购的项目，</w:t>
      </w:r>
      <w:r>
        <w:rPr>
          <w:rFonts w:hint="eastAsia" w:ascii="宋体" w:hAnsi="宋体" w:cs="宋体"/>
          <w:color w:val="auto"/>
          <w:szCs w:val="21"/>
          <w:highlight w:val="none"/>
          <w:lang w:eastAsia="zh-CN"/>
        </w:rPr>
        <w:t>根据财库【2020】46号《政府采购促进中小企业发展管理办法》要求，供应商应为中小微企业</w:t>
      </w:r>
      <w:r>
        <w:rPr>
          <w:rFonts w:hint="eastAsia" w:ascii="宋体" w:hAnsi="宋体" w:cs="宋体"/>
          <w:color w:val="auto"/>
          <w:szCs w:val="21"/>
          <w:highlight w:val="none"/>
        </w:rPr>
        <w:t>或监狱企业或残疾人福利性单位</w:t>
      </w:r>
      <w:r>
        <w:rPr>
          <w:rFonts w:hint="eastAsia" w:ascii="宋体" w:hAnsi="宋体" w:cs="宋体"/>
          <w:color w:val="auto"/>
          <w:szCs w:val="21"/>
          <w:highlight w:val="none"/>
          <w:lang w:eastAsia="zh-CN"/>
        </w:rPr>
        <w:t>。</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3.4.本项目的特定资格要求：</w:t>
      </w:r>
      <w:r>
        <w:rPr>
          <w:rFonts w:hint="eastAsia" w:ascii="宋体" w:hAnsi="宋体" w:cs="宋体"/>
          <w:color w:val="auto"/>
          <w:szCs w:val="21"/>
          <w:highlight w:val="none"/>
          <w:lang w:eastAsia="zh-CN"/>
        </w:rPr>
        <w:t>供应商须提供有效的保安服务许可证和劳务派遣经营许可证</w:t>
      </w:r>
      <w:r>
        <w:rPr>
          <w:rFonts w:hint="eastAsia" w:ascii="宋体" w:hAnsi="宋体" w:cs="宋体"/>
          <w:color w:val="auto"/>
          <w:szCs w:val="21"/>
          <w:highlight w:val="none"/>
        </w:rPr>
        <w:t>。</w:t>
      </w:r>
    </w:p>
    <w:p>
      <w:pPr>
        <w:pStyle w:val="16"/>
        <w:rPr>
          <w:color w:val="auto"/>
          <w:highlight w:val="none"/>
        </w:rPr>
      </w:pPr>
      <w:r>
        <w:rPr>
          <w:rFonts w:hint="eastAsia" w:ascii="宋体" w:hAnsi="宋体" w:cs="宋体"/>
          <w:b/>
          <w:bCs/>
          <w:color w:val="auto"/>
          <w:szCs w:val="21"/>
          <w:highlight w:val="none"/>
        </w:rPr>
        <w:t>3.5.本项目不接受联合体</w:t>
      </w:r>
      <w:r>
        <w:rPr>
          <w:rFonts w:hint="eastAsia" w:ascii="宋体" w:hAnsi="宋体" w:cs="宋体"/>
          <w:color w:val="auto"/>
          <w:szCs w:val="21"/>
          <w:highlight w:val="none"/>
        </w:rPr>
        <w:t>。</w:t>
      </w:r>
    </w:p>
    <w:p>
      <w:pPr>
        <w:pStyle w:val="4"/>
        <w:spacing w:line="360" w:lineRule="auto"/>
        <w:ind w:firstLine="422" w:firstLineChars="200"/>
        <w:rPr>
          <w:rFonts w:ascii="宋体" w:hAnsi="宋体" w:cs="宋体"/>
          <w:color w:val="auto"/>
          <w:sz w:val="21"/>
          <w:szCs w:val="21"/>
          <w:highlight w:val="none"/>
        </w:rPr>
      </w:pPr>
      <w:bookmarkStart w:id="76" w:name="_Toc15983"/>
      <w:r>
        <w:rPr>
          <w:rFonts w:hint="eastAsia" w:ascii="宋体" w:hAnsi="宋体" w:cs="宋体"/>
          <w:color w:val="auto"/>
          <w:sz w:val="21"/>
          <w:szCs w:val="21"/>
          <w:highlight w:val="none"/>
        </w:rPr>
        <w:t>4. 磋商费用</w:t>
      </w:r>
      <w:bookmarkEnd w:id="75"/>
      <w:bookmarkEnd w:id="76"/>
    </w:p>
    <w:p>
      <w:pPr>
        <w:tabs>
          <w:tab w:val="left" w:pos="1635"/>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不论磋商结果如何，供应商均应自行承担所有与磋商有关的全部费用。</w:t>
      </w:r>
    </w:p>
    <w:p>
      <w:pPr>
        <w:pStyle w:val="4"/>
        <w:numPr>
          <w:ilvl w:val="0"/>
          <w:numId w:val="2"/>
        </w:numPr>
        <w:spacing w:line="360" w:lineRule="auto"/>
        <w:ind w:firstLine="422" w:firstLineChars="200"/>
        <w:rPr>
          <w:rFonts w:ascii="宋体" w:hAnsi="宋体" w:cs="宋体"/>
          <w:color w:val="auto"/>
          <w:sz w:val="21"/>
          <w:szCs w:val="21"/>
          <w:highlight w:val="none"/>
        </w:rPr>
      </w:pPr>
      <w:bookmarkStart w:id="77" w:name="_Toc31376"/>
      <w:bookmarkStart w:id="78" w:name="_Toc6933"/>
      <w:r>
        <w:rPr>
          <w:rFonts w:hint="eastAsia" w:ascii="宋体" w:hAnsi="宋体" w:cs="宋体"/>
          <w:color w:val="auto"/>
          <w:sz w:val="21"/>
          <w:szCs w:val="21"/>
          <w:highlight w:val="none"/>
        </w:rPr>
        <w:t>联合体要求</w:t>
      </w:r>
      <w:bookmarkEnd w:id="77"/>
      <w:bookmarkEnd w:id="78"/>
    </w:p>
    <w:p>
      <w:pPr>
        <w:spacing w:line="3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本项目不接受联合体参与磋商</w:t>
      </w:r>
    </w:p>
    <w:p>
      <w:pPr>
        <w:pStyle w:val="4"/>
        <w:spacing w:line="360" w:lineRule="auto"/>
        <w:ind w:firstLine="422" w:firstLineChars="200"/>
        <w:rPr>
          <w:rFonts w:ascii="宋体" w:hAnsi="宋体" w:cs="宋体"/>
          <w:color w:val="auto"/>
          <w:sz w:val="21"/>
          <w:szCs w:val="21"/>
          <w:highlight w:val="none"/>
        </w:rPr>
      </w:pPr>
      <w:bookmarkStart w:id="79" w:name="_Toc16359"/>
      <w:bookmarkStart w:id="80" w:name="_Toc4152"/>
      <w:r>
        <w:rPr>
          <w:rFonts w:hint="eastAsia" w:ascii="宋体" w:hAnsi="宋体" w:cs="宋体"/>
          <w:color w:val="auto"/>
          <w:sz w:val="21"/>
          <w:szCs w:val="21"/>
          <w:highlight w:val="none"/>
        </w:rPr>
        <w:t>6. 质疑和投诉</w:t>
      </w:r>
      <w:bookmarkEnd w:id="79"/>
      <w:bookmarkEnd w:id="80"/>
      <w:r>
        <w:rPr>
          <w:rFonts w:hint="eastAsia" w:ascii="宋体" w:hAnsi="宋体" w:cs="宋体"/>
          <w:color w:val="auto"/>
          <w:sz w:val="21"/>
          <w:szCs w:val="21"/>
          <w:highlight w:val="none"/>
        </w:rPr>
        <w:tab/>
      </w:r>
    </w:p>
    <w:p>
      <w:pPr>
        <w:tabs>
          <w:tab w:val="left" w:pos="2190"/>
        </w:tabs>
        <w:spacing w:line="360" w:lineRule="exact"/>
        <w:ind w:firstLine="435"/>
        <w:rPr>
          <w:rFonts w:ascii="宋体" w:hAnsi="宋体" w:cs="宋体"/>
          <w:color w:val="auto"/>
          <w:szCs w:val="21"/>
          <w:highlight w:val="none"/>
        </w:rPr>
      </w:pPr>
      <w:bookmarkStart w:id="81" w:name="_Toc26087"/>
      <w:bookmarkStart w:id="82" w:name="_Toc8195"/>
      <w:r>
        <w:rPr>
          <w:rFonts w:hint="eastAsia" w:ascii="宋体" w:hAnsi="宋体" w:cs="宋体"/>
          <w:color w:val="auto"/>
          <w:szCs w:val="21"/>
          <w:highlight w:val="none"/>
        </w:rPr>
        <w:t>6.1供应对政府采购活动事项有疑问的，可以向采购人提出询问。</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6.2供应商认为磋商文件使自己的合法权益受到损害的，应当在竞争性磋商公告期限届满之日起七个工作日内，以书面形式向采购代理机构（广西天罡工程项目管理有限公司）提出质疑。供应商认为采购过程或成交结果使自己的合法权益受到损害的，应当在各采购程序环节结束之日起七个工作日内，以书面形式向采购代理机构（广西天罡工程项目管理有限公司）提出质疑。采购代理机构应认真做好质疑处理工作。</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6.3供应商对采购代理机构的质疑答复不满意或者采购代理机构未在规定的时间内作出答复的，可以在答复期满后十五个工作日内向本级财政部门投诉。</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pPr>
        <w:tabs>
          <w:tab w:val="left" w:pos="2190"/>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6.5质疑联系方式详见公告。</w:t>
      </w:r>
    </w:p>
    <w:p>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6.6 投诉联系部门：</w:t>
      </w:r>
      <w:bookmarkEnd w:id="81"/>
      <w:bookmarkEnd w:id="82"/>
      <w:r>
        <w:rPr>
          <w:rFonts w:hint="eastAsia" w:ascii="宋体" w:hAnsi="宋体" w:cs="宋体"/>
          <w:color w:val="auto"/>
          <w:szCs w:val="21"/>
          <w:highlight w:val="none"/>
        </w:rPr>
        <w:t>桂林市政府采购管理办公室</w:t>
      </w:r>
      <w:r>
        <w:rPr>
          <w:rFonts w:hint="eastAsia" w:ascii="宋体" w:hAnsi="宋体" w:cs="宋体"/>
          <w:color w:val="auto"/>
          <w:kern w:val="0"/>
          <w:szCs w:val="21"/>
          <w:highlight w:val="none"/>
        </w:rPr>
        <w:t xml:space="preserve">   联系电话：</w:t>
      </w:r>
      <w:r>
        <w:rPr>
          <w:rFonts w:hint="eastAsia" w:ascii="宋体" w:hAnsi="宋体" w:cs="宋体"/>
          <w:color w:val="auto"/>
          <w:szCs w:val="21"/>
          <w:highlight w:val="none"/>
        </w:rPr>
        <w:t>0773-2862142</w:t>
      </w:r>
    </w:p>
    <w:p>
      <w:pPr>
        <w:pStyle w:val="46"/>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6.7 供应商在法定质疑期内应当一次性提出针对同一采购程序环节的质疑。</w:t>
      </w:r>
    </w:p>
    <w:p>
      <w:pPr>
        <w:pStyle w:val="46"/>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6.8 不在法定质疑期内提出的质疑函可以拒收。不符合要求的质疑函在法定质疑期内及时补充完整，否则作质疑不成立处理。</w:t>
      </w:r>
    </w:p>
    <w:p>
      <w:pPr>
        <w:pStyle w:val="4"/>
        <w:spacing w:line="360" w:lineRule="auto"/>
        <w:ind w:firstLine="422" w:firstLineChars="200"/>
        <w:rPr>
          <w:rFonts w:ascii="宋体" w:hAnsi="宋体" w:cs="宋体"/>
          <w:color w:val="auto"/>
          <w:sz w:val="21"/>
          <w:szCs w:val="21"/>
          <w:highlight w:val="none"/>
        </w:rPr>
      </w:pPr>
      <w:bookmarkStart w:id="83" w:name="_Toc6998"/>
      <w:bookmarkStart w:id="84" w:name="_Toc13910"/>
      <w:r>
        <w:rPr>
          <w:rFonts w:hint="eastAsia" w:ascii="宋体" w:hAnsi="宋体" w:cs="宋体"/>
          <w:color w:val="auto"/>
          <w:sz w:val="21"/>
          <w:szCs w:val="21"/>
          <w:highlight w:val="none"/>
        </w:rPr>
        <w:t>7. 转包与分包</w:t>
      </w:r>
      <w:bookmarkEnd w:id="83"/>
      <w:bookmarkEnd w:id="84"/>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7.1 本项目不允许转包。</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7.2 本项目不可以分包。</w:t>
      </w:r>
    </w:p>
    <w:p>
      <w:pPr>
        <w:pStyle w:val="4"/>
        <w:spacing w:line="360" w:lineRule="auto"/>
        <w:ind w:firstLine="422" w:firstLineChars="200"/>
        <w:rPr>
          <w:rFonts w:ascii="宋体" w:hAnsi="宋体" w:cs="宋体"/>
          <w:color w:val="auto"/>
          <w:sz w:val="21"/>
          <w:szCs w:val="21"/>
          <w:highlight w:val="none"/>
        </w:rPr>
      </w:pPr>
      <w:bookmarkStart w:id="85" w:name="_Toc9415"/>
      <w:bookmarkStart w:id="86" w:name="_Toc3368"/>
      <w:r>
        <w:rPr>
          <w:rFonts w:hint="eastAsia" w:ascii="宋体" w:hAnsi="宋体" w:cs="宋体"/>
          <w:color w:val="auto"/>
          <w:sz w:val="21"/>
          <w:szCs w:val="21"/>
          <w:highlight w:val="none"/>
        </w:rPr>
        <w:t>8. 特别说明</w:t>
      </w:r>
      <w:bookmarkEnd w:id="85"/>
      <w:bookmarkEnd w:id="86"/>
    </w:p>
    <w:p>
      <w:pPr>
        <w:tabs>
          <w:tab w:val="left" w:pos="1635"/>
        </w:tabs>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8.1关联供应商不得参加同一合同项下政府采购活动，否则响应文件将被视为无效：</w:t>
      </w:r>
    </w:p>
    <w:p>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（1）单位负责人为同一人或者存在直接控股、管理关系的，不得参加同一合同项下的政府采购活动。</w:t>
      </w:r>
    </w:p>
    <w:p>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pPr>
        <w:tabs>
          <w:tab w:val="left" w:pos="1635"/>
        </w:tabs>
        <w:spacing w:line="360" w:lineRule="exact"/>
        <w:ind w:firstLine="435"/>
        <w:rPr>
          <w:rFonts w:ascii="宋体" w:hAnsi="宋体" w:cs="宋体"/>
          <w:b/>
          <w:bCs/>
          <w:color w:val="auto"/>
          <w:szCs w:val="21"/>
          <w:highlight w:val="none"/>
        </w:rPr>
      </w:pPr>
      <w:r>
        <w:rPr>
          <w:rFonts w:hint="eastAsia" w:ascii="宋体" w:hAnsi="宋体" w:cs="宋体"/>
          <w:b/>
          <w:color w:val="auto"/>
          <w:szCs w:val="21"/>
          <w:highlight w:val="none"/>
        </w:rPr>
        <w:t>8.2</w:t>
      </w:r>
      <w:r>
        <w:rPr>
          <w:rFonts w:hint="eastAsia" w:ascii="宋体" w:hAnsi="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pPr>
        <w:pStyle w:val="9"/>
        <w:rPr>
          <w:rFonts w:ascii="宋体" w:hAnsi="宋体" w:cs="宋体"/>
          <w:color w:val="auto"/>
          <w:highlight w:val="none"/>
        </w:rPr>
      </w:pPr>
    </w:p>
    <w:p>
      <w:pPr>
        <w:pStyle w:val="2"/>
        <w:jc w:val="center"/>
        <w:rPr>
          <w:rFonts w:ascii="宋体" w:hAnsi="宋体" w:cs="宋体"/>
          <w:b/>
          <w:bCs w:val="0"/>
          <w:color w:val="auto"/>
          <w:szCs w:val="28"/>
          <w:highlight w:val="none"/>
        </w:rPr>
      </w:pPr>
      <w:bookmarkStart w:id="87" w:name="_Toc8933"/>
      <w:bookmarkStart w:id="88" w:name="_Toc22498"/>
      <w:r>
        <w:rPr>
          <w:rFonts w:hint="eastAsia" w:ascii="宋体" w:hAnsi="宋体" w:cs="宋体"/>
          <w:b/>
          <w:bCs w:val="0"/>
          <w:color w:val="auto"/>
          <w:szCs w:val="28"/>
          <w:highlight w:val="none"/>
        </w:rPr>
        <w:t>二、磋商文件</w:t>
      </w:r>
      <w:bookmarkEnd w:id="87"/>
      <w:bookmarkEnd w:id="88"/>
    </w:p>
    <w:p>
      <w:pPr>
        <w:pStyle w:val="4"/>
        <w:spacing w:line="360" w:lineRule="auto"/>
        <w:ind w:firstLine="422" w:firstLineChars="200"/>
        <w:rPr>
          <w:rFonts w:ascii="宋体" w:hAnsi="宋体" w:cs="宋体"/>
          <w:color w:val="auto"/>
          <w:sz w:val="21"/>
          <w:szCs w:val="21"/>
          <w:highlight w:val="none"/>
          <w:lang w:val="pt-BR"/>
        </w:rPr>
      </w:pPr>
      <w:bookmarkStart w:id="89" w:name="_Toc18964"/>
      <w:bookmarkStart w:id="90" w:name="_Toc20523"/>
      <w:r>
        <w:rPr>
          <w:rFonts w:hint="eastAsia" w:ascii="宋体" w:hAnsi="宋体" w:cs="宋体"/>
          <w:color w:val="auto"/>
          <w:sz w:val="21"/>
          <w:szCs w:val="21"/>
          <w:highlight w:val="none"/>
          <w:lang w:val="pt-BR"/>
        </w:rPr>
        <w:t xml:space="preserve">9. </w:t>
      </w:r>
      <w:r>
        <w:rPr>
          <w:rFonts w:hint="eastAsia" w:ascii="宋体" w:hAnsi="宋体" w:cs="宋体"/>
          <w:color w:val="auto"/>
          <w:sz w:val="21"/>
          <w:szCs w:val="21"/>
          <w:highlight w:val="none"/>
        </w:rPr>
        <w:t>磋商文件的构成</w:t>
      </w:r>
      <w:bookmarkEnd w:id="89"/>
      <w:bookmarkEnd w:id="9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（1）竞争性磋商公告；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（2）供应商须知；</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（3）采购需求</w:t>
      </w:r>
      <w:r>
        <w:rPr>
          <w:rFonts w:hint="eastAsia" w:ascii="宋体" w:hAnsi="宋体" w:cs="宋体"/>
          <w:bCs/>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（6）响应文件（格式）。</w:t>
      </w:r>
    </w:p>
    <w:p>
      <w:pPr>
        <w:pStyle w:val="4"/>
        <w:spacing w:line="360" w:lineRule="auto"/>
        <w:ind w:firstLine="422" w:firstLineChars="200"/>
        <w:rPr>
          <w:rFonts w:ascii="宋体" w:hAnsi="宋体" w:cs="宋体"/>
          <w:color w:val="auto"/>
          <w:sz w:val="21"/>
          <w:szCs w:val="21"/>
          <w:highlight w:val="none"/>
        </w:rPr>
      </w:pPr>
      <w:bookmarkStart w:id="91" w:name="_Toc9103"/>
      <w:bookmarkStart w:id="92" w:name="_Toc1452"/>
      <w:r>
        <w:rPr>
          <w:rFonts w:hint="eastAsia" w:ascii="宋体" w:hAnsi="宋体" w:cs="宋体"/>
          <w:color w:val="auto"/>
          <w:sz w:val="21"/>
          <w:szCs w:val="21"/>
          <w:highlight w:val="none"/>
        </w:rPr>
        <w:t>10. 磋商文件的澄清与修改</w:t>
      </w:r>
      <w:bookmarkEnd w:id="91"/>
      <w:bookmarkEnd w:id="92"/>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10.1 提交首次响应文件截止之日前，采购代理机构可以对已发出的磋商文件进行必要澄清、答复、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pPr>
        <w:spacing w:line="360" w:lineRule="auto"/>
        <w:ind w:left="420" w:leftChars="200"/>
        <w:jc w:val="left"/>
        <w:rPr>
          <w:rFonts w:ascii="宋体" w:hAnsi="宋体" w:cs="宋体"/>
          <w:b/>
          <w:bCs/>
          <w:color w:val="auto"/>
          <w:szCs w:val="21"/>
          <w:highlight w:val="none"/>
        </w:rPr>
      </w:pPr>
      <w:r>
        <w:rPr>
          <w:rFonts w:hint="eastAsia" w:ascii="宋体" w:hAnsi="宋体" w:cs="宋体"/>
          <w:color w:val="auto"/>
          <w:szCs w:val="21"/>
          <w:highlight w:val="none"/>
        </w:rPr>
        <w:t>10.2</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10.3澄清或者修改的内容为磋商文件的组成部分。当澄清或者修改通知就同一内容的表述不一致时，以最后发出的文件为准。</w:t>
      </w:r>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10.4 磋商文件的澄清或者修改都应该通过本项目采购代理机构以法定形式发布，采购人非通过本机构，不得擅自澄清或者修改磋商文件。</w:t>
      </w:r>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10.5采购单位可以视采购具体情况，延长响应文件截止时间和磋商时间，在本项目竞争性磋商公告发布的同一媒体上发布变更公告。</w:t>
      </w:r>
    </w:p>
    <w:p>
      <w:pPr>
        <w:pStyle w:val="46"/>
        <w:rPr>
          <w:rFonts w:ascii="宋体" w:hAnsi="宋体" w:cs="宋体"/>
          <w:color w:val="auto"/>
          <w:highlight w:val="none"/>
        </w:rPr>
      </w:pPr>
    </w:p>
    <w:p>
      <w:pPr>
        <w:pStyle w:val="2"/>
        <w:jc w:val="center"/>
        <w:rPr>
          <w:rFonts w:ascii="宋体" w:hAnsi="宋体" w:cs="宋体"/>
          <w:b/>
          <w:bCs w:val="0"/>
          <w:color w:val="auto"/>
          <w:szCs w:val="28"/>
          <w:highlight w:val="none"/>
        </w:rPr>
      </w:pPr>
      <w:bookmarkStart w:id="93" w:name="_Toc20641"/>
      <w:bookmarkStart w:id="94" w:name="_Toc20830"/>
      <w:r>
        <w:rPr>
          <w:rFonts w:hint="eastAsia" w:ascii="宋体" w:hAnsi="宋体" w:cs="宋体"/>
          <w:b/>
          <w:bCs w:val="0"/>
          <w:color w:val="auto"/>
          <w:szCs w:val="28"/>
          <w:highlight w:val="none"/>
        </w:rPr>
        <w:t>三、竞争性磋商响应文件的编制</w:t>
      </w:r>
      <w:bookmarkEnd w:id="93"/>
      <w:bookmarkEnd w:id="94"/>
    </w:p>
    <w:p>
      <w:pPr>
        <w:pStyle w:val="4"/>
        <w:spacing w:line="360" w:lineRule="auto"/>
        <w:ind w:firstLine="422" w:firstLineChars="200"/>
        <w:rPr>
          <w:rFonts w:ascii="宋体" w:hAnsi="宋体" w:cs="宋体"/>
          <w:color w:val="auto"/>
          <w:sz w:val="21"/>
          <w:szCs w:val="21"/>
          <w:highlight w:val="none"/>
        </w:rPr>
      </w:pPr>
      <w:bookmarkStart w:id="95" w:name="_Toc772"/>
      <w:r>
        <w:rPr>
          <w:rFonts w:hint="eastAsia" w:ascii="宋体" w:hAnsi="宋体" w:cs="宋体"/>
          <w:color w:val="auto"/>
          <w:sz w:val="21"/>
          <w:szCs w:val="21"/>
          <w:highlight w:val="none"/>
        </w:rPr>
        <w:t>11.竞争性磋商响应文件编制基本要求</w:t>
      </w:r>
      <w:bookmarkEnd w:id="95"/>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11.1 本项目实行电子投标，供应商应准备电子磋商响应文件：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11.1.1 电子响应文件按广西政府采购云平台要求及本磋商文件要求制作、加密并递交。具体操作流程可参考《政府采购项目电子交易管理操作指南-供应商》，指南可在 “http://www.ccgp-guangxi.gov.cn/PurchaseAdvisory/ImportantNotice/2866753.html”下载。 </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11.2竞争性磋商响应文件（以下简称响应文件）的组成及要求</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11.2.1响应文件组成【格式见第六章“响应文件（格式）”】</w:t>
      </w:r>
    </w:p>
    <w:p>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11.2.1.1资格性响应证明材料：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①如供应商为截标时间前60日以内成立的公司，可以提供供应商与委托代理人签订的劳动合同复印件代替社保证明复印件；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②如供应商为事业单位，可以提供事业单位机构编制管理证复印件或事业单位机构为其发放工资的工资条复印件代替社保证明复印件；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③如委托代理人为免缴纳社保人员，提供免缴纳社保的证明材料复印件及供应商与委托代理人签订的劳动合同复印件代替社保证明复印件。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Cs w:val="21"/>
          <w:highlight w:val="none"/>
        </w:rPr>
        <w:t>】</w:t>
      </w:r>
      <w:r>
        <w:rPr>
          <w:rFonts w:hint="eastAsia" w:ascii="宋体" w:hAnsi="宋体" w:cs="宋体"/>
          <w:b/>
          <w:bCs/>
          <w:color w:val="auto"/>
          <w:szCs w:val="21"/>
          <w:highlight w:val="none"/>
        </w:rPr>
        <w:t>（委托代理时必须提供；如为联合体的，授权委托书原件须由牵头人出具）</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pPr>
        <w:numPr>
          <w:ilvl w:val="0"/>
          <w:numId w:val="3"/>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供应商的法人或者其他组织营业执照等证明文件复印件</w:t>
      </w:r>
      <w:r>
        <w:rPr>
          <w:rFonts w:hint="eastAsia" w:ascii="宋体" w:hAnsi="宋体" w:cs="宋体"/>
          <w:b/>
          <w:bCs/>
          <w:color w:val="auto"/>
          <w:szCs w:val="21"/>
          <w:highlight w:val="none"/>
        </w:rPr>
        <w:t>（必须提供，自然人除外）；</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numPr>
          <w:ilvl w:val="0"/>
          <w:numId w:val="0"/>
        </w:numPr>
        <w:spacing w:line="420" w:lineRule="exact"/>
        <w:ind w:leftChars="200"/>
        <w:rPr>
          <w:rFonts w:hint="eastAsia" w:ascii="宋体" w:hAnsi="宋体" w:eastAsia="宋体" w:cs="Times New Roman"/>
          <w:b/>
          <w:bCs/>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5</w:t>
      </w:r>
      <w:r>
        <w:rPr>
          <w:rFonts w:hint="eastAsia" w:ascii="宋体" w:hAnsi="宋体" w:eastAsia="宋体" w:cs="Times New Roman"/>
          <w:color w:val="auto"/>
          <w:highlight w:val="none"/>
          <w:lang w:eastAsia="zh-CN"/>
        </w:rPr>
        <w:t>）</w:t>
      </w:r>
      <w:r>
        <w:rPr>
          <w:rFonts w:hint="eastAsia" w:ascii="宋体" w:hAnsi="宋体" w:cs="Times New Roman"/>
          <w:color w:val="auto"/>
          <w:highlight w:val="none"/>
          <w:lang w:eastAsia="zh-CN"/>
        </w:rPr>
        <w:t>供应商</w:t>
      </w:r>
      <w:r>
        <w:rPr>
          <w:rFonts w:hint="eastAsia" w:ascii="宋体" w:hAnsi="宋体" w:eastAsia="宋体" w:cs="Times New Roman"/>
          <w:color w:val="auto"/>
          <w:highlight w:val="none"/>
          <w:lang w:eastAsia="zh-CN"/>
        </w:rPr>
        <w:t>为</w:t>
      </w:r>
      <w:r>
        <w:rPr>
          <w:rFonts w:hint="eastAsia" w:ascii="宋体" w:hAnsi="宋体" w:cs="Times New Roman"/>
          <w:color w:val="auto"/>
          <w:highlight w:val="none"/>
          <w:lang w:eastAsia="zh-CN"/>
        </w:rPr>
        <w:t>中</w:t>
      </w:r>
      <w:r>
        <w:rPr>
          <w:rFonts w:hint="eastAsia" w:ascii="宋体" w:hAnsi="宋体" w:eastAsia="宋体" w:cs="Times New Roman"/>
          <w:color w:val="auto"/>
          <w:highlight w:val="none"/>
          <w:lang w:eastAsia="zh-CN"/>
        </w:rPr>
        <w:t>小微企业</w:t>
      </w:r>
      <w:r>
        <w:rPr>
          <w:rFonts w:hint="eastAsia" w:ascii="宋体" w:hAnsi="宋体" w:eastAsia="宋体" w:cs="Times New Roman"/>
          <w:color w:val="auto"/>
          <w:highlight w:val="none"/>
        </w:rPr>
        <w:t>或监狱企业或残疾人福利性单位的证明材料</w:t>
      </w:r>
      <w:r>
        <w:rPr>
          <w:rFonts w:hint="eastAsia" w:ascii="宋体" w:hAnsi="宋体" w:eastAsia="宋体" w:cs="Times New Roman"/>
          <w:b/>
          <w:bCs/>
          <w:color w:val="auto"/>
          <w:highlight w:val="none"/>
        </w:rPr>
        <w:t>（</w:t>
      </w:r>
      <w:r>
        <w:rPr>
          <w:rFonts w:hint="eastAsia" w:ascii="宋体" w:hAnsi="宋体" w:cs="宋体"/>
          <w:b/>
          <w:bCs/>
          <w:color w:val="auto"/>
          <w:szCs w:val="21"/>
          <w:highlight w:val="none"/>
        </w:rPr>
        <w:t>必须提供以下材料之一</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①中小企业声明函（供应商为</w:t>
      </w:r>
      <w:r>
        <w:rPr>
          <w:rFonts w:hint="eastAsia" w:ascii="宋体" w:hAnsi="宋体" w:cs="宋体"/>
          <w:color w:val="auto"/>
          <w:szCs w:val="21"/>
          <w:highlight w:val="none"/>
          <w:lang w:eastAsia="zh-CN"/>
        </w:rPr>
        <w:t>中</w:t>
      </w:r>
      <w:r>
        <w:rPr>
          <w:rFonts w:hint="eastAsia" w:ascii="宋体" w:hAnsi="宋体" w:cs="宋体"/>
          <w:color w:val="auto"/>
          <w:szCs w:val="21"/>
          <w:highlight w:val="none"/>
        </w:rPr>
        <w:t>小微型企业的，应当提供《中小企业声明函》（格式见附件），并对声明函的真实性负责，成交结果将同时公告企业《中小企业声明函》，接受社会监督）；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②监狱企业的证明文件[供应商为监狱企业的，应当提供由省级以上监狱管理局、戒毒管理局（含新疆生产建设兵团）出具的属于监狱企业的证明文件，接受社会监督]；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pPr>
        <w:pStyle w:val="2"/>
        <w:rPr>
          <w:rFonts w:hint="eastAsia" w:ascii="宋体" w:hAnsi="宋体" w:cs="宋体"/>
          <w:bCs w:val="0"/>
          <w:color w:val="auto"/>
          <w:sz w:val="21"/>
          <w:szCs w:val="21"/>
          <w:highlight w:val="none"/>
          <w:lang w:val="en-US"/>
        </w:rPr>
      </w:pPr>
      <w:r>
        <w:rPr>
          <w:rFonts w:hint="eastAsia" w:ascii="宋体" w:hAnsi="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lang w:val="en-US" w:eastAsia="zh-CN"/>
        </w:rPr>
        <w:t>（</w:t>
      </w:r>
      <w:r>
        <w:rPr>
          <w:rFonts w:hint="eastAsia" w:ascii="宋体" w:hAnsi="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lang w:val="en-US" w:eastAsia="zh-CN"/>
        </w:rPr>
        <w:t>）</w:t>
      </w:r>
      <w:r>
        <w:rPr>
          <w:rFonts w:hint="eastAsia" w:ascii="宋体" w:hAnsi="宋体" w:cs="宋体"/>
          <w:bCs w:val="0"/>
          <w:color w:val="auto"/>
          <w:sz w:val="21"/>
          <w:szCs w:val="21"/>
          <w:highlight w:val="none"/>
          <w:lang w:val="en-US" w:eastAsia="zh-CN"/>
        </w:rPr>
        <w:t>供应商须提供有效的保安服务许可证和劳务派遣经营许可证</w:t>
      </w:r>
      <w:r>
        <w:rPr>
          <w:rFonts w:hint="eastAsia" w:ascii="宋体" w:hAnsi="宋体" w:cs="宋体"/>
          <w:b/>
          <w:color w:val="auto"/>
          <w:sz w:val="21"/>
          <w:szCs w:val="21"/>
          <w:highlight w:val="none"/>
          <w:lang w:val="en-US"/>
        </w:rPr>
        <w:t>（必须提供）</w:t>
      </w:r>
      <w:r>
        <w:rPr>
          <w:rFonts w:hint="eastAsia" w:ascii="宋体" w:hAnsi="宋体" w:cs="宋体"/>
          <w:b/>
          <w:color w:val="auto"/>
          <w:sz w:val="21"/>
          <w:szCs w:val="21"/>
          <w:highlight w:val="none"/>
          <w:lang w:val="en-US" w:eastAsia="zh-CN"/>
        </w:rPr>
        <w:t>。</w:t>
      </w:r>
    </w:p>
    <w:p>
      <w:pPr>
        <w:pStyle w:val="21"/>
        <w:rPr>
          <w:color w:val="auto"/>
          <w:highlight w:val="none"/>
        </w:rPr>
      </w:pPr>
    </w:p>
    <w:p>
      <w:pPr>
        <w:pStyle w:val="10"/>
        <w:ind w:left="0" w:leftChars="0" w:firstLine="422"/>
        <w:rPr>
          <w:rFonts w:ascii="宋体" w:hAnsi="宋体" w:cs="宋体"/>
          <w:color w:val="auto"/>
          <w:highlight w:val="none"/>
        </w:rPr>
      </w:pPr>
      <w:r>
        <w:rPr>
          <w:rFonts w:hint="eastAsia" w:ascii="宋体" w:hAnsi="宋体" w:cs="宋体"/>
          <w:b/>
          <w:bCs/>
          <w:color w:val="auto"/>
          <w:szCs w:val="21"/>
          <w:highlight w:val="none"/>
        </w:rPr>
        <w:t>11.2.1.2符合性响应证明材料：</w:t>
      </w:r>
    </w:p>
    <w:p>
      <w:pPr>
        <w:pStyle w:val="2"/>
        <w:ind w:leftChars="200" w:hanging="147" w:hangingChars="70"/>
        <w:rPr>
          <w:rFonts w:ascii="宋体" w:hAnsi="宋体" w:cs="宋体"/>
          <w:color w:val="auto"/>
          <w:szCs w:val="21"/>
          <w:highlight w:val="none"/>
        </w:rPr>
      </w:pPr>
      <w:bookmarkStart w:id="96" w:name="_Toc16312"/>
      <w:bookmarkStart w:id="97" w:name="_Toc28932"/>
      <w:bookmarkStart w:id="98" w:name="_Toc2809"/>
      <w:r>
        <w:rPr>
          <w:rFonts w:hint="eastAsia" w:ascii="宋体" w:hAnsi="宋体" w:cs="宋体"/>
          <w:bCs w:val="0"/>
          <w:color w:val="auto"/>
          <w:sz w:val="21"/>
          <w:szCs w:val="21"/>
          <w:highlight w:val="none"/>
          <w:lang w:val="en-US"/>
        </w:rPr>
        <w:t>（1）响应函（格式见附件）</w:t>
      </w:r>
      <w:r>
        <w:rPr>
          <w:rFonts w:hint="eastAsia" w:ascii="宋体" w:hAnsi="宋体" w:cs="宋体"/>
          <w:b/>
          <w:color w:val="auto"/>
          <w:sz w:val="21"/>
          <w:szCs w:val="21"/>
          <w:highlight w:val="none"/>
          <w:lang w:val="en-US"/>
        </w:rPr>
        <w:t>（必须提供）</w:t>
      </w:r>
      <w:bookmarkEnd w:id="96"/>
      <w:r>
        <w:rPr>
          <w:rFonts w:hint="eastAsia" w:ascii="宋体" w:hAnsi="宋体" w:cs="宋体"/>
          <w:b/>
          <w:color w:val="auto"/>
          <w:sz w:val="21"/>
          <w:szCs w:val="21"/>
          <w:highlight w:val="none"/>
          <w:lang w:val="en-US"/>
        </w:rPr>
        <w:t>；</w:t>
      </w:r>
      <w:bookmarkEnd w:id="97"/>
      <w:bookmarkEnd w:id="98"/>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pPr>
        <w:ind w:firstLine="420" w:firstLineChars="200"/>
        <w:rPr>
          <w:rFonts w:ascii="宋体" w:hAnsi="宋体" w:cs="宋体"/>
          <w:b/>
          <w:bCs/>
          <w:color w:val="auto"/>
          <w:szCs w:val="21"/>
          <w:highlight w:val="none"/>
        </w:rPr>
      </w:pPr>
      <w:r>
        <w:rPr>
          <w:rFonts w:hint="eastAsia" w:ascii="宋体" w:hAnsi="宋体" w:cs="宋体"/>
          <w:color w:val="auto"/>
          <w:szCs w:val="21"/>
          <w:highlight w:val="none"/>
        </w:rPr>
        <w:t>（3）采购需求响应说明表（格式见附件）</w:t>
      </w:r>
      <w:r>
        <w:rPr>
          <w:rFonts w:hint="eastAsia" w:ascii="宋体" w:hAnsi="宋体" w:cs="宋体"/>
          <w:b/>
          <w:bCs/>
          <w:color w:val="auto"/>
          <w:szCs w:val="21"/>
          <w:highlight w:val="none"/>
        </w:rPr>
        <w:t>(必须提供)；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服务承诺书</w:t>
      </w:r>
      <w:r>
        <w:rPr>
          <w:rFonts w:hint="eastAsia" w:ascii="宋体" w:hAnsi="宋体" w:cs="宋体"/>
          <w:color w:val="auto"/>
          <w:szCs w:val="21"/>
          <w:highlight w:val="none"/>
        </w:rPr>
        <w:t>（格式见附件）</w:t>
      </w:r>
      <w:r>
        <w:rPr>
          <w:rFonts w:hint="eastAsia" w:ascii="宋体" w:hAnsi="宋体" w:cs="宋体"/>
          <w:b/>
          <w:bCs/>
          <w:color w:val="auto"/>
          <w:szCs w:val="21"/>
          <w:highlight w:val="none"/>
        </w:rPr>
        <w:t>（必须提供）。</w:t>
      </w:r>
    </w:p>
    <w:p>
      <w:pPr>
        <w:pStyle w:val="10"/>
        <w:ind w:left="0" w:leftChars="0" w:firstLine="422"/>
        <w:rPr>
          <w:rFonts w:ascii="宋体" w:hAnsi="宋体" w:cs="宋体"/>
          <w:b/>
          <w:bCs/>
          <w:color w:val="auto"/>
          <w:szCs w:val="21"/>
          <w:highlight w:val="none"/>
        </w:rPr>
      </w:pPr>
      <w:r>
        <w:rPr>
          <w:rFonts w:hint="eastAsia" w:ascii="宋体" w:hAnsi="宋体" w:cs="宋体"/>
          <w:b/>
          <w:bCs/>
          <w:color w:val="auto"/>
          <w:szCs w:val="21"/>
          <w:highlight w:val="none"/>
        </w:rPr>
        <w:t>11.2.1.3其他有效证明材料</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（1）项目实施人员一览表（格式见附件）</w:t>
      </w:r>
      <w:r>
        <w:rPr>
          <w:rFonts w:hint="eastAsia" w:ascii="宋体" w:hAnsi="宋体" w:cs="宋体"/>
          <w:b/>
          <w:bCs/>
          <w:color w:val="auto"/>
          <w:szCs w:val="21"/>
          <w:highlight w:val="none"/>
        </w:rPr>
        <w:t>（如有，请提供）；</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（2）“采购需求”需提供的有效证明文件</w:t>
      </w:r>
      <w:r>
        <w:rPr>
          <w:rFonts w:hint="eastAsia" w:ascii="宋体" w:hAnsi="宋体" w:cs="宋体"/>
          <w:b/>
          <w:bCs/>
          <w:color w:val="auto"/>
          <w:szCs w:val="21"/>
          <w:highlight w:val="none"/>
        </w:rPr>
        <w:t>（如有，请提供）；</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供应商2022年1月1日以来</w:t>
      </w:r>
      <w:r>
        <w:rPr>
          <w:rFonts w:hint="eastAsia" w:ascii="宋体" w:hAnsi="宋体" w:cs="宋体"/>
          <w:color w:val="auto"/>
          <w:szCs w:val="21"/>
          <w:highlight w:val="none"/>
        </w:rPr>
        <w:t>具有同类项目的业绩相关证明材料（无不良记录，以中标、成交通知书或签订的合同为准，并能清晰反映项目的名称、采购内容、采购金额、采购时间）</w:t>
      </w:r>
      <w:r>
        <w:rPr>
          <w:rFonts w:hint="eastAsia" w:ascii="宋体" w:hAnsi="宋体" w:cs="宋体"/>
          <w:b/>
          <w:bCs/>
          <w:color w:val="auto"/>
          <w:szCs w:val="21"/>
          <w:highlight w:val="none"/>
        </w:rPr>
        <w:t>（如有，请提供）；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（4）供应商可结合本项目的评审办法视自身情况自行提交其它相关证明材料。</w:t>
      </w:r>
    </w:p>
    <w:p>
      <w:pPr>
        <w:spacing w:line="400" w:lineRule="exact"/>
        <w:ind w:firstLine="420"/>
        <w:rPr>
          <w:rFonts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提供的以上相关证明材料属于“必须提供”的文件应加盖磋商供应商CA证书签章/自然人签字或个人CA证书签章，否则响应无效。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供应商应按竞争性磋商文件第六章“响应文件（格式）”编制响应文件。</w:t>
      </w:r>
    </w:p>
    <w:p>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w:t>
      </w:r>
    </w:p>
    <w:p>
      <w:p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（1）响</w:t>
      </w:r>
      <w:r>
        <w:rPr>
          <w:rFonts w:hint="eastAsia" w:ascii="宋体" w:hAnsi="宋体" w:cs="宋体"/>
          <w:b/>
          <w:color w:val="auto"/>
          <w:szCs w:val="21"/>
          <w:highlight w:val="none"/>
        </w:rPr>
        <w:t>应文件（电子响应文件），其中电子响应文件中所须加盖公章部分均采用CA证书签章。若磋商文件中有专门标注的某关联点，并要求供应商在电子投标系统中作出磋商响应的，如供应商未对关联点进行响应或者在响应文件其它内容进行描述，造成电子评审不能查询的责任由供应商自行承担。</w:t>
      </w:r>
    </w:p>
    <w:p>
      <w:pPr>
        <w:numPr>
          <w:ilvl w:val="0"/>
          <w:numId w:val="4"/>
        </w:numPr>
        <w:spacing w:line="36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磋商文件要求法定代表人（负责人）或委托代理人签字的部分必须签字然后扫描或者拍照做成 pdf 格式上传（或加盖个人CA证书签章），无签字的视为响应无效。</w:t>
      </w:r>
    </w:p>
    <w:p>
      <w:pPr>
        <w:pStyle w:val="4"/>
        <w:spacing w:line="360" w:lineRule="auto"/>
        <w:ind w:firstLine="422" w:firstLineChars="200"/>
        <w:rPr>
          <w:rFonts w:ascii="宋体" w:hAnsi="宋体" w:cs="宋体"/>
          <w:color w:val="auto"/>
          <w:sz w:val="21"/>
          <w:szCs w:val="21"/>
          <w:highlight w:val="none"/>
        </w:rPr>
      </w:pPr>
      <w:bookmarkStart w:id="99" w:name="_Toc2180"/>
      <w:bookmarkStart w:id="100" w:name="_Toc6845"/>
      <w:r>
        <w:rPr>
          <w:rFonts w:hint="eastAsia" w:ascii="宋体" w:hAnsi="宋体" w:cs="宋体"/>
          <w:color w:val="auto"/>
          <w:sz w:val="21"/>
          <w:szCs w:val="21"/>
          <w:highlight w:val="none"/>
        </w:rPr>
        <w:t>12. 响应文件的语言及计量</w:t>
      </w:r>
      <w:bookmarkEnd w:id="99"/>
      <w:bookmarkEnd w:id="10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pPr>
        <w:pStyle w:val="4"/>
        <w:spacing w:line="360" w:lineRule="auto"/>
        <w:ind w:firstLine="422" w:firstLineChars="200"/>
        <w:rPr>
          <w:rFonts w:ascii="宋体" w:hAnsi="宋体" w:cs="宋体"/>
          <w:color w:val="auto"/>
          <w:sz w:val="21"/>
          <w:szCs w:val="21"/>
          <w:highlight w:val="none"/>
        </w:rPr>
      </w:pPr>
      <w:bookmarkStart w:id="101" w:name="_Toc10838"/>
      <w:bookmarkStart w:id="102" w:name="_Toc30930"/>
      <w:r>
        <w:rPr>
          <w:rFonts w:hint="eastAsia" w:ascii="宋体" w:hAnsi="宋体" w:cs="宋体"/>
          <w:color w:val="auto"/>
          <w:sz w:val="21"/>
          <w:szCs w:val="21"/>
          <w:highlight w:val="none"/>
        </w:rPr>
        <w:t>13. 磋商报价及采购预算金额</w:t>
      </w:r>
      <w:bookmarkEnd w:id="101"/>
      <w:bookmarkEnd w:id="10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磋商报价应按磋商文件中相关附表格式填写。采购预算金额（人民币）：</w:t>
      </w:r>
      <w:r>
        <w:rPr>
          <w:rFonts w:hint="eastAsia" w:ascii="宋体" w:hAnsi="宋体" w:cs="宋体"/>
          <w:b/>
          <w:bCs w:val="0"/>
          <w:color w:val="auto"/>
          <w:szCs w:val="21"/>
          <w:highlight w:val="none"/>
          <w:lang w:val="en-US" w:eastAsia="zh-CN"/>
        </w:rPr>
        <w:t>547200.00</w:t>
      </w:r>
      <w:r>
        <w:rPr>
          <w:rFonts w:hint="eastAsia" w:ascii="宋体" w:hAnsi="宋体" w:eastAsia="宋体" w:cs="宋体"/>
          <w:b/>
          <w:bCs w:val="0"/>
          <w:color w:val="auto"/>
          <w:szCs w:val="21"/>
          <w:highlight w:val="none"/>
        </w:rPr>
        <w:t>元</w:t>
      </w:r>
      <w:r>
        <w:rPr>
          <w:rFonts w:hint="eastAsia" w:ascii="宋体" w:hAnsi="宋体" w:eastAsia="宋体" w:cs="宋体"/>
          <w:b/>
          <w:bCs w:val="0"/>
          <w:color w:val="auto"/>
          <w:szCs w:val="21"/>
          <w:highlight w:val="none"/>
          <w:lang w:eastAsia="zh-CN"/>
        </w:rPr>
        <w:t>。</w:t>
      </w:r>
      <w:r>
        <w:rPr>
          <w:rFonts w:hint="eastAsia" w:ascii="宋体" w:hAnsi="宋体" w:cs="宋体"/>
          <w:color w:val="auto"/>
          <w:szCs w:val="21"/>
          <w:highlight w:val="none"/>
        </w:rPr>
        <w:t>报价超过采购预算金额的，响应文件按无效处理。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13.2供应商必须就“采购需求”中所竞所有内容作完整唯一报价，否则，其响应文件无效。响应文件只允许有一个报价，有选择的或有条件的报价将不予接受。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13.3 </w:t>
      </w:r>
      <w:r>
        <w:rPr>
          <w:rFonts w:hint="eastAsia" w:ascii="宋体" w:hAnsi="宋体" w:cs="宋体"/>
          <w:color w:val="auto"/>
          <w:spacing w:val="-6"/>
          <w:szCs w:val="21"/>
          <w:highlight w:val="none"/>
        </w:rPr>
        <w:t>磋商</w:t>
      </w:r>
      <w:r>
        <w:rPr>
          <w:rFonts w:hint="eastAsia" w:ascii="宋体" w:hAnsi="宋体" w:cs="宋体"/>
          <w:color w:val="auto"/>
          <w:szCs w:val="21"/>
          <w:highlight w:val="none"/>
        </w:rPr>
        <w:t>报价指本次招标采购范围内服务价款、保险、税金及其他所有成本费用的总和；供应商综合考虑在报价中。</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13.4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p>
    <w:p>
      <w:pPr>
        <w:pStyle w:val="4"/>
        <w:spacing w:line="360" w:lineRule="auto"/>
        <w:ind w:firstLine="422" w:firstLineChars="200"/>
        <w:rPr>
          <w:rFonts w:ascii="宋体" w:hAnsi="宋体" w:cs="宋体"/>
          <w:color w:val="auto"/>
          <w:sz w:val="21"/>
          <w:szCs w:val="21"/>
          <w:highlight w:val="none"/>
        </w:rPr>
      </w:pPr>
      <w:bookmarkStart w:id="103" w:name="_Toc26881"/>
      <w:bookmarkStart w:id="104" w:name="_Toc27015"/>
      <w:r>
        <w:rPr>
          <w:rFonts w:hint="eastAsia" w:ascii="宋体" w:hAnsi="宋体" w:cs="宋体"/>
          <w:color w:val="auto"/>
          <w:sz w:val="21"/>
          <w:szCs w:val="21"/>
          <w:highlight w:val="none"/>
        </w:rPr>
        <w:t>14. 响应文件有效期</w:t>
      </w:r>
      <w:bookmarkEnd w:id="103"/>
      <w:bookmarkEnd w:id="10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响应文件有效期：响应文件递交截止时间之日起90天，有效期不足的响应文件将被拒绝。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出现特殊情况下，需要延长响应文件有效期的，采购代理机构书面通知供应商延长响应文件有效期。供应商同意延长的，但不能修改响应文件。供应商拒绝延长的，其响应文件无效。</w:t>
      </w:r>
    </w:p>
    <w:p>
      <w:pPr>
        <w:pStyle w:val="4"/>
        <w:spacing w:line="360" w:lineRule="auto"/>
        <w:ind w:firstLine="422" w:firstLineChars="200"/>
        <w:rPr>
          <w:rFonts w:ascii="宋体" w:hAnsi="宋体" w:cs="宋体"/>
          <w:color w:val="auto"/>
          <w:sz w:val="21"/>
          <w:szCs w:val="21"/>
          <w:highlight w:val="none"/>
        </w:rPr>
      </w:pPr>
      <w:bookmarkStart w:id="105" w:name="_Toc22602"/>
      <w:bookmarkStart w:id="106" w:name="_Toc24706"/>
      <w:r>
        <w:rPr>
          <w:rFonts w:hint="eastAsia" w:ascii="宋体" w:hAnsi="宋体" w:cs="宋体"/>
          <w:color w:val="auto"/>
          <w:sz w:val="21"/>
          <w:szCs w:val="21"/>
          <w:highlight w:val="none"/>
        </w:rPr>
        <w:t>15. 保证金</w:t>
      </w:r>
      <w:bookmarkEnd w:id="105"/>
      <w:bookmarkEnd w:id="106"/>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本项目无需缴纳磋商保证金。</w:t>
      </w:r>
    </w:p>
    <w:p>
      <w:pPr>
        <w:pStyle w:val="4"/>
        <w:spacing w:line="360" w:lineRule="auto"/>
        <w:ind w:firstLine="422" w:firstLineChars="200"/>
        <w:rPr>
          <w:rFonts w:ascii="宋体" w:hAnsi="宋体" w:cs="宋体"/>
          <w:color w:val="auto"/>
          <w:sz w:val="21"/>
          <w:szCs w:val="21"/>
          <w:highlight w:val="none"/>
        </w:rPr>
      </w:pPr>
      <w:bookmarkStart w:id="107" w:name="_Toc387"/>
      <w:bookmarkStart w:id="108" w:name="_Toc8815"/>
      <w:r>
        <w:rPr>
          <w:rFonts w:hint="eastAsia" w:ascii="宋体" w:hAnsi="宋体" w:cs="宋体"/>
          <w:color w:val="auto"/>
          <w:sz w:val="21"/>
          <w:szCs w:val="21"/>
          <w:highlight w:val="none"/>
        </w:rPr>
        <w:t>16. 竞争性磋商响应文件的</w:t>
      </w:r>
      <w:bookmarkEnd w:id="107"/>
      <w:r>
        <w:rPr>
          <w:rFonts w:hint="eastAsia" w:ascii="宋体" w:hAnsi="宋体" w:cs="宋体"/>
          <w:color w:val="auto"/>
          <w:sz w:val="21"/>
          <w:szCs w:val="21"/>
          <w:highlight w:val="none"/>
        </w:rPr>
        <w:t>制作</w:t>
      </w:r>
      <w:bookmarkEnd w:id="10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证书签章，并根据“政府采购项目电子交易管理操作指南-供应商”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证书签章的，应在响应文件中涉及到签字的位置使用个人CA证书签章，没有办理政采云个人CA证书签章的可在响应文件中涉及到签字的位置手写签字后扫描或者拍照做成 PDF 的格式上传即可。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磋商响应文件不得涂改，若有修改错漏处，须法定代表人（负责人）或授权委托人签字（或个人CA证书签章）。磋商响应文件因字迹潦草或表达不清所引起的后果由供应商负责。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16.4磋商前准备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p>
      <w:pPr>
        <w:pStyle w:val="4"/>
        <w:spacing w:line="360" w:lineRule="auto"/>
        <w:ind w:firstLine="422" w:firstLineChars="200"/>
        <w:rPr>
          <w:rFonts w:ascii="宋体" w:hAnsi="宋体" w:cs="宋体"/>
          <w:color w:val="auto"/>
          <w:sz w:val="21"/>
          <w:szCs w:val="21"/>
          <w:highlight w:val="none"/>
        </w:rPr>
      </w:pPr>
      <w:bookmarkStart w:id="109" w:name="_Toc8570"/>
      <w:r>
        <w:rPr>
          <w:rFonts w:hint="eastAsia" w:ascii="宋体" w:hAnsi="宋体" w:cs="宋体"/>
          <w:color w:val="auto"/>
          <w:sz w:val="21"/>
          <w:szCs w:val="21"/>
          <w:highlight w:val="none"/>
        </w:rPr>
        <w:t>17. 响应文件的修改和撤回</w:t>
      </w:r>
      <w:bookmarkEnd w:id="10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在响应文件递交截止时间后的响应文件有效期内，供应商不得撤回其响应文件。</w:t>
      </w:r>
    </w:p>
    <w:p>
      <w:pPr>
        <w:pStyle w:val="4"/>
        <w:spacing w:line="360" w:lineRule="auto"/>
        <w:ind w:firstLine="422" w:firstLineChars="200"/>
        <w:rPr>
          <w:rFonts w:ascii="宋体" w:hAnsi="宋体" w:cs="宋体"/>
          <w:color w:val="auto"/>
          <w:sz w:val="21"/>
          <w:szCs w:val="21"/>
          <w:highlight w:val="none"/>
        </w:rPr>
      </w:pPr>
      <w:bookmarkStart w:id="110" w:name="_Toc30156"/>
      <w:bookmarkStart w:id="111" w:name="_Toc27030"/>
      <w:r>
        <w:rPr>
          <w:rFonts w:hint="eastAsia" w:ascii="宋体" w:hAnsi="宋体" w:cs="宋体"/>
          <w:color w:val="auto"/>
          <w:sz w:val="21"/>
          <w:szCs w:val="21"/>
          <w:highlight w:val="none"/>
        </w:rPr>
        <w:t>18. 响应文件的递交和解密</w:t>
      </w:r>
      <w:bookmarkEnd w:id="110"/>
      <w:bookmarkEnd w:id="11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18.1响应文件递交截止时间：于</w:t>
      </w:r>
      <w:r>
        <w:rPr>
          <w:rFonts w:hint="eastAsia" w:ascii="宋体" w:hAnsi="宋体" w:cs="宋体"/>
          <w:color w:val="auto"/>
          <w:szCs w:val="21"/>
          <w:highlight w:val="none"/>
          <w:u w:val="single"/>
          <w:lang w:eastAsia="zh-CN"/>
        </w:rPr>
        <w:t>2026年1月20日</w:t>
      </w:r>
      <w:r>
        <w:rPr>
          <w:rFonts w:hint="eastAsia" w:ascii="宋体" w:hAnsi="宋体" w:cs="宋体"/>
          <w:color w:val="auto"/>
          <w:szCs w:val="21"/>
          <w:highlight w:val="none"/>
          <w:u w:val="single"/>
        </w:rPr>
        <w:t>09时30分</w:t>
      </w:r>
      <w:r>
        <w:rPr>
          <w:rFonts w:hint="eastAsia" w:ascii="宋体" w:hAnsi="宋体" w:cs="宋体"/>
          <w:color w:val="auto"/>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2026年1月20日</w:t>
      </w:r>
      <w:r>
        <w:rPr>
          <w:rFonts w:hint="eastAsia" w:ascii="宋体" w:hAnsi="宋体" w:cs="宋体"/>
          <w:color w:val="auto"/>
          <w:szCs w:val="21"/>
          <w:highlight w:val="none"/>
          <w:u w:val="single"/>
        </w:rPr>
        <w:t>09时30分至10时00分</w:t>
      </w:r>
      <w:r>
        <w:rPr>
          <w:rFonts w:hint="eastAsia" w:ascii="宋体" w:hAnsi="宋体" w:cs="宋体"/>
          <w:color w:val="auto"/>
          <w:szCs w:val="21"/>
          <w:highlight w:val="none"/>
        </w:rPr>
        <w:t>)磋商供应商可以登录广西政府采购云平台，用“项目采购-开标评标”功能进行解密磋商文件。</w:t>
      </w:r>
      <w:r>
        <w:rPr>
          <w:rFonts w:ascii="宋体" w:hAnsi="宋体" w:cs="宋体"/>
          <w:b/>
          <w:bCs/>
          <w:color w:val="auto"/>
          <w:kern w:val="0"/>
          <w:szCs w:val="21"/>
          <w:highlight w:val="none"/>
        </w:rPr>
        <w:t>若供应商在上述规定的时间内无法解密或解密失败的，视为供应商放弃</w:t>
      </w:r>
      <w:r>
        <w:rPr>
          <w:rFonts w:hint="eastAsia" w:ascii="宋体" w:hAnsi="宋体" w:cs="宋体"/>
          <w:b/>
          <w:bCs/>
          <w:color w:val="auto"/>
          <w:kern w:val="0"/>
          <w:szCs w:val="21"/>
          <w:highlight w:val="none"/>
        </w:rPr>
        <w:t>磋商</w:t>
      </w:r>
      <w:r>
        <w:rPr>
          <w:rFonts w:hint="eastAsia" w:ascii="宋体" w:hAnsi="宋体" w:cs="宋体"/>
          <w:b/>
          <w:bCs/>
          <w:color w:val="auto"/>
          <w:szCs w:val="21"/>
          <w:highlight w:val="none"/>
        </w:rPr>
        <w:t>，造成响应无效的后果由供应商自行承担。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 除竞争性磋商文件另有规定外，供应商所递交的响应文件不予退还。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 电子响应文件的相关说明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pPr>
        <w:pStyle w:val="2"/>
        <w:jc w:val="center"/>
        <w:rPr>
          <w:rFonts w:ascii="宋体" w:hAnsi="宋体" w:cs="宋体"/>
          <w:b/>
          <w:bCs w:val="0"/>
          <w:color w:val="auto"/>
          <w:szCs w:val="28"/>
          <w:highlight w:val="none"/>
        </w:rPr>
      </w:pPr>
      <w:bookmarkStart w:id="112" w:name="_Toc18044"/>
      <w:bookmarkStart w:id="113" w:name="_Toc2433"/>
      <w:r>
        <w:rPr>
          <w:rFonts w:hint="eastAsia" w:ascii="宋体" w:hAnsi="宋体" w:cs="宋体"/>
          <w:b/>
          <w:bCs w:val="0"/>
          <w:color w:val="auto"/>
          <w:szCs w:val="28"/>
          <w:highlight w:val="none"/>
        </w:rPr>
        <w:t>四、竞争性磋商（简称磋商）与评审</w:t>
      </w:r>
      <w:bookmarkEnd w:id="112"/>
      <w:bookmarkEnd w:id="113"/>
    </w:p>
    <w:p>
      <w:pPr>
        <w:pStyle w:val="4"/>
        <w:spacing w:line="360" w:lineRule="auto"/>
        <w:ind w:firstLine="422" w:firstLineChars="200"/>
        <w:rPr>
          <w:rFonts w:ascii="宋体" w:hAnsi="宋体" w:cs="宋体"/>
          <w:color w:val="auto"/>
          <w:sz w:val="21"/>
          <w:szCs w:val="21"/>
          <w:highlight w:val="none"/>
        </w:rPr>
      </w:pPr>
      <w:bookmarkStart w:id="114" w:name="_Toc31588"/>
      <w:bookmarkStart w:id="115" w:name="_Toc16714"/>
      <w:r>
        <w:rPr>
          <w:rFonts w:hint="eastAsia" w:ascii="宋体" w:hAnsi="宋体" w:cs="宋体"/>
          <w:color w:val="auto"/>
          <w:sz w:val="21"/>
          <w:szCs w:val="21"/>
          <w:highlight w:val="none"/>
        </w:rPr>
        <w:t>19. 磋商小组组成及磋商时间、地点、人员</w:t>
      </w:r>
      <w:bookmarkEnd w:id="114"/>
      <w:bookmarkEnd w:id="11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磋商小组组成：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磋商时间、地点、人员：</w:t>
      </w:r>
    </w:p>
    <w:p>
      <w:pPr>
        <w:spacing w:line="360" w:lineRule="auto"/>
        <w:ind w:firstLine="420" w:firstLineChars="200"/>
        <w:rPr>
          <w:rFonts w:ascii="宋体" w:hAnsi="宋体" w:cs="宋体"/>
          <w:color w:val="auto"/>
          <w:szCs w:val="21"/>
          <w:highlight w:val="none"/>
        </w:rPr>
      </w:pPr>
      <w:bookmarkStart w:id="116" w:name="_Toc9878"/>
      <w:r>
        <w:rPr>
          <w:rFonts w:hint="eastAsia" w:ascii="宋体" w:hAnsi="宋体" w:cs="宋体"/>
          <w:color w:val="auto"/>
          <w:szCs w:val="21"/>
          <w:highlight w:val="none"/>
        </w:rPr>
        <w:t>19.2.1磋商时间：响应文件递交截止时间后。</w:t>
      </w:r>
      <w:bookmarkEnd w:id="116"/>
    </w:p>
    <w:p>
      <w:pPr>
        <w:spacing w:line="360" w:lineRule="auto"/>
        <w:ind w:firstLine="420" w:firstLineChars="200"/>
        <w:rPr>
          <w:rFonts w:ascii="宋体" w:hAnsi="宋体" w:cs="宋体"/>
          <w:color w:val="auto"/>
          <w:szCs w:val="21"/>
          <w:highlight w:val="none"/>
        </w:rPr>
      </w:pPr>
      <w:bookmarkStart w:id="117" w:name="_Toc29268"/>
      <w:r>
        <w:rPr>
          <w:rFonts w:hint="eastAsia" w:ascii="宋体" w:hAnsi="宋体" w:cs="宋体"/>
          <w:color w:val="auto"/>
          <w:szCs w:val="21"/>
          <w:highlight w:val="none"/>
        </w:rPr>
        <w:t>19.2.2磋商地点：</w:t>
      </w:r>
      <w:bookmarkEnd w:id="117"/>
      <w:r>
        <w:rPr>
          <w:rFonts w:hint="eastAsia" w:ascii="宋体" w:hAnsi="宋体" w:cs="宋体"/>
          <w:color w:val="auto"/>
          <w:szCs w:val="21"/>
          <w:highlight w:val="none"/>
        </w:rPr>
        <w:t>本项目需要磋商供应商代表在截标当天截标后，按磋商小组要求及时登陆广西政府采购云平台等候在线磋商。</w:t>
      </w:r>
    </w:p>
    <w:p>
      <w:pPr>
        <w:spacing w:line="360" w:lineRule="auto"/>
        <w:ind w:firstLine="420" w:firstLineChars="200"/>
        <w:rPr>
          <w:rFonts w:ascii="宋体" w:hAnsi="宋体" w:cs="宋体"/>
          <w:bCs/>
          <w:color w:val="auto"/>
          <w:szCs w:val="21"/>
          <w:highlight w:val="none"/>
        </w:rPr>
      </w:pPr>
      <w:bookmarkStart w:id="118" w:name="_Toc21307"/>
      <w:r>
        <w:rPr>
          <w:rFonts w:hint="eastAsia" w:ascii="宋体" w:hAnsi="宋体" w:cs="宋体"/>
          <w:color w:val="auto"/>
          <w:szCs w:val="21"/>
          <w:highlight w:val="none"/>
        </w:rPr>
        <w:t>19</w:t>
      </w:r>
      <w:r>
        <w:rPr>
          <w:rFonts w:hint="eastAsia" w:ascii="宋体" w:hAnsi="宋体" w:cs="宋体"/>
          <w:bCs/>
          <w:color w:val="auto"/>
          <w:szCs w:val="21"/>
          <w:highlight w:val="none"/>
        </w:rPr>
        <w:t>.2.3磋商参加人员：供应商法定代表人、负责人、自然人或相应的委托代理人持</w:t>
      </w:r>
      <w:r>
        <w:rPr>
          <w:rFonts w:hint="eastAsia" w:ascii="宋体" w:hAnsi="宋体" w:cs="宋体"/>
          <w:bCs/>
          <w:color w:val="auto"/>
          <w:szCs w:val="21"/>
          <w:highlight w:val="none"/>
          <w:u w:val="single"/>
        </w:rPr>
        <w:t>有效身份证原件</w:t>
      </w:r>
      <w:r>
        <w:rPr>
          <w:rFonts w:hint="eastAsia" w:ascii="宋体" w:hAnsi="宋体" w:cs="宋体"/>
          <w:bCs/>
          <w:color w:val="auto"/>
          <w:szCs w:val="21"/>
          <w:highlight w:val="none"/>
        </w:rPr>
        <w:t>和供应商</w:t>
      </w:r>
      <w:r>
        <w:rPr>
          <w:rFonts w:hint="eastAsia" w:ascii="宋体" w:hAnsi="宋体" w:cs="宋体"/>
          <w:bCs/>
          <w:color w:val="auto"/>
          <w:szCs w:val="21"/>
          <w:highlight w:val="none"/>
          <w:u w:val="single"/>
        </w:rPr>
        <w:t>广西政府采购云平台CA数字证书</w:t>
      </w:r>
      <w:r>
        <w:rPr>
          <w:rFonts w:hint="eastAsia" w:ascii="宋体" w:hAnsi="宋体" w:cs="宋体"/>
          <w:bCs/>
          <w:color w:val="auto"/>
          <w:szCs w:val="21"/>
          <w:highlight w:val="none"/>
        </w:rPr>
        <w:t>参加磋商。请供应商按时到达指定地点等候磋商。</w:t>
      </w:r>
      <w:bookmarkEnd w:id="118"/>
    </w:p>
    <w:p>
      <w:pPr>
        <w:spacing w:line="360" w:lineRule="auto"/>
        <w:ind w:firstLine="420" w:firstLineChars="200"/>
        <w:rPr>
          <w:rFonts w:ascii="宋体" w:hAnsi="宋体" w:cs="宋体"/>
          <w:bCs/>
          <w:color w:val="auto"/>
          <w:szCs w:val="21"/>
          <w:highlight w:val="none"/>
        </w:rPr>
      </w:pPr>
      <w:bookmarkStart w:id="119" w:name="_Toc6288"/>
      <w:r>
        <w:rPr>
          <w:rFonts w:hint="eastAsia" w:ascii="宋体" w:hAnsi="宋体" w:cs="宋体"/>
          <w:bCs/>
          <w:color w:val="auto"/>
          <w:szCs w:val="21"/>
          <w:highlight w:val="none"/>
        </w:rPr>
        <w:t>19.2.4响应文件递交截止时间后，由磋商小组在评标室内线上开启响应文件。</w:t>
      </w:r>
      <w:bookmarkEnd w:id="119"/>
    </w:p>
    <w:p>
      <w:pPr>
        <w:pStyle w:val="4"/>
        <w:spacing w:line="360" w:lineRule="auto"/>
        <w:ind w:firstLine="422" w:firstLineChars="200"/>
        <w:rPr>
          <w:rFonts w:ascii="宋体" w:hAnsi="宋体" w:cs="宋体"/>
          <w:color w:val="auto"/>
          <w:sz w:val="21"/>
          <w:szCs w:val="21"/>
          <w:highlight w:val="none"/>
        </w:rPr>
      </w:pPr>
      <w:bookmarkStart w:id="120" w:name="_Toc18640"/>
      <w:bookmarkStart w:id="121" w:name="_Toc25258"/>
      <w:r>
        <w:rPr>
          <w:rFonts w:hint="eastAsia" w:ascii="宋体" w:hAnsi="宋体" w:cs="宋体"/>
          <w:color w:val="auto"/>
          <w:sz w:val="21"/>
          <w:szCs w:val="21"/>
          <w:highlight w:val="none"/>
        </w:rPr>
        <w:t>20. 评审原则</w:t>
      </w:r>
      <w:bookmarkEnd w:id="120"/>
      <w:bookmarkEnd w:id="12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 磋商小组必须坚持公平、公正、科学和择优的原则。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评审办法：综合评分法，具体详见第四章评审办法。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磋商小组应按磋商文件进行评审，不得擅自更改评审办法。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在评审过程中，磋商小组任何人不得对某个供应商发表任何倾向性意见，不得向其他磋商小组成员明示或者暗示自己的评审意见。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 响应文件最后报价出现前后不一致的，除竞争性磋商文件另有规定外，按照下列规定修正：</w:t>
      </w:r>
    </w:p>
    <w:p>
      <w:pPr>
        <w:pStyle w:val="4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pPr>
        <w:pStyle w:val="4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pPr>
        <w:pStyle w:val="4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pPr>
        <w:pStyle w:val="4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4"/>
        <w:spacing w:line="360" w:lineRule="auto"/>
        <w:ind w:firstLine="422" w:firstLineChars="200"/>
        <w:rPr>
          <w:rFonts w:ascii="宋体" w:hAnsi="宋体" w:cs="宋体"/>
          <w:color w:val="auto"/>
          <w:sz w:val="21"/>
          <w:szCs w:val="21"/>
          <w:highlight w:val="none"/>
        </w:rPr>
      </w:pPr>
      <w:bookmarkStart w:id="122" w:name="_Toc1312"/>
      <w:bookmarkStart w:id="123" w:name="_Toc27193"/>
      <w:r>
        <w:rPr>
          <w:rFonts w:hint="eastAsia" w:ascii="宋体" w:hAnsi="宋体" w:cs="宋体"/>
          <w:color w:val="auto"/>
          <w:sz w:val="21"/>
          <w:szCs w:val="21"/>
          <w:highlight w:val="none"/>
        </w:rPr>
        <w:t>21. 评审程序及磋商要求</w:t>
      </w:r>
      <w:bookmarkEnd w:id="122"/>
      <w:bookmarkEnd w:id="12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21.3 磋商小组依据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 </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21.4 磋商小组在对供应商进行资格性审查时，将对供应商企业股东及出资等信息进行查询。根据 《中华人民共和国政府采购法实施条例》第十八条第一款规定，审查中如发现供应商存在单位负责人为同一人或者存在直接控股、管理关系的不同供应商参加同一合同项下的政府采购活动的，按响应文件无效处理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21.4.1 查询渠道：《国家企业信用信息公示系统》（网址：www.gsxt.gov.cn/index.html）</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21.4.2 审查流程：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（4）将相关资料作为评审资料打印存档。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21.5 磋商小组如发现供应商提供的证明文件不齐全或不符合规定格式的，应一次性告知供应商，供应商应在规定的时间内线上补正或更正。</w:t>
      </w:r>
    </w:p>
    <w:p>
      <w:pPr>
        <w:pStyle w:val="15"/>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21.6 磋商小组在对响应文件的有效性、完整性和响应程度进行审查时，可以要求供应商对响应文件中含义不明确、同类问题表述不一致或者有明显文字和计算错误的内容等作出必要的澄清、说明或者更正。供应商的 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个人CA证书签章)</w:t>
      </w:r>
      <w:r>
        <w:rPr>
          <w:rFonts w:hint="eastAsia" w:ascii="宋体" w:hAnsi="宋体" w:cs="宋体"/>
          <w:color w:val="auto"/>
          <w:szCs w:val="21"/>
          <w:highlight w:val="none"/>
        </w:rPr>
        <w:t>或者加盖</w:t>
      </w:r>
      <w:r>
        <w:rPr>
          <w:rFonts w:hint="eastAsia" w:ascii="宋体" w:hAnsi="宋体"/>
          <w:color w:val="auto"/>
          <w:szCs w:val="21"/>
          <w:highlight w:val="none"/>
        </w:rPr>
        <w:t>供应商CA证书签章</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根据磋商文件规定的程序、评定成交的标准等事项与实质性响应竞争性磋商文件要求的供应商进行磋商。未实质性响应磋商文件的响应文件按无效处理，磋商小组应当告知有关供应商。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对磋商文件作出的实质性变动是磋商文件的有效组成部分，磋商小组应当及时通过广西政府采购云平台同时通知所有参加磋商的供应商。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供应商应当按照磋商文件的变动情况和磋商小组的要求重新提交响应文件，并由其法定代表人、负责人、自然人或相应的授权委托代表签字（个人CA证书签章）或者加盖</w:t>
      </w:r>
      <w:r>
        <w:rPr>
          <w:rFonts w:hint="eastAsia" w:ascii="宋体" w:hAnsi="宋体"/>
          <w:color w:val="auto"/>
          <w:szCs w:val="21"/>
          <w:highlight w:val="none"/>
        </w:rPr>
        <w:t>供应商CA证书签章</w:t>
      </w:r>
      <w:r>
        <w:rPr>
          <w:rFonts w:hint="eastAsia" w:ascii="宋体" w:hAnsi="宋体" w:cs="宋体"/>
          <w:color w:val="auto"/>
          <w:szCs w:val="21"/>
          <w:highlight w:val="none"/>
        </w:rPr>
        <w:t xml:space="preserve">。逾时不交的，视同放弃磋商。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21.9 第二轮磋商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磋商小组集中就重新提交的响应文件或磋商小组提出的磋商意见与单一响应供应商分别进行磋商。磋商小组对磋商过程和重要磋商内容进行记录，磋商双方在记录上签字确认（CA证书签章确认）。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磋商后，供应商根据磋商小组统一整理的书面磋商记录要求做出书面承诺，并由其法定代表人或授权代表签字或者加盖公章（CA证书签章）后按时线上提交。</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 最后报价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21.11.4 根据《政府采购竞争性磋商采购方式管理暂行办法》(财库〔2014〕214 号)的规定：</w:t>
      </w:r>
      <w:r>
        <w:rPr>
          <w:rFonts w:hint="eastAsia" w:ascii="宋体" w:hAnsi="宋体" w:cs="宋体"/>
          <w:b/>
          <w:bCs/>
          <w:color w:val="auto"/>
          <w:szCs w:val="21"/>
          <w:highlight w:val="none"/>
        </w:rPr>
        <w:t xml:space="preserve">最后报价是供应商响应文件的有效组成部分。 </w:t>
      </w:r>
      <w:r>
        <w:rPr>
          <w:rFonts w:hint="eastAsia" w:ascii="宋体" w:hAnsi="宋体" w:cs="宋体"/>
          <w:color w:val="auto"/>
          <w:szCs w:val="21"/>
          <w:highlight w:val="none"/>
        </w:rPr>
        <w:t>符合本办法(财库〔2014〕214号)第三条第四项情形的，提交最后报价的供应商可以为2家。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21.12 已提交响应文件的供应商，在提交最后报价之前，可以根据磋商情况书面退出磋商。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21.13 评审报告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21.15 采购代理机构发现磋商小组有明显的违规倾向或歧视现象，或不按评审办法进行，或其他不正常行为的，应当及时制止。如制止无效，应及时向桂林市财政局报告。</w:t>
      </w:r>
    </w:p>
    <w:p>
      <w:pPr>
        <w:spacing w:line="360" w:lineRule="auto"/>
        <w:ind w:firstLine="420" w:firstLineChars="200"/>
        <w:rPr>
          <w:rFonts w:ascii="宋体" w:hAnsi="宋体" w:cs="宋体"/>
          <w:b/>
          <w:bCs/>
          <w:color w:val="auto"/>
          <w:highlight w:val="none"/>
        </w:rPr>
      </w:pPr>
      <w:r>
        <w:rPr>
          <w:rFonts w:hint="eastAsia" w:ascii="宋体" w:hAnsi="宋体" w:cs="宋体"/>
          <w:color w:val="auto"/>
          <w:szCs w:val="21"/>
          <w:highlight w:val="none"/>
        </w:rPr>
        <w:t>21.16 本采购项目的评审依据为竞争性磋商文件和竞争性磋商响应文件，采用的评审方法为</w:t>
      </w:r>
      <w:r>
        <w:rPr>
          <w:rFonts w:hint="eastAsia" w:ascii="宋体" w:hAnsi="宋体" w:cs="宋体"/>
          <w:b/>
          <w:bCs/>
          <w:color w:val="auto"/>
          <w:szCs w:val="21"/>
          <w:highlight w:val="none"/>
        </w:rPr>
        <w:t>综合评分法。</w:t>
      </w:r>
    </w:p>
    <w:p>
      <w:pPr>
        <w:spacing w:line="400" w:lineRule="exact"/>
        <w:ind w:firstLine="422" w:firstLineChars="200"/>
        <w:rPr>
          <w:rFonts w:ascii="宋体" w:hAnsi="宋体" w:cs="宋体"/>
          <w:b/>
          <w:bCs/>
          <w:color w:val="auto"/>
          <w:szCs w:val="21"/>
          <w:highlight w:val="none"/>
        </w:rPr>
      </w:pPr>
      <w:bookmarkStart w:id="124" w:name="_Toc2766"/>
      <w:bookmarkStart w:id="125" w:name="_Toc21715"/>
      <w:r>
        <w:rPr>
          <w:rFonts w:hint="eastAsia" w:ascii="宋体" w:hAnsi="宋体" w:cs="宋体"/>
          <w:b/>
          <w:bCs/>
          <w:color w:val="auto"/>
          <w:szCs w:val="21"/>
          <w:highlight w:val="none"/>
        </w:rPr>
        <w:t>22.推荐成交候选供应商原则</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22.1磋商小组应当根据综合评分情况，按照综合得分由高到低顺序推荐</w:t>
      </w:r>
      <w:r>
        <w:rPr>
          <w:rFonts w:hint="eastAsia" w:ascii="宋体" w:hAnsi="宋体" w:cs="宋体"/>
          <w:color w:val="auto"/>
          <w:szCs w:val="21"/>
          <w:highlight w:val="none"/>
          <w:lang w:eastAsia="zh-CN"/>
        </w:rPr>
        <w:t>三名</w:t>
      </w:r>
      <w:r>
        <w:rPr>
          <w:rFonts w:hint="eastAsia" w:ascii="宋体" w:hAnsi="宋体" w:cs="宋体"/>
          <w:color w:val="auto"/>
          <w:szCs w:val="21"/>
          <w:highlight w:val="none"/>
        </w:rPr>
        <w:t>成交候选供应商，并编写评审报告。磋商小组根据综合得分由高到低排列次序，若得分相同时，依次按照</w:t>
      </w:r>
      <w:r>
        <w:rPr>
          <w:rFonts w:hint="eastAsia" w:ascii="宋体" w:hAnsi="宋体" w:cs="宋体"/>
          <w:color w:val="auto"/>
          <w:szCs w:val="21"/>
          <w:highlight w:val="none"/>
          <w:lang w:eastAsia="zh-CN"/>
        </w:rPr>
        <w:t>实施方案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履约能力</w:t>
      </w:r>
      <w:r>
        <w:rPr>
          <w:rFonts w:hint="eastAsia" w:ascii="宋体" w:hAnsi="宋体" w:cs="宋体"/>
          <w:color w:val="auto"/>
          <w:szCs w:val="21"/>
          <w:highlight w:val="none"/>
        </w:rPr>
        <w:t>得分由高到低顺序排列。</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22.2采购单位应当确定磋商小组推荐排名第一的成交候选人为成交供应商。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22.3排名第一的成交候选人放弃成交、因不可抗力提出不能履行合同，或者磋商文件规定应当提交履约保证金而在规定的期限内未能提交的，采购单位可以确定排名第二的成交候选人为成交供应商。</w:t>
      </w:r>
    </w:p>
    <w:p>
      <w:pPr>
        <w:pStyle w:val="9"/>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22.4排名第二的成交候选人因前款规定的同样原因不能签订合同的，采购单位可以确定排名第三的成交候选人为成交供应商。</w:t>
      </w:r>
    </w:p>
    <w:p>
      <w:pPr>
        <w:pStyle w:val="9"/>
        <w:spacing w:line="360" w:lineRule="auto"/>
        <w:ind w:firstLine="420"/>
        <w:rPr>
          <w:rFonts w:ascii="宋体" w:hAnsi="宋体" w:cs="宋体"/>
          <w:b/>
          <w:bCs/>
          <w:color w:val="auto"/>
          <w:szCs w:val="21"/>
          <w:highlight w:val="none"/>
        </w:rPr>
      </w:pPr>
      <w:r>
        <w:rPr>
          <w:rFonts w:hint="eastAsia" w:ascii="宋体" w:hAnsi="宋体" w:cs="宋体"/>
          <w:b/>
          <w:bCs/>
          <w:color w:val="auto"/>
          <w:szCs w:val="21"/>
          <w:highlight w:val="none"/>
        </w:rPr>
        <w:t>23. 属于下列情况之一者，响应文件无效</w:t>
      </w:r>
      <w:bookmarkEnd w:id="124"/>
      <w:bookmarkEnd w:id="12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（2）不具备磋商文件规定的资格要求的；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（4）响应文件有效期、售后服务承诺不能满足磋商文件要求的；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（5）供应商未就“采购需求”中的所有内容作完整唯一报价的，或报价超出采购预算总金额的；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（10）不符合法律、法规和磋商文件规定的其他实质性要求和条件的。</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供应商有下列情形之一的视为供应商相互串通磋商，响应文件将被视为无效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（4）不同供应商的响应文件异常一致或竞标报价呈规律性差异；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pPr>
        <w:pStyle w:val="4"/>
        <w:spacing w:line="360" w:lineRule="auto"/>
        <w:ind w:firstLine="422" w:firstLineChars="200"/>
        <w:rPr>
          <w:rFonts w:ascii="宋体" w:hAnsi="宋体" w:cs="宋体"/>
          <w:color w:val="auto"/>
          <w:sz w:val="21"/>
          <w:szCs w:val="21"/>
          <w:highlight w:val="none"/>
        </w:rPr>
      </w:pPr>
      <w:bookmarkStart w:id="126" w:name="_Toc5714"/>
      <w:bookmarkStart w:id="127" w:name="_Toc20770"/>
      <w:r>
        <w:rPr>
          <w:rFonts w:hint="eastAsia" w:ascii="宋体" w:hAnsi="宋体" w:cs="宋体"/>
          <w:color w:val="auto"/>
          <w:sz w:val="21"/>
          <w:szCs w:val="21"/>
          <w:highlight w:val="none"/>
        </w:rPr>
        <w:t>24. 出现下列情形之一的，采购人或者采购代理机构应当终止竞争性磋商采购活动，发布项目终止公告并说明原因，重新开展采购活动</w:t>
      </w:r>
      <w:bookmarkEnd w:id="126"/>
      <w:bookmarkEnd w:id="12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 xml:space="preserve">（除财库〔2014〕214 号《政府采购竞争性磋商采购方式管理暂行办法》第二十一条第三款规定的情形外） </w:t>
      </w:r>
    </w:p>
    <w:p>
      <w:pPr>
        <w:pStyle w:val="4"/>
        <w:spacing w:line="360" w:lineRule="auto"/>
        <w:ind w:firstLine="422" w:firstLineChars="200"/>
        <w:rPr>
          <w:rFonts w:ascii="宋体" w:hAnsi="宋体" w:cs="宋体"/>
          <w:color w:val="auto"/>
          <w:sz w:val="21"/>
          <w:szCs w:val="21"/>
          <w:highlight w:val="none"/>
        </w:rPr>
      </w:pPr>
      <w:bookmarkStart w:id="128" w:name="_Toc19105"/>
      <w:bookmarkStart w:id="129" w:name="_Toc32461"/>
      <w:r>
        <w:rPr>
          <w:rFonts w:hint="eastAsia" w:ascii="宋体" w:hAnsi="宋体" w:cs="宋体"/>
          <w:color w:val="auto"/>
          <w:sz w:val="21"/>
          <w:szCs w:val="21"/>
          <w:highlight w:val="none"/>
        </w:rPr>
        <w:t>25. 磋商过程的监控</w:t>
      </w:r>
      <w:bookmarkEnd w:id="128"/>
      <w:bookmarkEnd w:id="12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本项目磋商过程实行全程录音、录像监控，供应商在磋商过程中所进行的试图影响磋商结果的不公正活动，可能导致其磋商被拒绝。</w:t>
      </w:r>
    </w:p>
    <w:p>
      <w:pPr>
        <w:pStyle w:val="4"/>
        <w:numPr>
          <w:ilvl w:val="0"/>
          <w:numId w:val="5"/>
        </w:numPr>
        <w:spacing w:line="360" w:lineRule="auto"/>
        <w:ind w:firstLine="422" w:firstLineChars="200"/>
        <w:rPr>
          <w:rFonts w:ascii="宋体" w:hAnsi="宋体" w:cs="宋体"/>
          <w:color w:val="auto"/>
          <w:sz w:val="21"/>
          <w:szCs w:val="21"/>
          <w:highlight w:val="none"/>
        </w:rPr>
      </w:pPr>
      <w:bookmarkStart w:id="130" w:name="_Toc14787"/>
      <w:bookmarkStart w:id="131" w:name="_Toc32457"/>
      <w:r>
        <w:rPr>
          <w:rFonts w:hint="eastAsia" w:ascii="宋体" w:hAnsi="宋体" w:cs="宋体"/>
          <w:color w:val="auto"/>
          <w:sz w:val="21"/>
          <w:szCs w:val="21"/>
          <w:highlight w:val="none"/>
        </w:rPr>
        <w:t>信用查询</w:t>
      </w:r>
      <w:bookmarkEnd w:id="130"/>
      <w:bookmarkEnd w:id="13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w:t>
      </w:r>
      <w:r>
        <w:rPr>
          <w:rFonts w:hint="eastAsia"/>
          <w:color w:val="auto"/>
          <w:highlight w:val="none"/>
        </w:rPr>
        <w:t>）</w:t>
      </w:r>
      <w:r>
        <w:rPr>
          <w:rFonts w:hint="eastAsia" w:ascii="宋体" w:hAnsi="宋体" w:cs="宋体"/>
          <w:color w:val="auto"/>
          <w:szCs w:val="21"/>
          <w:highlight w:val="none"/>
        </w:rPr>
        <w:t>，采购代理机构对成交人的成交资格进行信用查询：</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（2）查询时间：成交通知书发出前；</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4"/>
        <w:spacing w:line="360" w:lineRule="auto"/>
        <w:ind w:firstLine="422" w:firstLineChars="200"/>
        <w:rPr>
          <w:rFonts w:ascii="宋体" w:hAnsi="宋体" w:cs="宋体"/>
          <w:color w:val="auto"/>
          <w:sz w:val="21"/>
          <w:szCs w:val="21"/>
          <w:highlight w:val="none"/>
        </w:rPr>
      </w:pPr>
      <w:bookmarkStart w:id="132" w:name="_Toc778"/>
      <w:bookmarkStart w:id="133" w:name="_Toc9438"/>
      <w:r>
        <w:rPr>
          <w:rFonts w:hint="eastAsia" w:ascii="宋体" w:hAnsi="宋体" w:cs="宋体"/>
          <w:color w:val="auto"/>
          <w:sz w:val="21"/>
          <w:szCs w:val="21"/>
          <w:highlight w:val="none"/>
        </w:rPr>
        <w:t>27. 成交结果公告及成交通知书</w:t>
      </w:r>
      <w:bookmarkEnd w:id="132"/>
      <w:bookmarkEnd w:id="13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 在发布成交公告的同时，采购代理机构向成交供应商发出成交通知书。成交供应商自接到通知之日起七个工作日内，办理成交通知书领取手续。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采购代理机构无义务向未成交的供应商解释未成交原因和退还响应文件。</w:t>
      </w:r>
    </w:p>
    <w:p>
      <w:pPr>
        <w:pStyle w:val="2"/>
        <w:spacing w:line="288" w:lineRule="auto"/>
        <w:jc w:val="center"/>
        <w:rPr>
          <w:rFonts w:ascii="宋体" w:hAnsi="宋体" w:cs="宋体"/>
          <w:b/>
          <w:bCs w:val="0"/>
          <w:color w:val="auto"/>
          <w:szCs w:val="28"/>
          <w:highlight w:val="none"/>
        </w:rPr>
      </w:pPr>
      <w:bookmarkStart w:id="134" w:name="_Toc25593"/>
      <w:bookmarkStart w:id="135" w:name="_Toc19479"/>
      <w:r>
        <w:rPr>
          <w:rFonts w:hint="eastAsia" w:ascii="宋体" w:hAnsi="宋体" w:cs="宋体"/>
          <w:b/>
          <w:bCs w:val="0"/>
          <w:color w:val="auto"/>
          <w:szCs w:val="28"/>
          <w:highlight w:val="none"/>
        </w:rPr>
        <w:t>五、签订合同</w:t>
      </w:r>
      <w:bookmarkEnd w:id="134"/>
      <w:bookmarkEnd w:id="135"/>
    </w:p>
    <w:p>
      <w:pPr>
        <w:ind w:firstLine="422" w:firstLineChars="200"/>
        <w:rPr>
          <w:b/>
          <w:bCs/>
          <w:color w:val="auto"/>
          <w:highlight w:val="none"/>
        </w:rPr>
      </w:pPr>
      <w:bookmarkStart w:id="136" w:name="_Toc26520"/>
      <w:bookmarkStart w:id="137" w:name="_Toc2100"/>
      <w:r>
        <w:rPr>
          <w:rFonts w:hint="eastAsia"/>
          <w:b/>
          <w:bCs/>
          <w:color w:val="auto"/>
          <w:highlight w:val="none"/>
        </w:rPr>
        <w:t>28. 履约保证金</w:t>
      </w:r>
      <w:bookmarkEnd w:id="136"/>
      <w:bookmarkEnd w:id="137"/>
      <w:r>
        <w:rPr>
          <w:rFonts w:hint="eastAsia"/>
          <w:b/>
          <w:bCs/>
          <w:color w:val="auto"/>
          <w:highlight w:val="none"/>
        </w:rPr>
        <w:t>：</w:t>
      </w:r>
    </w:p>
    <w:p>
      <w:pPr>
        <w:pStyle w:val="21"/>
        <w:rPr>
          <w:rFonts w:hint="eastAsia" w:eastAsia="宋体"/>
          <w:color w:val="auto"/>
          <w:highlight w:val="none"/>
          <w:lang w:eastAsia="zh-CN"/>
        </w:rPr>
      </w:pPr>
      <w:r>
        <w:rPr>
          <w:rFonts w:hint="eastAsia"/>
          <w:color w:val="auto"/>
          <w:highlight w:val="none"/>
          <w:lang w:val="en-US" w:eastAsia="zh-CN"/>
        </w:rPr>
        <w:t xml:space="preserve">        </w:t>
      </w:r>
      <w:r>
        <w:rPr>
          <w:rFonts w:hint="eastAsia"/>
          <w:color w:val="auto"/>
          <w:sz w:val="21"/>
          <w:szCs w:val="21"/>
          <w:highlight w:val="none"/>
          <w:lang w:eastAsia="zh-CN"/>
        </w:rPr>
        <w:t>无。</w:t>
      </w:r>
    </w:p>
    <w:p>
      <w:pPr>
        <w:ind w:firstLine="422" w:firstLineChars="200"/>
        <w:jc w:val="left"/>
        <w:rPr>
          <w:b/>
          <w:bCs/>
          <w:color w:val="auto"/>
          <w:highlight w:val="none"/>
        </w:rPr>
      </w:pPr>
      <w:bookmarkStart w:id="138" w:name="_Toc1023"/>
      <w:bookmarkStart w:id="139" w:name="_Toc4956"/>
      <w:r>
        <w:rPr>
          <w:rFonts w:hint="eastAsia"/>
          <w:b/>
          <w:bCs/>
          <w:color w:val="auto"/>
          <w:highlight w:val="none"/>
        </w:rPr>
        <w:t>29. 签订合同</w:t>
      </w:r>
      <w:bookmarkEnd w:id="138"/>
      <w:bookmarkEnd w:id="139"/>
    </w:p>
    <w:p>
      <w:pPr>
        <w:spacing w:line="288"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29.1 签订合同时间：成交通知书发出之日起八个工作日内签订合同。成交供应商领取成交通知书后，应按规定与采购人签订合同。</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（3）拒绝履行合同义务的。</w:t>
      </w:r>
    </w:p>
    <w:p>
      <w:pPr>
        <w:spacing w:line="288" w:lineRule="auto"/>
        <w:ind w:firstLine="420" w:firstLineChars="200"/>
        <w:rPr>
          <w:rFonts w:ascii="宋体" w:hAnsi="宋体" w:cs="宋体"/>
          <w:color w:val="auto"/>
          <w:highlight w:val="none"/>
        </w:rPr>
      </w:pPr>
      <w:r>
        <w:rPr>
          <w:rFonts w:hint="eastAsia" w:ascii="宋体" w:hAnsi="宋体" w:cs="宋体"/>
          <w:color w:val="auto"/>
          <w:szCs w:val="21"/>
          <w:highlight w:val="none"/>
        </w:rPr>
        <w:t>29.3 合同备案存档：</w:t>
      </w:r>
      <w:r>
        <w:rPr>
          <w:rFonts w:hint="eastAsia" w:ascii="宋体" w:hAnsi="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广西天罡工程项目管理有限公司存档。</w:t>
      </w:r>
    </w:p>
    <w:p>
      <w:pPr>
        <w:pStyle w:val="2"/>
        <w:spacing w:line="288" w:lineRule="auto"/>
        <w:jc w:val="center"/>
        <w:rPr>
          <w:rFonts w:ascii="宋体" w:hAnsi="宋体" w:cs="宋体"/>
          <w:b/>
          <w:bCs w:val="0"/>
          <w:color w:val="auto"/>
          <w:szCs w:val="28"/>
          <w:highlight w:val="none"/>
        </w:rPr>
      </w:pPr>
      <w:bookmarkStart w:id="140" w:name="_Toc24170"/>
      <w:bookmarkStart w:id="141" w:name="_Toc16348"/>
      <w:r>
        <w:rPr>
          <w:rFonts w:hint="eastAsia" w:ascii="宋体" w:hAnsi="宋体" w:cs="宋体"/>
          <w:b/>
          <w:bCs w:val="0"/>
          <w:color w:val="auto"/>
          <w:szCs w:val="28"/>
          <w:highlight w:val="none"/>
        </w:rPr>
        <w:t>六、其他事项</w:t>
      </w:r>
      <w:bookmarkEnd w:id="140"/>
      <w:bookmarkEnd w:id="141"/>
    </w:p>
    <w:p>
      <w:pPr>
        <w:ind w:firstLine="422" w:firstLineChars="200"/>
        <w:rPr>
          <w:b/>
          <w:bCs/>
          <w:color w:val="auto"/>
          <w:highlight w:val="none"/>
        </w:rPr>
      </w:pPr>
      <w:bookmarkStart w:id="142" w:name="_Toc2872"/>
      <w:bookmarkStart w:id="143" w:name="_Toc28647"/>
      <w:r>
        <w:rPr>
          <w:rFonts w:hint="eastAsia"/>
          <w:b/>
          <w:bCs/>
          <w:color w:val="auto"/>
          <w:highlight w:val="none"/>
        </w:rPr>
        <w:t>30. 采购代理服务费</w:t>
      </w:r>
      <w:bookmarkEnd w:id="142"/>
      <w:bookmarkEnd w:id="143"/>
    </w:p>
    <w:p>
      <w:pPr>
        <w:spacing w:line="380" w:lineRule="exact"/>
        <w:ind w:firstLine="420" w:firstLineChars="200"/>
        <w:rPr>
          <w:color w:val="auto"/>
          <w:szCs w:val="21"/>
          <w:highlight w:val="none"/>
        </w:rPr>
      </w:pPr>
      <w:bookmarkStart w:id="144" w:name="_Toc8271"/>
      <w:bookmarkStart w:id="145" w:name="_Toc12374"/>
      <w:r>
        <w:rPr>
          <w:rFonts w:hint="eastAsia" w:ascii="宋体" w:hAnsi="宋体"/>
          <w:color w:val="auto"/>
          <w:szCs w:val="21"/>
          <w:highlight w:val="none"/>
        </w:rPr>
        <w:t>30.1代理服务费：本项目代理服务费按本须知第30.2条“代理服务收费标准”中服务类收费标准计算，成交供应商在领取成交通知书前，向采购代理机构一次性支付（</w:t>
      </w:r>
      <w:r>
        <w:rPr>
          <w:rFonts w:hint="eastAsia" w:ascii="宋体" w:hAnsi="宋体"/>
          <w:color w:val="auto"/>
          <w:szCs w:val="21"/>
          <w:highlight w:val="none"/>
          <w:lang w:eastAsia="zh-CN"/>
        </w:rPr>
        <w:t>服务费</w:t>
      </w:r>
      <w:r>
        <w:rPr>
          <w:rFonts w:hint="eastAsia" w:ascii="宋体" w:hAnsi="宋体"/>
          <w:color w:val="auto"/>
          <w:szCs w:val="21"/>
          <w:highlight w:val="none"/>
        </w:rPr>
        <w:t>不足人民币6000元的，按6000元支付）。</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30.2代理服务收费标准：</w:t>
      </w:r>
    </w:p>
    <w:p>
      <w:pPr>
        <w:pStyle w:val="2"/>
        <w:rPr>
          <w:rFonts w:hint="eastAsia"/>
          <w:color w:val="auto"/>
          <w:highlight w:val="none"/>
        </w:rPr>
      </w:pPr>
    </w:p>
    <w:tbl>
      <w:tblPr>
        <w:tblStyle w:val="43"/>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5" name="直线 2"/>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AVM01gAAAAgBAAAPAAAAAAAAAAEAIAAA&#10;ACIAAABkcnMvZG93bnJldi54bWxQSwECFAAUAAAACACHTuJAFDzzEtUBAACgAwAADgAAAAAAAAAB&#10;ACAAAAAlAQAAZHJzL2Uyb0RvYy54bWxQSwUGAAAAAAYABgBZAQAAbAUAAAAA&#10;">
                      <v:fill on="f" focussize="0,0"/>
                      <v:stroke color="#000000" joinstyle="round"/>
                      <v:imagedata o:title=""/>
                      <o:lock v:ext="edit" aspectratio="f"/>
                    </v:line>
                  </w:pict>
                </mc:Fallback>
              </mc:AlternateContent>
            </w:r>
            <w:r>
              <w:rPr>
                <w:rFonts w:hint="eastAsia" w:hAnsi="宋体"/>
                <w:color w:val="auto"/>
                <w:highlight w:val="none"/>
              </w:rPr>
              <w:t>费率           服务类型</w:t>
            </w:r>
          </w:p>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6" name="直线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A6vRNYAAAAIAQAADwAAAAAAAAAB&#10;ACAAAAAiAAAAZHJzL2Rvd25yZXYueG1sUEsBAhQAFAAAAAgAh07iQJ4kFbfZAQAAoAMAAA4AAAAA&#10;AAAAAQAgAAAAJQEAAGRycy9lMm9Eb2MueG1sUEsFBgAAAAAGAAYAWQEAAHAFAAAAAA==&#10;">
                      <v:fill on="f" focussize="0,0"/>
                      <v:stroke color="#000000" joinstyle="round"/>
                      <v:imagedata o:title=""/>
                      <o:lock v:ext="edit" aspectratio="f"/>
                    </v:line>
                  </w:pict>
                </mc:Fallback>
              </mc:AlternateContent>
            </w:r>
          </w:p>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成交金额</w:t>
            </w:r>
          </w:p>
        </w:tc>
        <w:tc>
          <w:tcPr>
            <w:tcW w:w="1841" w:type="dxa"/>
            <w:vAlign w:val="center"/>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货物采购</w:t>
            </w:r>
          </w:p>
        </w:tc>
        <w:tc>
          <w:tcPr>
            <w:tcW w:w="1992" w:type="dxa"/>
            <w:vAlign w:val="center"/>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服务采购</w:t>
            </w:r>
          </w:p>
        </w:tc>
        <w:tc>
          <w:tcPr>
            <w:tcW w:w="2293" w:type="dxa"/>
            <w:vAlign w:val="center"/>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100万元以下</w:t>
            </w:r>
          </w:p>
        </w:tc>
        <w:tc>
          <w:tcPr>
            <w:tcW w:w="1841" w:type="dxa"/>
          </w:tcPr>
          <w:p>
            <w:pPr>
              <w:pStyle w:val="50"/>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1.5%</w:t>
            </w:r>
          </w:p>
        </w:tc>
        <w:tc>
          <w:tcPr>
            <w:tcW w:w="1992" w:type="dxa"/>
          </w:tcPr>
          <w:p>
            <w:pPr>
              <w:pStyle w:val="50"/>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1.5%</w:t>
            </w:r>
          </w:p>
        </w:tc>
        <w:tc>
          <w:tcPr>
            <w:tcW w:w="2293" w:type="dxa"/>
          </w:tcPr>
          <w:p>
            <w:pPr>
              <w:pStyle w:val="50"/>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100～500万元</w:t>
            </w:r>
          </w:p>
        </w:tc>
        <w:tc>
          <w:tcPr>
            <w:tcW w:w="1841" w:type="dxa"/>
          </w:tcPr>
          <w:p>
            <w:pPr>
              <w:pStyle w:val="50"/>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1.1%</w:t>
            </w:r>
          </w:p>
        </w:tc>
        <w:tc>
          <w:tcPr>
            <w:tcW w:w="1992" w:type="dxa"/>
          </w:tcPr>
          <w:p>
            <w:pPr>
              <w:pStyle w:val="50"/>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0.8%</w:t>
            </w:r>
          </w:p>
        </w:tc>
        <w:tc>
          <w:tcPr>
            <w:tcW w:w="2293" w:type="dxa"/>
          </w:tcPr>
          <w:p>
            <w:pPr>
              <w:pStyle w:val="50"/>
              <w:keepNext w:val="0"/>
              <w:keepLines w:val="0"/>
              <w:suppressLineNumbers w:val="0"/>
              <w:spacing w:before="0" w:beforeAutospacing="0" w:after="0" w:afterAutospacing="0" w:line="380" w:lineRule="exact"/>
              <w:ind w:left="25" w:right="0"/>
              <w:jc w:val="center"/>
              <w:rPr>
                <w:rFonts w:hint="eastAsia" w:ascii="宋体" w:hAnsi="宋体"/>
                <w:color w:val="auto"/>
                <w:highlight w:val="none"/>
              </w:rPr>
            </w:pPr>
            <w:r>
              <w:rPr>
                <w:rFonts w:hint="eastAsia" w:ascii="宋体" w:hAnsi="宋体"/>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500～1000万元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0.8%</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0.45%</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1000～5000万元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0.5%</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0.25%</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5000万元～1亿元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0.25%</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0.1%</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1～5亿元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0.05%</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0.05%</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5～10亿元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0.035%</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0.035%</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10～50亿元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0.008%</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0.008%</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50～100亿元</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0.006%</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0.006%</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2880" w:type="dxa"/>
          </w:tcPr>
          <w:p>
            <w:pPr>
              <w:pStyle w:val="19"/>
              <w:keepNext w:val="0"/>
              <w:keepLines w:val="0"/>
              <w:suppressLineNumbers w:val="0"/>
              <w:spacing w:before="0" w:beforeAutospacing="0" w:after="0" w:afterAutospacing="0" w:line="380" w:lineRule="exact"/>
              <w:ind w:left="25" w:right="0"/>
              <w:rPr>
                <w:rFonts w:hint="eastAsia" w:hAnsi="宋体"/>
                <w:color w:val="auto"/>
                <w:highlight w:val="none"/>
              </w:rPr>
            </w:pPr>
            <w:r>
              <w:rPr>
                <w:rFonts w:hint="eastAsia" w:hAnsi="宋体"/>
                <w:color w:val="auto"/>
                <w:highlight w:val="none"/>
              </w:rPr>
              <w:t>100亿以上</w:t>
            </w:r>
          </w:p>
        </w:tc>
        <w:tc>
          <w:tcPr>
            <w:tcW w:w="1841"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0.004%</w:t>
            </w:r>
          </w:p>
        </w:tc>
        <w:tc>
          <w:tcPr>
            <w:tcW w:w="1992"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0.004%</w:t>
            </w:r>
          </w:p>
        </w:tc>
        <w:tc>
          <w:tcPr>
            <w:tcW w:w="2293" w:type="dxa"/>
          </w:tcPr>
          <w:p>
            <w:pPr>
              <w:pStyle w:val="19"/>
              <w:keepNext w:val="0"/>
              <w:keepLines w:val="0"/>
              <w:suppressLineNumbers w:val="0"/>
              <w:spacing w:before="0" w:beforeAutospacing="0" w:after="0" w:afterAutospacing="0" w:line="380" w:lineRule="exact"/>
              <w:ind w:left="25" w:right="0"/>
              <w:jc w:val="center"/>
              <w:rPr>
                <w:rFonts w:hint="eastAsia" w:hAnsi="宋体"/>
                <w:color w:val="auto"/>
                <w:highlight w:val="none"/>
              </w:rPr>
            </w:pPr>
            <w:r>
              <w:rPr>
                <w:rFonts w:hint="eastAsia" w:hAnsi="宋体"/>
                <w:color w:val="auto"/>
                <w:highlight w:val="none"/>
              </w:rPr>
              <w:t>0.004%</w:t>
            </w:r>
          </w:p>
        </w:tc>
      </w:tr>
    </w:tbl>
    <w:p>
      <w:pPr>
        <w:pStyle w:val="19"/>
        <w:spacing w:line="380" w:lineRule="exact"/>
        <w:ind w:left="25"/>
        <w:rPr>
          <w:rFonts w:hAnsi="宋体"/>
          <w:color w:val="auto"/>
          <w:highlight w:val="none"/>
        </w:rPr>
      </w:pPr>
      <w:r>
        <w:rPr>
          <w:rFonts w:hint="eastAsia" w:hAnsi="宋体"/>
          <w:color w:val="auto"/>
          <w:highlight w:val="none"/>
        </w:rPr>
        <w:t>注：代理服务收费按差额定率累进法计算。</w:t>
      </w:r>
    </w:p>
    <w:p>
      <w:pPr>
        <w:spacing w:line="380" w:lineRule="exact"/>
        <w:ind w:firstLine="422" w:firstLineChars="200"/>
        <w:rPr>
          <w:rFonts w:ascii="宋体" w:hAnsi="宋体"/>
          <w:b/>
          <w:color w:val="auto"/>
          <w:highlight w:val="none"/>
        </w:rPr>
      </w:pPr>
      <w:r>
        <w:rPr>
          <w:rFonts w:hint="eastAsia" w:ascii="宋体" w:hAnsi="宋体"/>
          <w:b/>
          <w:color w:val="auto"/>
          <w:highlight w:val="none"/>
        </w:rPr>
        <w:t>采购代理机构银行账户：</w:t>
      </w:r>
    </w:p>
    <w:p>
      <w:pPr>
        <w:spacing w:line="380" w:lineRule="exact"/>
        <w:ind w:firstLine="420" w:firstLineChars="200"/>
        <w:rPr>
          <w:rFonts w:ascii="宋体" w:hAnsi="宋体" w:cs="宋体"/>
          <w:bCs/>
          <w:color w:val="auto"/>
          <w:highlight w:val="none"/>
        </w:rPr>
      </w:pPr>
      <w:r>
        <w:rPr>
          <w:rFonts w:hint="eastAsia" w:ascii="宋体" w:hAnsi="宋体" w:cs="宋体"/>
          <w:bCs/>
          <w:color w:val="auto"/>
          <w:highlight w:val="none"/>
        </w:rPr>
        <w:t>账户名称：广西天罡工程项目管理有限公司</w:t>
      </w:r>
    </w:p>
    <w:p>
      <w:pPr>
        <w:spacing w:line="380" w:lineRule="exact"/>
        <w:ind w:firstLine="420" w:firstLineChars="200"/>
        <w:rPr>
          <w:rFonts w:ascii="宋体" w:hAnsi="宋体" w:cs="宋体"/>
          <w:bCs/>
          <w:color w:val="auto"/>
          <w:highlight w:val="none"/>
        </w:rPr>
      </w:pPr>
      <w:r>
        <w:rPr>
          <w:rFonts w:hint="eastAsia" w:ascii="宋体" w:hAnsi="宋体" w:cs="宋体"/>
          <w:bCs/>
          <w:color w:val="auto"/>
          <w:highlight w:val="none"/>
        </w:rPr>
        <w:t>开户银行：</w:t>
      </w:r>
      <w:r>
        <w:rPr>
          <w:rFonts w:ascii="宋体" w:hAnsi="宋体" w:cs="宋体"/>
          <w:bCs/>
          <w:color w:val="auto"/>
          <w:highlight w:val="none"/>
        </w:rPr>
        <w:t>中国建设银行股份有限公司南宁安吉路支行</w:t>
      </w:r>
    </w:p>
    <w:p>
      <w:pPr>
        <w:rPr>
          <w:color w:val="auto"/>
          <w:highlight w:val="none"/>
        </w:rPr>
      </w:pPr>
      <w:r>
        <w:rPr>
          <w:rFonts w:hint="eastAsia" w:ascii="宋体" w:hAnsi="宋体" w:cs="宋体"/>
          <w:bCs/>
          <w:color w:val="auto"/>
          <w:highlight w:val="none"/>
        </w:rPr>
        <w:t xml:space="preserve">    银行账号：</w:t>
      </w:r>
      <w:r>
        <w:rPr>
          <w:rFonts w:ascii="宋体" w:hAnsi="宋体" w:cs="宋体"/>
          <w:bCs/>
          <w:color w:val="auto"/>
          <w:highlight w:val="none"/>
        </w:rPr>
        <w:t>4505 0160 4771 0966 9988</w:t>
      </w:r>
      <w:r>
        <w:rPr>
          <w:rFonts w:hint="eastAsia" w:hAnsi="宋体"/>
          <w:color w:val="auto"/>
          <w:highlight w:val="none"/>
        </w:rPr>
        <w:t xml:space="preserve">           </w:t>
      </w:r>
    </w:p>
    <w:p>
      <w:pPr>
        <w:numPr>
          <w:ilvl w:val="0"/>
          <w:numId w:val="6"/>
        </w:numPr>
        <w:spacing w:line="288" w:lineRule="auto"/>
        <w:ind w:firstLine="422" w:firstLineChars="200"/>
        <w:rPr>
          <w:color w:val="auto"/>
          <w:highlight w:val="none"/>
        </w:rPr>
      </w:pPr>
      <w:r>
        <w:rPr>
          <w:rStyle w:val="48"/>
          <w:rFonts w:hint="eastAsia" w:ascii="宋体" w:hAnsi="宋体" w:cs="宋体"/>
          <w:color w:val="auto"/>
          <w:sz w:val="21"/>
          <w:szCs w:val="21"/>
          <w:highlight w:val="none"/>
        </w:rPr>
        <w:t>解释权</w:t>
      </w:r>
      <w:bookmarkEnd w:id="144"/>
      <w:bookmarkEnd w:id="145"/>
      <w:r>
        <w:rPr>
          <w:rFonts w:hint="eastAsia" w:ascii="宋体" w:hAnsi="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pPr>
        <w:spacing w:line="360" w:lineRule="exact"/>
        <w:rPr>
          <w:rFonts w:ascii="宋体" w:hAnsi="宋体" w:cs="宋体"/>
          <w:color w:val="auto"/>
          <w:kern w:val="0"/>
          <w:szCs w:val="21"/>
          <w:highlight w:val="none"/>
        </w:rPr>
      </w:pPr>
      <w:bookmarkStart w:id="146" w:name="_Toc24443"/>
      <w:r>
        <w:rPr>
          <w:rStyle w:val="48"/>
          <w:rFonts w:hint="eastAsia" w:ascii="宋体" w:hAnsi="宋体" w:cs="宋体"/>
          <w:color w:val="auto"/>
          <w:sz w:val="21"/>
          <w:szCs w:val="21"/>
          <w:highlight w:val="none"/>
        </w:rPr>
        <w:t xml:space="preserve">    32. 监督管理机构</w:t>
      </w:r>
      <w:bookmarkEnd w:id="146"/>
      <w:r>
        <w:rPr>
          <w:rFonts w:hint="eastAsia" w:ascii="宋体" w:hAnsi="宋体" w:cs="宋体"/>
          <w:color w:val="auto"/>
          <w:szCs w:val="21"/>
          <w:highlight w:val="none"/>
        </w:rPr>
        <w:t>：</w:t>
      </w:r>
      <w:r>
        <w:rPr>
          <w:rFonts w:hint="eastAsia" w:ascii="宋体" w:hAnsi="宋体" w:cs="宋体"/>
          <w:color w:val="auto"/>
          <w:sz w:val="20"/>
          <w:szCs w:val="20"/>
          <w:highlight w:val="none"/>
        </w:rPr>
        <w:t>桂林市政府采购管理办公室</w:t>
      </w:r>
      <w:r>
        <w:rPr>
          <w:rFonts w:hint="eastAsia" w:ascii="宋体" w:hAnsi="宋体" w:cs="宋体"/>
          <w:color w:val="auto"/>
          <w:kern w:val="0"/>
          <w:szCs w:val="21"/>
          <w:highlight w:val="none"/>
        </w:rPr>
        <w:t xml:space="preserve">       联系电话：0773-2862142</w:t>
      </w:r>
    </w:p>
    <w:p>
      <w:pPr>
        <w:pStyle w:val="10"/>
        <w:ind w:left="840" w:leftChars="400" w:firstLine="0" w:firstLineChars="0"/>
        <w:rPr>
          <w:color w:val="auto"/>
          <w:highlight w:val="none"/>
        </w:rPr>
      </w:pPr>
      <w:bookmarkStart w:id="147" w:name="_Toc10892"/>
      <w:bookmarkStart w:id="148" w:name="_Toc29649"/>
    </w:p>
    <w:p>
      <w:pPr>
        <w:pStyle w:val="10"/>
        <w:ind w:left="840" w:leftChars="400" w:firstLine="0" w:firstLineChars="0"/>
        <w:rPr>
          <w:color w:val="auto"/>
          <w:highlight w:val="none"/>
        </w:rPr>
      </w:pPr>
    </w:p>
    <w:p>
      <w:pPr>
        <w:pStyle w:val="10"/>
        <w:ind w:left="840" w:leftChars="400" w:firstLine="0" w:firstLineChars="0"/>
        <w:rPr>
          <w:color w:val="auto"/>
          <w:highlight w:val="none"/>
        </w:rPr>
      </w:pPr>
    </w:p>
    <w:p>
      <w:pPr>
        <w:pStyle w:val="10"/>
        <w:ind w:left="840" w:leftChars="400" w:firstLine="0" w:firstLineChars="0"/>
        <w:rPr>
          <w:color w:val="auto"/>
          <w:highlight w:val="none"/>
        </w:rPr>
      </w:pPr>
    </w:p>
    <w:p>
      <w:pPr>
        <w:pStyle w:val="10"/>
        <w:ind w:left="840" w:leftChars="400" w:firstLine="0" w:firstLineChars="0"/>
        <w:rPr>
          <w:color w:val="auto"/>
          <w:highlight w:val="none"/>
        </w:rPr>
      </w:pPr>
    </w:p>
    <w:p>
      <w:pPr>
        <w:pStyle w:val="10"/>
        <w:ind w:left="840" w:leftChars="400" w:firstLine="0" w:firstLineChars="0"/>
        <w:rPr>
          <w:color w:val="auto"/>
          <w:highlight w:val="none"/>
        </w:rPr>
      </w:pPr>
    </w:p>
    <w:p>
      <w:pPr>
        <w:pStyle w:val="3"/>
        <w:numPr>
          <w:ilvl w:val="-1"/>
          <w:numId w:val="0"/>
        </w:numPr>
        <w:rPr>
          <w:color w:val="auto"/>
          <w:sz w:val="40"/>
          <w:szCs w:val="48"/>
          <w:highlight w:val="none"/>
        </w:rPr>
      </w:pPr>
      <w:bookmarkStart w:id="149" w:name="_Toc3286"/>
      <w:bookmarkStart w:id="150" w:name="_Toc30793"/>
      <w:bookmarkStart w:id="151" w:name="_Toc24601"/>
      <w:bookmarkStart w:id="152" w:name="_Toc12419"/>
      <w:bookmarkStart w:id="153" w:name="_Toc22353"/>
      <w:bookmarkStart w:id="154" w:name="_Toc23995"/>
      <w:r>
        <w:rPr>
          <w:rFonts w:hint="default"/>
          <w:color w:val="auto"/>
          <w:sz w:val="40"/>
          <w:szCs w:val="48"/>
          <w:highlight w:val="none"/>
          <w:lang w:eastAsia="zh-CN"/>
        </w:rPr>
        <w:t>第三章</w:t>
      </w:r>
      <w:r>
        <w:rPr>
          <w:rFonts w:hint="default"/>
          <w:color w:val="auto"/>
          <w:sz w:val="40"/>
          <w:szCs w:val="48"/>
          <w:highlight w:val="none"/>
          <w:lang w:val="en-US" w:eastAsia="zh-CN"/>
        </w:rPr>
        <w:t xml:space="preserve"> </w:t>
      </w:r>
      <w:r>
        <w:rPr>
          <w:rFonts w:hint="default"/>
          <w:color w:val="auto"/>
          <w:sz w:val="40"/>
          <w:szCs w:val="48"/>
          <w:highlight w:val="none"/>
        </w:rPr>
        <w:t>采购需求</w:t>
      </w:r>
      <w:bookmarkEnd w:id="147"/>
      <w:bookmarkEnd w:id="148"/>
      <w:bookmarkEnd w:id="149"/>
      <w:bookmarkEnd w:id="150"/>
      <w:bookmarkEnd w:id="151"/>
      <w:bookmarkEnd w:id="152"/>
      <w:bookmarkEnd w:id="153"/>
      <w:bookmarkEnd w:id="154"/>
    </w:p>
    <w:tbl>
      <w:tblPr>
        <w:tblStyle w:val="43"/>
        <w:tblW w:w="964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13"/>
        <w:gridCol w:w="6535"/>
        <w:gridCol w:w="64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bookmarkStart w:id="155" w:name="_Toc24716"/>
            <w:r>
              <w:rPr>
                <w:rFonts w:hint="eastAsia" w:ascii="宋体" w:hAnsi="宋体" w:cs="宋体"/>
                <w:b/>
                <w:bCs/>
                <w:color w:val="auto"/>
                <w:kern w:val="0"/>
                <w:szCs w:val="21"/>
                <w:highlight w:val="none"/>
              </w:rPr>
              <w:t>序号</w:t>
            </w:r>
          </w:p>
        </w:tc>
        <w:tc>
          <w:tcPr>
            <w:tcW w:w="1113" w:type="dxa"/>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服务名称</w:t>
            </w:r>
          </w:p>
        </w:tc>
        <w:tc>
          <w:tcPr>
            <w:tcW w:w="6535"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项目要求及需求</w:t>
            </w:r>
          </w:p>
        </w:tc>
        <w:tc>
          <w:tcPr>
            <w:tcW w:w="64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数量</w:t>
            </w:r>
          </w:p>
        </w:tc>
        <w:tc>
          <w:tcPr>
            <w:tcW w:w="690" w:type="dxa"/>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665" w:type="dxa"/>
            <w:vAlign w:val="center"/>
          </w:tcPr>
          <w:p>
            <w:pPr>
              <w:pStyle w:val="62"/>
              <w:keepNext w:val="0"/>
              <w:keepLines w:val="0"/>
              <w:suppressLineNumbers w:val="0"/>
              <w:spacing w:before="0" w:beforeAutospacing="0" w:after="0" w:afterAutospacing="0"/>
              <w:ind w:left="0" w:right="0" w:firstLine="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113" w:type="dxa"/>
            <w:vAlign w:val="center"/>
          </w:tcPr>
          <w:p>
            <w:pPr>
              <w:keepNext w:val="0"/>
              <w:keepLines w:val="0"/>
              <w:suppressLineNumbers w:val="0"/>
              <w:spacing w:before="0" w:beforeAutospacing="0" w:after="0" w:afterAutospacing="0" w:line="520" w:lineRule="exact"/>
              <w:ind w:left="0" w:leftChars="0" w:right="0" w:rightChars="0"/>
              <w:jc w:val="center"/>
              <w:rPr>
                <w:rFonts w:hint="eastAsia" w:ascii="宋体" w:hAnsi="宋体" w:cs="宋体"/>
                <w:bCs/>
                <w:color w:val="auto"/>
                <w:szCs w:val="21"/>
                <w:highlight w:val="none"/>
              </w:rPr>
            </w:pPr>
            <w:r>
              <w:rPr>
                <w:rFonts w:hint="eastAsia" w:ascii="宋体" w:hAnsi="宋体" w:cs="宋体"/>
                <w:color w:val="auto"/>
                <w:szCs w:val="21"/>
                <w:highlight w:val="none"/>
              </w:rPr>
              <w:t>桂林市第二技工学校安保服务项目</w:t>
            </w:r>
          </w:p>
        </w:tc>
        <w:tc>
          <w:tcPr>
            <w:tcW w:w="6535" w:type="dxa"/>
            <w:vAlign w:val="top"/>
          </w:tcPr>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一</w:t>
            </w:r>
            <w:r>
              <w:rPr>
                <w:rFonts w:hint="eastAsia" w:ascii="宋体" w:hAnsi="宋体" w:cs="宋体"/>
                <w:color w:val="auto"/>
                <w:kern w:val="2"/>
                <w:sz w:val="21"/>
                <w:szCs w:val="21"/>
                <w:highlight w:val="none"/>
              </w:rPr>
              <w:t>、安保服务人员共</w:t>
            </w:r>
            <w:r>
              <w:rPr>
                <w:rFonts w:hint="eastAsia" w:ascii="宋体" w:hAnsi="宋体" w:cs="宋体"/>
                <w:color w:val="auto"/>
                <w:kern w:val="2"/>
                <w:sz w:val="21"/>
                <w:szCs w:val="21"/>
                <w:highlight w:val="none"/>
              </w:rPr>
              <w:t>1</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人(其中女教官1人），共设置综合管理岗位、校内巡逻、门卫和宿舍管理、晚自习纪律、违纪学生处理等五个，实行每日24小时值班制。要求每日24小时均保持有</w:t>
            </w:r>
            <w:r>
              <w:rPr>
                <w:rFonts w:hint="eastAsia" w:ascii="宋体" w:hAnsi="宋体" w:cs="宋体"/>
                <w:color w:val="auto"/>
                <w:kern w:val="2"/>
                <w:sz w:val="21"/>
                <w:szCs w:val="21"/>
                <w:highlight w:val="none"/>
                <w:lang w:val="en-US" w:eastAsia="zh-CN"/>
              </w:rPr>
              <w:t>9</w:t>
            </w:r>
            <w:r>
              <w:rPr>
                <w:rFonts w:hint="eastAsia" w:ascii="宋体" w:hAnsi="宋体" w:cs="宋体"/>
                <w:color w:val="auto"/>
                <w:kern w:val="2"/>
                <w:sz w:val="21"/>
                <w:szCs w:val="21"/>
                <w:highlight w:val="none"/>
              </w:rPr>
              <w:t>名人员在岗值班，其中综合管理岗位1名，校内巡逻</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名，门卫2名，宿舍管理人员3名。安保服务队设队长一名，具有一定管理能力的退伍军人担任，全面主持安保服务队工作，向甲方学保科负责。</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二</w:t>
            </w:r>
            <w:r>
              <w:rPr>
                <w:rFonts w:hint="eastAsia" w:ascii="宋体" w:hAnsi="宋体" w:cs="宋体"/>
                <w:color w:val="auto"/>
                <w:kern w:val="2"/>
                <w:sz w:val="21"/>
                <w:szCs w:val="21"/>
                <w:highlight w:val="none"/>
              </w:rPr>
              <w:t>、所有安保人员要求年龄在22周岁以上55周岁以下，身体健康，符合岗位要求，五官端正，形象素质高，责任心强，思想素质好，无违法犯罪记录，退伍军人或有公安部门经验者占60%以上，全部持保安员证上岗。</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三</w:t>
            </w:r>
            <w:r>
              <w:rPr>
                <w:rFonts w:hint="eastAsia" w:ascii="宋体" w:hAnsi="宋体" w:cs="宋体"/>
                <w:color w:val="auto"/>
                <w:kern w:val="2"/>
                <w:sz w:val="21"/>
                <w:szCs w:val="21"/>
                <w:highlight w:val="none"/>
              </w:rPr>
              <w:t>、在管理区域内工作职责如下：</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1.严格按照门卫、保卫工作职责及管理制度做好本职工作。</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2.负责周一升国旗及平常学生早读或晨跑、课间操、晚自习和各种集会的组织、督促及纪律管理，在上课时间督促学生离开宿舍，并巡视宿舍，督促学生不得无故滞留宿舍。</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3.安保人员配合学校每周值周人员做好检查与维护秩序工作及检查周末学生留宿情况。晚自习期间，安排6人在教室巡查、维护晚自习秩序（每个楼道至少一人）。</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每日安排5名安保人员在男生宿舍门口和教室改造宿舍、民租房值班，管理宿舍大门，巡查宿舍就寝秩序、检查学生晚就寝在位情况、晚上检查学生玩手机、督促学生起床、检查宿舍卫生并对男生宿舍进行评分，对卫生差的宿舍，督促学生搞好卫生，处理宿舍内发生的学生违纪事件。</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安保人员在学校宿管员及值周人员的配合下，对各宿舍就寝学生实施每日检查。发现夜不归宿学生须立即通报班主任，检查情况次日报学保科。每天晚上11点后不定期去宿舍检查学生玩手机情况，如发现有，可没收学生手机，次日交到学保科。</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安保人员在学生密集出入宿舍区时间段（如第四节和第六节课后）负责宿舍区巡查和维护秩序，配合学校宿管员对学生进行必要的盘查，严防学生携带管制器具等违禁物品进入宿舍区。每周至少1次进行宿舍违禁物品检查。周末或收假在大门口检查学生物品，防止违禁物品进入校园。</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7.每天中午、下午、晚自习后必须到宿舍检查巡逻，并做好登记，发现问题及时上报。</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8.做好社会治安综合治理、校园安全防范及秩序维护、防火防盗、校园安全隐患排查等工作，对学生进行人身财产安全教育、消防安全教育，组织防灾演练、消防演练、紧急疏散演练等。</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9.做好在校园及周边区域的学生打架斗殴、敲诈勒索、盗窃等事件的前期调查，做好笔录和思想教育工作。</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10.及时制止违反日常行为规范的学生不良行为。</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11.指导、监督学生对一日生活制度进行落实，抓好学生良好行为习惯的养成。</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12.所有当班人员有事离岗或请假或调班须向学保科领导请假和汇报。所有值班人员必须按质按量完成巡逻工作，每间隔一小时必须到校园指定的指定地点巡逻。若校园突发紧急严重事件，迅速组织调动安保服务队所有人员（含休息期间内不当班人员），尽快到岗参与事件处理。</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13.值班人员负责开关校园教学楼楼道、厕所及校园内的路灯等。</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14.双休日国家法定节假日照常值班。</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15.寒暑假期间，值班可做适当调整。</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16.完成交办的其他涉及安全保卫的工作。</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四</w:t>
            </w:r>
            <w:r>
              <w:rPr>
                <w:rFonts w:hint="eastAsia" w:ascii="宋体" w:hAnsi="宋体" w:cs="宋体"/>
                <w:color w:val="auto"/>
                <w:kern w:val="2"/>
                <w:sz w:val="21"/>
                <w:szCs w:val="21"/>
                <w:highlight w:val="none"/>
              </w:rPr>
              <w:t>、其他事项：</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1.工作的安保人员各项社会保险由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代为缴纳。</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2.学校与</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的工作人员不存在任何经济往来业务。安保服务队中的工作人员，其工资、加班费及节假日福利等均由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发放。</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3.学校有考核、考勤</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派驻学校工作人员的权利，</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必须保证派驻学校的人员每天正常上下班，服从学校学保科管理，不得有脱岗、漏岗（如保卫巡逻人员未按甲方要求到指定地点打卡考勤）、迟到、早退等现象。经双方核实确有不按要求工作的，以每人每次50元扣除</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的服务费。如经学校审核或工作考核不合格的员工，学校有权要求</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立即更换。</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缺少安保人员期间，学校按实际出勤人数支付安保服务费，并且学校有权依据缺勤安保人员次数对</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进行处罚，每发现一人次扣款150元，发现三人次扣除安保服务费1000元。安保人员一周内缺少三人的情况下，学校有权将现场安保人员清退并拒绝支付</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任何费用，因此造成的损失由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承担。</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4.学校配备相关执勤器具，如手电筒、对讲机、胶木棒等，由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统一安排使用，如被</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派驻学校工作人员丢失或故意损坏的，由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照价赔偿。</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5.学校有权对</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派驻工作人员进行相关业务培训。</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6.安保人员，必须经过严格的军事化业务训练，安保人员每周不得少于两次集体业务训练。同时每年为学校组织一次以上消防演练和突发事件紧急疏散演练。</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7.安保人员必须身穿统一安保制服、头盔、袖章上岗，安保制服、头盔、袖章等由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负责采购和发放。</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8.安保人员的生命安全、财产安全责任由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自行承担，与学校无关。</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9.</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指派的员工在工作期间内由于不履行职责，给学校或学校师生造成人身或财产损失的，经公安、司法机关认定属实的由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承担经济损失的30%；</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指派的员工造成自身伤害，由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自负，学校不承担任何责任；</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员工在工作之外，因自身原因对社会造成的伤害和影响，由</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负责，学校不承担任何责任。</w:t>
            </w:r>
          </w:p>
          <w:p>
            <w:pPr>
              <w:pStyle w:val="46"/>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10.学校和</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双方合同依法解除、协商解除、单方解除或者期满终止时，</w:t>
            </w:r>
            <w:r>
              <w:rPr>
                <w:rFonts w:hint="eastAsia" w:ascii="宋体" w:hAnsi="宋体" w:cs="宋体"/>
                <w:color w:val="auto"/>
                <w:kern w:val="2"/>
                <w:sz w:val="21"/>
                <w:szCs w:val="21"/>
                <w:highlight w:val="none"/>
                <w:lang w:eastAsia="zh-CN"/>
              </w:rPr>
              <w:t>供应商</w:t>
            </w:r>
            <w:r>
              <w:rPr>
                <w:rFonts w:hint="eastAsia" w:ascii="宋体" w:hAnsi="宋体" w:cs="宋体"/>
                <w:color w:val="auto"/>
                <w:kern w:val="2"/>
                <w:sz w:val="21"/>
                <w:szCs w:val="21"/>
                <w:highlight w:val="none"/>
              </w:rPr>
              <w:t>应当按照有关规定和合同约定退出合同所指服务项目，并按有关规定和合同约定办理移交手续和项目退出手续。</w:t>
            </w:r>
          </w:p>
          <w:p>
            <w:pPr>
              <w:pStyle w:val="46"/>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highlight w:val="none"/>
                <w:lang w:val="en-US" w:eastAsia="zh-CN"/>
              </w:rPr>
            </w:pPr>
          </w:p>
        </w:tc>
        <w:tc>
          <w:tcPr>
            <w:tcW w:w="640" w:type="dxa"/>
            <w:vAlign w:val="center"/>
          </w:tcPr>
          <w:p>
            <w:pPr>
              <w:keepNext w:val="0"/>
              <w:keepLines w:val="0"/>
              <w:suppressLineNumbers w:val="0"/>
              <w:spacing w:before="0" w:beforeAutospacing="0" w:after="0" w:afterAutospacing="0" w:line="520" w:lineRule="exact"/>
              <w:ind w:left="0" w:right="0"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90" w:type="dxa"/>
            <w:vAlign w:val="center"/>
          </w:tcPr>
          <w:p>
            <w:pPr>
              <w:keepNext w:val="0"/>
              <w:keepLines w:val="0"/>
              <w:suppressLineNumbers w:val="0"/>
              <w:spacing w:before="0" w:beforeAutospacing="0" w:after="0" w:afterAutospacing="0"/>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3" w:type="dxa"/>
            <w:gridSpan w:val="5"/>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b/>
                <w:bCs/>
                <w:color w:val="auto"/>
                <w:szCs w:val="21"/>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9643" w:type="dxa"/>
            <w:gridSpan w:val="5"/>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（一）服务期限</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合同于发出成交通知书之日起</w:t>
            </w:r>
            <w:r>
              <w:rPr>
                <w:rFonts w:hint="eastAsia" w:ascii="宋体" w:hAnsi="宋体" w:eastAsia="宋体" w:cs="宋体"/>
                <w:color w:val="auto"/>
                <w:kern w:val="0"/>
                <w:szCs w:val="21"/>
                <w:highlight w:val="none"/>
                <w:lang w:eastAsia="zh-CN"/>
              </w:rPr>
              <w:t>八个工作</w:t>
            </w:r>
            <w:r>
              <w:rPr>
                <w:rFonts w:hint="eastAsia" w:ascii="宋体" w:hAnsi="宋体" w:cs="宋体"/>
                <w:color w:val="auto"/>
                <w:kern w:val="0"/>
                <w:szCs w:val="21"/>
                <w:highlight w:val="none"/>
              </w:rPr>
              <w:t>日内签订，服务期限：</w:t>
            </w:r>
            <w:r>
              <w:rPr>
                <w:rFonts w:hint="eastAsia" w:ascii="宋体" w:hAnsi="宋体" w:cs="宋体"/>
                <w:color w:val="auto"/>
                <w:szCs w:val="21"/>
                <w:highlight w:val="none"/>
                <w:lang w:val="en-US" w:eastAsia="zh-CN"/>
              </w:rPr>
              <w:t>一年</w:t>
            </w:r>
            <w:r>
              <w:rPr>
                <w:rFonts w:hint="eastAsia" w:ascii="宋体" w:hAnsi="宋体" w:cs="宋体"/>
                <w:color w:val="auto"/>
                <w:kern w:val="0"/>
                <w:szCs w:val="21"/>
                <w:highlight w:val="none"/>
              </w:rPr>
              <w:t>。</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（二）履行合同的时间、地点</w:t>
            </w:r>
          </w:p>
          <w:p>
            <w:pPr>
              <w:keepNext w:val="0"/>
              <w:keepLines w:val="0"/>
              <w:widowControl/>
              <w:numPr>
                <w:ilvl w:val="-1"/>
                <w:numId w:val="0"/>
              </w:numPr>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履行合同的时间：</w:t>
            </w:r>
            <w:r>
              <w:rPr>
                <w:rFonts w:hint="eastAsia" w:ascii="宋体" w:hAnsi="宋体" w:cs="宋体"/>
                <w:color w:val="auto"/>
                <w:kern w:val="0"/>
                <w:szCs w:val="21"/>
                <w:highlight w:val="none"/>
                <w:lang w:eastAsia="zh-CN"/>
              </w:rPr>
              <w:t>自</w:t>
            </w:r>
            <w:r>
              <w:rPr>
                <w:rFonts w:hint="eastAsia" w:ascii="宋体" w:hAnsi="宋体" w:cs="宋体"/>
                <w:color w:val="auto"/>
                <w:kern w:val="0"/>
                <w:szCs w:val="21"/>
                <w:highlight w:val="none"/>
                <w:lang w:val="en-US" w:eastAsia="zh-CN"/>
              </w:rPr>
              <w:t>2026年2月1日</w:t>
            </w:r>
            <w:r>
              <w:rPr>
                <w:rFonts w:hint="eastAsia" w:ascii="宋体" w:hAnsi="宋体" w:cs="宋体"/>
                <w:color w:val="auto"/>
                <w:kern w:val="0"/>
                <w:szCs w:val="21"/>
                <w:highlight w:val="none"/>
              </w:rPr>
              <w:t>起开始提供服务。</w:t>
            </w:r>
          </w:p>
          <w:p>
            <w:pPr>
              <w:keepNext w:val="0"/>
              <w:keepLines w:val="0"/>
              <w:widowControl/>
              <w:numPr>
                <w:ilvl w:val="-1"/>
                <w:numId w:val="0"/>
              </w:numPr>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履行合同的地点：</w:t>
            </w:r>
            <w:r>
              <w:rPr>
                <w:rFonts w:hint="eastAsia" w:ascii="宋体" w:hAnsi="宋体" w:cs="宋体"/>
                <w:b w:val="0"/>
                <w:bCs/>
                <w:color w:val="auto"/>
                <w:kern w:val="0"/>
                <w:szCs w:val="21"/>
                <w:highlight w:val="none"/>
                <w:lang w:eastAsia="zh-CN"/>
              </w:rPr>
              <w:t>桂林市第二技工学校</w:t>
            </w:r>
            <w:r>
              <w:rPr>
                <w:rFonts w:hint="eastAsia" w:ascii="宋体" w:hAnsi="宋体" w:cs="宋体"/>
                <w:b w:val="0"/>
                <w:bCs/>
                <w:color w:val="auto"/>
                <w:kern w:val="0"/>
                <w:szCs w:val="21"/>
                <w:highlight w:val="none"/>
              </w:rPr>
              <w:t>指定地点</w:t>
            </w:r>
            <w:r>
              <w:rPr>
                <w:rFonts w:hint="eastAsia" w:ascii="宋体" w:hAnsi="宋体" w:cs="宋体"/>
                <w:bCs/>
                <w:color w:val="auto"/>
                <w:kern w:val="0"/>
                <w:szCs w:val="21"/>
                <w:highlight w:val="none"/>
              </w:rPr>
              <w:t>。</w:t>
            </w:r>
          </w:p>
          <w:p>
            <w:pPr>
              <w:keepNext w:val="0"/>
              <w:keepLines w:val="0"/>
              <w:widowControl/>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（三）付款方式</w:t>
            </w:r>
          </w:p>
          <w:p>
            <w:pPr>
              <w:keepNext w:val="0"/>
              <w:keepLines w:val="0"/>
              <w:widowControl/>
              <w:suppressLineNumbers w:val="0"/>
              <w:spacing w:before="0" w:beforeAutospacing="0" w:after="0" w:afterAutospacing="0" w:line="380" w:lineRule="exact"/>
              <w:ind w:left="0" w:right="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分12个月支付，每月费用于下月15日前支付总合同金额的1/12(无息)。</w:t>
            </w:r>
          </w:p>
          <w:p>
            <w:pPr>
              <w:keepNext w:val="0"/>
              <w:keepLines w:val="0"/>
              <w:widowControl/>
              <w:suppressLineNumbers w:val="0"/>
              <w:spacing w:before="0" w:beforeAutospacing="0" w:after="0" w:afterAutospacing="0" w:line="380" w:lineRule="exact"/>
              <w:ind w:left="0" w:right="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（四）验收标准和方法（考核办法）</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1、采购人对供应商提供的服务有监督权、检查权和考核权，有权对供应商服务提出意见和建议的权利。</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2、采购人对供应商的服务质量及服务水平不符合标准时，应当即时提出整改，供应商不按要求整改的按考核办法予以扣分。对服务质量差且水平低的人员，可要求供应商更换。</w:t>
            </w:r>
          </w:p>
          <w:p>
            <w:pPr>
              <w:keepNext w:val="0"/>
              <w:keepLines w:val="0"/>
              <w:widowControl/>
              <w:suppressLineNumbers w:val="0"/>
              <w:spacing w:before="0" w:beforeAutospacing="0" w:after="0" w:afterAutospacing="0" w:line="380" w:lineRule="exact"/>
              <w:ind w:left="0" w:right="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3、供应商应积极采纳采购人给出的合理化建议，协助采购人处理有关投诉。</w:t>
            </w:r>
          </w:p>
          <w:p>
            <w:pPr>
              <w:keepNext w:val="0"/>
              <w:keepLines w:val="0"/>
              <w:widowControl/>
              <w:suppressLineNumbers w:val="0"/>
              <w:spacing w:before="0" w:beforeAutospacing="0" w:after="0" w:afterAutospacing="0" w:line="380" w:lineRule="exact"/>
              <w:ind w:left="0" w:right="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lang w:eastAsia="zh-CN"/>
              </w:rPr>
              <w:t>（五）</w:t>
            </w:r>
            <w:r>
              <w:rPr>
                <w:rFonts w:hint="eastAsia" w:ascii="宋体" w:hAnsi="宋体" w:eastAsia="宋体" w:cs="宋体"/>
                <w:b w:val="0"/>
                <w:bCs/>
                <w:color w:val="auto"/>
                <w:szCs w:val="21"/>
                <w:highlight w:val="none"/>
              </w:rPr>
              <w:t>预算金额：人民币</w:t>
            </w:r>
            <w:r>
              <w:rPr>
                <w:rFonts w:hint="eastAsia" w:ascii="宋体" w:hAnsi="宋体" w:cs="宋体"/>
                <w:b w:val="0"/>
                <w:bCs/>
                <w:color w:val="auto"/>
                <w:szCs w:val="21"/>
                <w:highlight w:val="none"/>
                <w:lang w:val="en-US" w:eastAsia="zh-CN"/>
              </w:rPr>
              <w:t>伍拾肆万柒仟贰佰元整</w:t>
            </w: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547200.00</w:t>
            </w:r>
            <w:r>
              <w:rPr>
                <w:rFonts w:hint="eastAsia" w:ascii="宋体" w:hAnsi="宋体" w:eastAsia="宋体" w:cs="宋体"/>
                <w:b w:val="0"/>
                <w:bCs/>
                <w:color w:val="auto"/>
                <w:szCs w:val="21"/>
                <w:highlight w:val="none"/>
              </w:rPr>
              <w:t>元）</w:t>
            </w:r>
            <w:r>
              <w:rPr>
                <w:rFonts w:hint="eastAsia" w:ascii="宋体" w:hAnsi="宋体" w:eastAsia="宋体" w:cs="宋体"/>
                <w:b w:val="0"/>
                <w:bCs/>
                <w:color w:val="auto"/>
                <w:szCs w:val="21"/>
                <w:highlight w:val="none"/>
                <w:lang w:eastAsia="zh-CN"/>
              </w:rPr>
              <w:t>；</w:t>
            </w:r>
            <w:r>
              <w:rPr>
                <w:rFonts w:hint="eastAsia" w:ascii="宋体" w:hAnsi="宋体" w:cs="宋体"/>
                <w:bCs/>
                <w:color w:val="auto"/>
                <w:szCs w:val="21"/>
                <w:highlight w:val="none"/>
              </w:rPr>
              <w:t>供应商报价</w:t>
            </w:r>
            <w:r>
              <w:rPr>
                <w:rFonts w:hint="eastAsia" w:ascii="宋体" w:hAnsi="宋体" w:cs="宋体"/>
                <w:bCs/>
                <w:color w:val="auto"/>
                <w:kern w:val="0"/>
                <w:szCs w:val="21"/>
                <w:highlight w:val="none"/>
              </w:rPr>
              <w:t>超出采购预算金额的，响应文件按无效处理。</w:t>
            </w:r>
          </w:p>
        </w:tc>
      </w:tr>
    </w:tbl>
    <w:p>
      <w:pPr>
        <w:pStyle w:val="5"/>
        <w:rPr>
          <w:rFonts w:hint="eastAsia"/>
          <w:bCs/>
          <w:color w:val="auto"/>
          <w:highlight w:val="none"/>
        </w:rPr>
      </w:pPr>
      <w:r>
        <w:rPr>
          <w:rFonts w:hint="eastAsia" w:ascii="宋体" w:hAnsi="宋体" w:cs="宋体"/>
          <w:b w:val="0"/>
          <w:bCs/>
          <w:color w:val="auto"/>
          <w:szCs w:val="21"/>
          <w:highlight w:val="none"/>
          <w:lang w:val="en-US" w:eastAsia="zh-CN"/>
        </w:rPr>
        <w:t>备注：</w:t>
      </w:r>
      <w:r>
        <w:rPr>
          <w:rFonts w:hint="eastAsia" w:ascii="宋体" w:hAnsi="宋体" w:cs="宋体"/>
          <w:b w:val="0"/>
          <w:bCs/>
          <w:color w:val="auto"/>
          <w:szCs w:val="21"/>
          <w:highlight w:val="none"/>
        </w:rPr>
        <w:t>本“采购需求”中的所有内容均为实质性要求，不允许负偏离，否则响应无效。</w:t>
      </w:r>
    </w:p>
    <w:p>
      <w:pPr>
        <w:adjustRightInd w:val="0"/>
        <w:snapToGrid w:val="0"/>
        <w:spacing w:line="400" w:lineRule="exact"/>
        <w:rPr>
          <w:rFonts w:hint="eastAsia" w:ascii="宋体" w:hAnsi="宋体" w:cs="宋体"/>
          <w:b/>
          <w:bCs/>
          <w:color w:val="auto"/>
          <w:kern w:val="0"/>
          <w:szCs w:val="21"/>
          <w:highlight w:val="none"/>
          <w:lang w:val="en-US" w:eastAsia="zh-CN"/>
        </w:rPr>
      </w:pPr>
    </w:p>
    <w:p>
      <w:pPr>
        <w:adjustRightInd w:val="0"/>
        <w:snapToGrid w:val="0"/>
        <w:spacing w:line="400" w:lineRule="exact"/>
        <w:rPr>
          <w:rFonts w:hint="eastAsia" w:ascii="宋体" w:hAnsi="宋体" w:cs="宋体"/>
          <w:b/>
          <w:bCs/>
          <w:color w:val="auto"/>
          <w:kern w:val="0"/>
          <w:szCs w:val="21"/>
          <w:highlight w:val="none"/>
          <w:lang w:val="en-US" w:eastAsia="zh-CN"/>
        </w:rPr>
      </w:pPr>
    </w:p>
    <w:p>
      <w:pPr>
        <w:adjustRightInd w:val="0"/>
        <w:snapToGrid w:val="0"/>
        <w:spacing w:line="400" w:lineRule="exact"/>
        <w:rPr>
          <w:rFonts w:hint="eastAsia" w:ascii="宋体" w:hAnsi="宋体" w:cs="宋体"/>
          <w:b/>
          <w:bCs/>
          <w:color w:val="auto"/>
          <w:kern w:val="0"/>
          <w:szCs w:val="21"/>
          <w:highlight w:val="none"/>
          <w:lang w:val="en-US" w:eastAsia="zh-CN"/>
        </w:rPr>
      </w:pPr>
    </w:p>
    <w:p>
      <w:pPr>
        <w:adjustRightInd w:val="0"/>
        <w:snapToGrid w:val="0"/>
        <w:spacing w:line="400" w:lineRule="exact"/>
        <w:rPr>
          <w:rFonts w:hint="eastAsia" w:ascii="宋体" w:hAnsi="宋体" w:cs="宋体"/>
          <w:b/>
          <w:bCs/>
          <w:color w:val="auto"/>
          <w:kern w:val="0"/>
          <w:szCs w:val="21"/>
          <w:highlight w:val="none"/>
          <w:lang w:val="en-US" w:eastAsia="zh-CN"/>
        </w:rPr>
      </w:pPr>
    </w:p>
    <w:p>
      <w:pPr>
        <w:adjustRightInd w:val="0"/>
        <w:snapToGrid w:val="0"/>
        <w:spacing w:line="400" w:lineRule="exact"/>
        <w:rPr>
          <w:rFonts w:hint="eastAsia" w:ascii="宋体" w:hAnsi="宋体" w:cs="宋体"/>
          <w:b/>
          <w:bCs/>
          <w:color w:val="auto"/>
          <w:kern w:val="0"/>
          <w:szCs w:val="21"/>
          <w:highlight w:val="none"/>
          <w:lang w:val="en-US" w:eastAsia="zh-CN"/>
        </w:rPr>
      </w:pPr>
    </w:p>
    <w:p>
      <w:pPr>
        <w:adjustRightInd w:val="0"/>
        <w:snapToGrid w:val="0"/>
        <w:spacing w:line="400" w:lineRule="exact"/>
        <w:rPr>
          <w:rFonts w:hint="eastAsia" w:ascii="宋体" w:hAnsi="宋体" w:cs="宋体"/>
          <w:b/>
          <w:bCs/>
          <w:color w:val="auto"/>
          <w:kern w:val="0"/>
          <w:szCs w:val="21"/>
          <w:highlight w:val="none"/>
          <w:lang w:val="en-US" w:eastAsia="zh-CN"/>
        </w:rPr>
      </w:pPr>
    </w:p>
    <w:p>
      <w:pPr>
        <w:adjustRightInd w:val="0"/>
        <w:snapToGrid w:val="0"/>
        <w:spacing w:line="400" w:lineRule="exact"/>
        <w:rPr>
          <w:rFonts w:hint="eastAsia" w:ascii="宋体" w:hAnsi="宋体" w:cs="宋体"/>
          <w:b/>
          <w:bCs/>
          <w:color w:val="auto"/>
          <w:kern w:val="0"/>
          <w:szCs w:val="21"/>
          <w:highlight w:val="none"/>
          <w:lang w:val="en-US" w:eastAsia="zh-CN"/>
        </w:rPr>
      </w:pPr>
    </w:p>
    <w:p>
      <w:pPr>
        <w:pStyle w:val="21"/>
        <w:rPr>
          <w:rFonts w:hint="eastAsia" w:ascii="宋体" w:hAnsi="宋体" w:cs="宋体"/>
          <w:b/>
          <w:bCs/>
          <w:color w:val="auto"/>
          <w:kern w:val="0"/>
          <w:szCs w:val="21"/>
          <w:highlight w:val="none"/>
          <w:lang w:val="en-US" w:eastAsia="zh-CN"/>
        </w:rPr>
      </w:pPr>
    </w:p>
    <w:p>
      <w:pPr>
        <w:rPr>
          <w:rFonts w:hint="eastAsia"/>
          <w:color w:val="auto"/>
          <w:highlight w:val="none"/>
          <w:lang w:val="en-US" w:eastAsia="zh-CN"/>
        </w:rPr>
      </w:pPr>
    </w:p>
    <w:p>
      <w:pPr>
        <w:pStyle w:val="3"/>
        <w:rPr>
          <w:color w:val="auto"/>
          <w:highlight w:val="none"/>
        </w:rPr>
      </w:pPr>
      <w:bookmarkStart w:id="156" w:name="_Toc29196"/>
      <w:bookmarkStart w:id="157" w:name="_Toc1804"/>
      <w:bookmarkStart w:id="158" w:name="_Toc16136"/>
      <w:bookmarkStart w:id="159" w:name="_Toc22890"/>
      <w:r>
        <w:rPr>
          <w:rFonts w:hint="eastAsia"/>
          <w:color w:val="auto"/>
          <w:sz w:val="40"/>
          <w:szCs w:val="48"/>
          <w:highlight w:val="none"/>
        </w:rPr>
        <w:t>第四章 评审办法</w:t>
      </w:r>
      <w:bookmarkEnd w:id="155"/>
      <w:bookmarkEnd w:id="156"/>
      <w:bookmarkEnd w:id="157"/>
      <w:bookmarkEnd w:id="158"/>
      <w:bookmarkEnd w:id="159"/>
    </w:p>
    <w:p>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一、评审依据及方式</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评审依据：磋商小组以磋商文件和响应文件为评标依据，对磋</w:t>
      </w:r>
      <w:r>
        <w:rPr>
          <w:rFonts w:hint="eastAsia" w:ascii="宋体" w:hAnsi="宋体" w:cs="宋体"/>
          <w:b w:val="0"/>
          <w:bCs w:val="0"/>
          <w:color w:val="auto"/>
          <w:szCs w:val="21"/>
          <w:highlight w:val="none"/>
        </w:rPr>
        <w:t>商供应商的磋商报价、</w:t>
      </w:r>
      <w:r>
        <w:rPr>
          <w:rFonts w:hint="eastAsia" w:ascii="宋体" w:hAnsi="宋体" w:cs="宋体"/>
          <w:b w:val="0"/>
          <w:bCs w:val="0"/>
          <w:color w:val="auto"/>
          <w:szCs w:val="21"/>
          <w:highlight w:val="none"/>
          <w:lang w:eastAsia="zh-CN"/>
        </w:rPr>
        <w:t>实施方案</w:t>
      </w:r>
      <w:r>
        <w:rPr>
          <w:rFonts w:hint="eastAsia" w:ascii="宋体" w:hAnsi="宋体" w:cs="宋体"/>
          <w:b w:val="0"/>
          <w:bCs w:val="0"/>
          <w:color w:val="auto"/>
          <w:szCs w:val="21"/>
          <w:highlight w:val="none"/>
        </w:rPr>
        <w:t>、</w:t>
      </w:r>
      <w:r>
        <w:rPr>
          <w:rFonts w:hint="eastAsia" w:ascii="宋体" w:hAnsi="宋体" w:cs="宋体"/>
          <w:b w:val="0"/>
          <w:color w:val="auto"/>
          <w:szCs w:val="21"/>
          <w:highlight w:val="none"/>
          <w:lang w:val="en-US" w:eastAsia="zh-CN"/>
        </w:rPr>
        <w:t>履约能力</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eastAsia="zh-CN"/>
        </w:rPr>
        <w:t>业绩</w:t>
      </w:r>
      <w:r>
        <w:rPr>
          <w:rFonts w:hint="eastAsia" w:ascii="宋体" w:hAnsi="宋体" w:cs="宋体"/>
          <w:b w:val="0"/>
          <w:bCs w:val="0"/>
          <w:color w:val="auto"/>
          <w:szCs w:val="21"/>
          <w:highlight w:val="none"/>
        </w:rPr>
        <w:t>等几个方面内</w:t>
      </w:r>
      <w:r>
        <w:rPr>
          <w:rFonts w:hint="eastAsia" w:ascii="宋体" w:hAnsi="宋体" w:cs="宋体"/>
          <w:color w:val="auto"/>
          <w:szCs w:val="21"/>
          <w:highlight w:val="none"/>
        </w:rPr>
        <w:t>容按百分制打分。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评审方式：以封闭方式进行评标。</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采购人和采购代理机构、磋商小组成员要严格遵守政府采购相关法律制度，依法履行各自职责，公正、客观、审慎地组织和参与评审工作。</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二、评审办法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（一）对进入详评的，采用综合评分法。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（二）计分办法（按四舍五入取至小数点后二位）</w:t>
      </w:r>
    </w:p>
    <w:p>
      <w:pPr>
        <w:spacing w:line="360" w:lineRule="auto"/>
        <w:rPr>
          <w:color w:val="auto"/>
          <w:highlight w:val="none"/>
        </w:rPr>
      </w:pPr>
      <w:r>
        <w:rPr>
          <w:rFonts w:hint="eastAsia" w:ascii="宋体" w:hAnsi="宋体" w:cs="宋体"/>
          <w:b/>
          <w:bCs/>
          <w:color w:val="auto"/>
          <w:sz w:val="22"/>
          <w:szCs w:val="22"/>
          <w:highlight w:val="none"/>
        </w:rPr>
        <w:t>1、价格分…………………………………………………………………………………………………30分</w:t>
      </w:r>
    </w:p>
    <w:p>
      <w:pPr>
        <w:pStyle w:val="19"/>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Ansi="宋体" w:cs="宋体"/>
          <w:bCs/>
          <w:color w:val="auto"/>
          <w:kern w:val="0"/>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宋体" w:cs="宋体"/>
          <w:color w:val="auto"/>
          <w:sz w:val="21"/>
          <w:szCs w:val="21"/>
          <w:highlight w:val="none"/>
        </w:rPr>
        <w:t>满足磋商文件要求且最后报价最低的供应商的价格作为</w:t>
      </w:r>
      <w:r>
        <w:rPr>
          <w:rFonts w:hint="eastAsia" w:ascii="宋体" w:hAnsi="宋体" w:eastAsia="宋体" w:cs="宋体"/>
          <w:b/>
          <w:bCs/>
          <w:color w:val="auto"/>
          <w:sz w:val="21"/>
          <w:szCs w:val="21"/>
          <w:highlight w:val="none"/>
        </w:rPr>
        <w:t>磋商基准价</w:t>
      </w:r>
      <w:r>
        <w:rPr>
          <w:rFonts w:hint="eastAsia" w:ascii="宋体" w:hAnsi="宋体" w:eastAsia="宋体" w:cs="宋体"/>
          <w:color w:val="auto"/>
          <w:sz w:val="21"/>
          <w:szCs w:val="21"/>
          <w:highlight w:val="none"/>
        </w:rPr>
        <w:t>，其价格分为满分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pPr>
        <w:pStyle w:val="19"/>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Ansi="宋体" w:cs="宋体"/>
          <w:b/>
          <w:bCs/>
          <w:color w:val="auto"/>
          <w:highlight w:val="none"/>
        </w:rPr>
      </w:pPr>
      <w:r>
        <w:rPr>
          <w:rFonts w:hint="eastAsia" w:hAnsi="宋体" w:cs="宋体"/>
          <w:bCs/>
          <w:color w:val="auto"/>
          <w:kern w:val="0"/>
          <w:szCs w:val="21"/>
          <w:highlight w:val="none"/>
          <w:lang w:eastAsia="zh-CN"/>
        </w:rPr>
        <w:t>（</w:t>
      </w:r>
      <w:r>
        <w:rPr>
          <w:rFonts w:hint="eastAsia" w:hAnsi="宋体" w:cs="宋体"/>
          <w:bCs/>
          <w:color w:val="auto"/>
          <w:kern w:val="0"/>
          <w:szCs w:val="21"/>
          <w:highlight w:val="none"/>
          <w:lang w:val="en-US" w:eastAsia="zh-CN"/>
        </w:rPr>
        <w:t>2</w:t>
      </w:r>
      <w:r>
        <w:rPr>
          <w:rFonts w:hint="eastAsia" w:hAnsi="宋体" w:cs="宋体"/>
          <w:bCs/>
          <w:color w:val="auto"/>
          <w:kern w:val="0"/>
          <w:szCs w:val="21"/>
          <w:highlight w:val="none"/>
          <w:lang w:eastAsia="zh-CN"/>
        </w:rPr>
        <w:t>）</w:t>
      </w:r>
      <w:r>
        <w:rPr>
          <w:rFonts w:hint="eastAsia" w:hAnsi="宋体" w:cs="宋体"/>
          <w:bCs/>
          <w:color w:val="auto"/>
          <w:kern w:val="0"/>
          <w:szCs w:val="21"/>
          <w:highlight w:val="none"/>
        </w:rPr>
        <w:t>供应商</w:t>
      </w:r>
      <w:r>
        <w:rPr>
          <w:rFonts w:hint="eastAsia" w:hAnsi="宋体" w:cs="宋体"/>
          <w:color w:val="auto"/>
          <w:kern w:val="0"/>
          <w:szCs w:val="21"/>
          <w:highlight w:val="none"/>
        </w:rPr>
        <w:t>磋商报价得分=（磋商基准价/供应商的最后报价）×30分。</w:t>
      </w:r>
    </w:p>
    <w:p>
      <w:pPr>
        <w:pStyle w:val="19"/>
        <w:keepNext w:val="0"/>
        <w:keepLines w:val="0"/>
        <w:pageBreakBefore w:val="0"/>
        <w:widowControl w:val="0"/>
        <w:kinsoku/>
        <w:wordWrap/>
        <w:overflowPunct/>
        <w:topLinePunct w:val="0"/>
        <w:autoSpaceDE/>
        <w:autoSpaceDN/>
        <w:bidi w:val="0"/>
        <w:spacing w:line="400" w:lineRule="exact"/>
        <w:ind w:left="0" w:leftChars="0" w:right="0" w:rightChars="0" w:firstLine="0" w:firstLineChars="0"/>
        <w:jc w:val="both"/>
        <w:textAlignment w:val="auto"/>
        <w:outlineLvl w:val="9"/>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为了确保采购质量和维护公平的竞争，项目评审时，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磋商小组应当将其作为无效磋商处理。</w:t>
      </w:r>
    </w:p>
    <w:p>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2、</w:t>
      </w:r>
      <w:r>
        <w:rPr>
          <w:rFonts w:hint="eastAsia" w:ascii="宋体" w:hAnsi="宋体" w:cs="宋体"/>
          <w:b/>
          <w:bCs/>
          <w:color w:val="auto"/>
          <w:sz w:val="22"/>
          <w:szCs w:val="22"/>
          <w:highlight w:val="none"/>
          <w:lang w:eastAsia="zh-CN"/>
        </w:rPr>
        <w:t>实施方案</w:t>
      </w:r>
      <w:r>
        <w:rPr>
          <w:rFonts w:hint="eastAsia" w:ascii="宋体" w:hAnsi="宋体" w:cs="宋体"/>
          <w:b/>
          <w:bCs/>
          <w:color w:val="auto"/>
          <w:sz w:val="22"/>
          <w:szCs w:val="22"/>
          <w:highlight w:val="none"/>
        </w:rPr>
        <w:t>分……………………………………………………………………………………………</w:t>
      </w:r>
      <w:r>
        <w:rPr>
          <w:rFonts w:hint="eastAsia" w:ascii="宋体" w:hAnsi="宋体" w:cs="宋体"/>
          <w:b/>
          <w:bCs/>
          <w:color w:val="auto"/>
          <w:sz w:val="22"/>
          <w:szCs w:val="22"/>
          <w:highlight w:val="none"/>
          <w:lang w:val="en-US" w:eastAsia="zh-CN"/>
        </w:rPr>
        <w:t>36</w:t>
      </w:r>
      <w:r>
        <w:rPr>
          <w:rFonts w:hint="eastAsia" w:ascii="宋体" w:hAnsi="宋体" w:cs="宋体"/>
          <w:b/>
          <w:bCs/>
          <w:color w:val="auto"/>
          <w:sz w:val="22"/>
          <w:szCs w:val="22"/>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（1）服务方案分（满分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评委在打分前根据竞争性磋商文件要求，对比各供应商提供的“服务方案”内容（该服务方案内容至少包含岗前培训方案、校园安全管理水平等内容）的完整性、可靠及合理性、针对性、实用性，确定供应商所属档次</w:t>
      </w:r>
      <w:r>
        <w:rPr>
          <w:rFonts w:hint="eastAsia" w:ascii="宋体" w:hAnsi="宋体" w:cs="宋体"/>
          <w:color w:val="auto"/>
          <w:szCs w:val="21"/>
          <w:highlight w:val="none"/>
          <w:lang w:eastAsia="zh-CN"/>
        </w:rPr>
        <w:t>，</w:t>
      </w:r>
      <w:r>
        <w:rPr>
          <w:rFonts w:hint="eastAsia" w:ascii="宋体" w:hAnsi="宋体" w:cs="宋体"/>
          <w:color w:val="auto"/>
          <w:szCs w:val="21"/>
          <w:highlight w:val="none"/>
        </w:rPr>
        <w:t>在相应档次内由评委独立打分。</w:t>
      </w:r>
    </w:p>
    <w:p>
      <w:pPr>
        <w:pStyle w:val="46"/>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一档（0分）：未提供服务方案</w:t>
      </w:r>
      <w:r>
        <w:rPr>
          <w:rFonts w:hint="eastAsia" w:ascii="宋体" w:hAnsi="宋体" w:cs="宋体"/>
          <w:color w:val="auto"/>
          <w:kern w:val="2"/>
          <w:sz w:val="21"/>
          <w:szCs w:val="21"/>
          <w:highlight w:val="none"/>
          <w:lang w:eastAsia="zh-CN"/>
        </w:rPr>
        <w:t>或提供的服务方案差</w:t>
      </w:r>
      <w:r>
        <w:rPr>
          <w:rFonts w:hint="eastAsia" w:ascii="宋体" w:hAnsi="宋体" w:cs="宋体"/>
          <w:color w:val="auto"/>
          <w:kern w:val="2"/>
          <w:sz w:val="21"/>
          <w:szCs w:val="21"/>
          <w:highlight w:val="none"/>
        </w:rPr>
        <w:t>的计0分；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分）：服务方案完整性、可靠及合理性、针对性、实用性一般；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分）：服务方案完整性、可靠及合理性、针对性、实用性较好；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分）：服务方案完整性、可靠及合理性、针对性、实用性优良。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（2）应急处置方案分（满分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评委在打分前根据竞争性磋商文件要求，对比各供应商响应文件提供的“应急处置方案”内容（该应急处置方案至少包含治安事件、暴力恐怖事件、火灾、暴雨、地震等突发事件）的完整性、针对性、合理性，确定供应商所属档次,在相应档次内由评委独立打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一档（0分）：未提供应急处置方案</w:t>
      </w:r>
      <w:r>
        <w:rPr>
          <w:rFonts w:hint="eastAsia" w:ascii="宋体" w:hAnsi="宋体" w:cs="宋体"/>
          <w:color w:val="auto"/>
          <w:szCs w:val="21"/>
          <w:highlight w:val="none"/>
          <w:lang w:eastAsia="zh-CN"/>
        </w:rPr>
        <w:t>或提供的</w:t>
      </w:r>
      <w:r>
        <w:rPr>
          <w:rFonts w:hint="eastAsia" w:ascii="宋体" w:hAnsi="宋体" w:cs="宋体"/>
          <w:color w:val="auto"/>
          <w:szCs w:val="21"/>
          <w:highlight w:val="none"/>
        </w:rPr>
        <w:t>应急处置方案</w:t>
      </w:r>
      <w:r>
        <w:rPr>
          <w:rFonts w:hint="eastAsia" w:ascii="宋体" w:hAnsi="宋体" w:cs="宋体"/>
          <w:color w:val="auto"/>
          <w:szCs w:val="21"/>
          <w:highlight w:val="none"/>
          <w:lang w:eastAsia="zh-CN"/>
        </w:rPr>
        <w:t>差</w:t>
      </w:r>
      <w:r>
        <w:rPr>
          <w:rFonts w:hint="eastAsia" w:ascii="宋体" w:hAnsi="宋体" w:cs="宋体"/>
          <w:color w:val="auto"/>
          <w:szCs w:val="21"/>
          <w:highlight w:val="none"/>
        </w:rPr>
        <w:t>的计0分；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分）：应急处置方案完整性、针对性、合理性一般；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分）：应急处置方案完整性、针对性、合理性较好；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分）：应急处置方案完整性、针对性、合理性优良。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（3）管理措施方案分（满分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评委在打分前根据竞争性磋商文件要求，对比各供应商响应文件提供的“管理措施方案”内容（该管理措施至少包含日常工作机制、岗位责任制度、平时演练、应急演练等方面管理措施）的完整性、针对性、具体性、合理性，确定供应商所属档次,在相应档次内由评委独立打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一档（0分）：未提供管理措施方案或方案不切实际的计0分；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分）：管理措施方案完整性、针对性、具体性、合理性一般；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分）：管理措施方案完整性、针对性、具体性、合理性较好；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分）：管理措施方案完整性、针对性、具体性、合理性优良。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（4）学生宿舍管理方案（满分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结合项目的实际情况制定“学生宿舍管理方案”：①管理方式（包括：内部管理构架、管理运作机制、激励机制、监督机制、自我约束机制、信息反馈处理机制）、②工作计划、③保洁措施、④学生宿舍巡查工作方案、⑤应急预案（包括：安全、消防、设备故障处置措施）等。确定供应商所属档次，在相应档次内由评委独立打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一档（0分）：未提供学生宿舍管理方案或方案不切实际的计0分；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分）：学生宿舍管理方案基本完善，具有操作性的；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分）：学生宿舍管理方案详细、可行、有针对性、可操作性较强，有适合本项目特点的管理方案、工作计划、保洁措施，且完善基本可行的；</w:t>
      </w:r>
    </w:p>
    <w:p>
      <w:pPr>
        <w:spacing w:line="360" w:lineRule="auto"/>
        <w:ind w:firstLine="420" w:firstLineChars="200"/>
        <w:rPr>
          <w:color w:val="auto"/>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分）：学生宿舍管理方案详细、可行、针对性强、可操作性非常强，有适合本项目特点的管理方案、工作计划、保洁措施、学生宿舍巡查工作方案、应急预案，且完善可行的。</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3.履约能力分…………………………………………………………………………………………………</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（1）信誉分（满分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①供应商</w:t>
      </w:r>
      <w:r>
        <w:rPr>
          <w:rFonts w:hint="eastAsia" w:ascii="宋体" w:hAnsi="宋体" w:cs="宋体"/>
          <w:color w:val="auto"/>
          <w:szCs w:val="21"/>
          <w:highlight w:val="none"/>
          <w:lang w:eastAsia="zh-CN"/>
        </w:rPr>
        <w:t>获得市保安协会及以上颁发的先进保安保安公司</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获得市保安协会</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lang w:eastAsia="zh-CN"/>
        </w:rPr>
        <w:t>以上颁发的优秀</w:t>
      </w:r>
      <w:r>
        <w:rPr>
          <w:rFonts w:hint="eastAsia" w:ascii="宋体" w:hAnsi="宋体" w:cs="宋体"/>
          <w:color w:val="auto"/>
          <w:szCs w:val="21"/>
          <w:highlight w:val="none"/>
          <w:lang w:val="en-US" w:eastAsia="zh-CN"/>
        </w:rPr>
        <w:t>管理者</w:t>
      </w:r>
      <w:r>
        <w:rPr>
          <w:rFonts w:hint="eastAsia" w:ascii="宋体" w:hAnsi="宋体" w:cs="宋体"/>
          <w:color w:val="auto"/>
          <w:szCs w:val="21"/>
          <w:highlight w:val="none"/>
          <w:lang w:eastAsia="zh-CN"/>
        </w:rPr>
        <w:t>；</w:t>
      </w:r>
      <w:r>
        <w:rPr>
          <w:rFonts w:hint="eastAsia" w:ascii="宋体" w:hAnsi="宋体" w:cs="宋体"/>
          <w:color w:val="auto"/>
          <w:szCs w:val="21"/>
          <w:highlight w:val="none"/>
        </w:rPr>
        <w:t>每提供一个得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拥有安保管理类软件系统（平台）信息系统软件并承诺无偿在本项目</w:t>
      </w:r>
      <w:r>
        <w:rPr>
          <w:rFonts w:hint="eastAsia" w:ascii="宋体" w:hAnsi="宋体" w:cs="宋体"/>
          <w:color w:val="auto"/>
          <w:szCs w:val="21"/>
          <w:highlight w:val="none"/>
          <w:lang w:eastAsia="zh-CN"/>
        </w:rPr>
        <w:t>合同期</w:t>
      </w:r>
      <w:r>
        <w:rPr>
          <w:rFonts w:hint="eastAsia" w:ascii="宋体" w:hAnsi="宋体" w:cs="宋体"/>
          <w:color w:val="auto"/>
          <w:szCs w:val="21"/>
          <w:highlight w:val="none"/>
        </w:rPr>
        <w:t>内投入使用</w:t>
      </w:r>
      <w:r>
        <w:rPr>
          <w:rFonts w:hint="eastAsia" w:ascii="宋体" w:hAnsi="宋体" w:cs="宋体"/>
          <w:color w:val="auto"/>
          <w:szCs w:val="21"/>
          <w:highlight w:val="none"/>
          <w:lang w:eastAsia="zh-CN"/>
        </w:rPr>
        <w:t>，该软件包含：</w:t>
      </w:r>
      <w:r>
        <w:rPr>
          <w:rFonts w:hint="eastAsia" w:ascii="宋体" w:hAnsi="宋体" w:cs="宋体"/>
          <w:color w:val="auto"/>
          <w:szCs w:val="21"/>
          <w:highlight w:val="none"/>
        </w:rPr>
        <w:t>服务投诉管理平台类；保安巡逻可视化管理系统类；应急调度指挥系统类；安保安全视频监控管理系统类。</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文件中须提供销售合同及发票</w:t>
      </w:r>
      <w:r>
        <w:rPr>
          <w:rFonts w:hint="eastAsia" w:ascii="宋体" w:hAnsi="宋体" w:cs="宋体"/>
          <w:color w:val="auto"/>
          <w:szCs w:val="21"/>
          <w:highlight w:val="none"/>
          <w:lang w:eastAsia="zh-CN"/>
        </w:rPr>
        <w:t>或</w:t>
      </w:r>
      <w:r>
        <w:rPr>
          <w:rFonts w:hint="eastAsia" w:ascii="宋体" w:hAnsi="宋体" w:cs="宋体"/>
          <w:color w:val="auto"/>
          <w:szCs w:val="21"/>
          <w:highlight w:val="none"/>
        </w:rPr>
        <w:t>提供官网查询截图</w:t>
      </w:r>
      <w:r>
        <w:rPr>
          <w:rFonts w:hint="eastAsia" w:ascii="宋体" w:hAnsi="宋体" w:cs="宋体"/>
          <w:color w:val="auto"/>
          <w:szCs w:val="21"/>
          <w:highlight w:val="none"/>
          <w:lang w:eastAsia="zh-CN"/>
        </w:rPr>
        <w:t>。以上内容必须同时满足方可得</w:t>
      </w:r>
      <w:r>
        <w:rPr>
          <w:rFonts w:hint="eastAsia" w:ascii="宋体" w:hAnsi="宋体" w:cs="宋体"/>
          <w:color w:val="auto"/>
          <w:szCs w:val="21"/>
          <w:highlight w:val="none"/>
          <w:lang w:val="en-US" w:eastAsia="zh-CN"/>
        </w:rPr>
        <w:t>5分，否则不得分。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）人员配置分（满分</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①由评委在打分前根据各供应商提供的“保安人员和宿舍管理员配置方案”内容的合理性、科学性、可行性、管理体系架构及作息安排等方面进行比较，确定供应商所属档次，在相应档次内由评委独立打分，满分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一档（0分）：未提供“保安人员和宿舍管理员配置方案”的计0分；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分）：方案内容的合理性、科学性、可行性、管理体系架构及作息安排一般；</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分）：方案内容的合理性、科学性、可行性、管理体系架构及作息安排较好；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分）：方案内容的合理性、科学性、可行性、管理体系架构及作息安排优良。</w:t>
      </w:r>
    </w:p>
    <w:p>
      <w:pPr>
        <w:spacing w:line="360" w:lineRule="auto"/>
        <w:ind w:firstLine="420" w:firstLineChars="200"/>
        <w:rPr>
          <w:rFonts w:hint="eastAsia" w:ascii="宋体" w:hAnsi="宋体" w:eastAsia="宋体" w:cs="宋体"/>
          <w:i w:val="0"/>
          <w:color w:val="auto"/>
          <w:kern w:val="2"/>
          <w:sz w:val="21"/>
          <w:szCs w:val="21"/>
          <w:highlight w:val="none"/>
          <w:lang w:val="en-US" w:eastAsia="zh-CN" w:bidi="ar"/>
        </w:rPr>
      </w:pPr>
      <w:r>
        <w:rPr>
          <w:rFonts w:hint="eastAsia" w:ascii="宋体" w:hAnsi="宋体" w:cs="宋体"/>
          <w:color w:val="auto"/>
          <w:szCs w:val="21"/>
          <w:highlight w:val="none"/>
        </w:rPr>
        <w:t>②派驻保安人员其中至少1名为</w:t>
      </w:r>
      <w:r>
        <w:rPr>
          <w:rFonts w:hint="eastAsia" w:ascii="宋体" w:hAnsi="宋体" w:cs="宋体"/>
          <w:color w:val="auto"/>
          <w:szCs w:val="21"/>
          <w:highlight w:val="none"/>
          <w:lang w:val="en-US" w:eastAsia="zh-CN"/>
        </w:rPr>
        <w:t>四级军士长</w:t>
      </w:r>
      <w:r>
        <w:rPr>
          <w:rFonts w:hint="eastAsia" w:ascii="宋体" w:hAnsi="宋体" w:cs="宋体"/>
          <w:color w:val="auto"/>
          <w:szCs w:val="21"/>
          <w:highlight w:val="none"/>
        </w:rPr>
        <w:t>，</w:t>
      </w:r>
      <w:r>
        <w:rPr>
          <w:rFonts w:hint="eastAsia" w:ascii="宋体" w:hAnsi="宋体" w:cs="宋体"/>
          <w:color w:val="auto"/>
          <w:szCs w:val="21"/>
          <w:highlight w:val="none"/>
          <w:lang w:eastAsia="zh-CN"/>
        </w:rPr>
        <w:t>并附相关证件，</w:t>
      </w:r>
      <w:r>
        <w:rPr>
          <w:rFonts w:hint="eastAsia" w:ascii="宋体" w:hAnsi="宋体" w:cs="宋体"/>
          <w:color w:val="auto"/>
          <w:szCs w:val="21"/>
          <w:highlight w:val="none"/>
        </w:rPr>
        <w:t>每提供一个加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分，最高</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需提供近</w:t>
      </w:r>
      <w:r>
        <w:rPr>
          <w:rFonts w:hint="eastAsia" w:ascii="宋体" w:hAnsi="宋体" w:eastAsia="宋体" w:cs="宋体"/>
          <w:i w:val="0"/>
          <w:color w:val="auto"/>
          <w:kern w:val="2"/>
          <w:sz w:val="21"/>
          <w:szCs w:val="21"/>
          <w:highlight w:val="none"/>
          <w:lang w:val="en-US" w:eastAsia="zh-CN" w:bidi="ar"/>
        </w:rPr>
        <w:t>半年内任意连续三个月缴纳社保证明。否则不得分。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③</w:t>
      </w:r>
      <w:r>
        <w:rPr>
          <w:rFonts w:hint="eastAsia" w:ascii="宋体" w:hAnsi="宋体" w:eastAsia="宋体" w:cs="宋体"/>
          <w:i w:val="0"/>
          <w:color w:val="auto"/>
          <w:kern w:val="2"/>
          <w:sz w:val="21"/>
          <w:szCs w:val="21"/>
          <w:highlight w:val="none"/>
          <w:lang w:val="en-US" w:eastAsia="zh-CN" w:bidi="ar"/>
        </w:rPr>
        <w:t>派驻保安人员拥有1名三级以上保安员证，并附相关证件，每提供一个加3分，最高3分。</w:t>
      </w:r>
      <w:r>
        <w:rPr>
          <w:rFonts w:hint="eastAsia" w:ascii="宋体" w:hAnsi="宋体" w:cs="宋体"/>
          <w:color w:val="auto"/>
          <w:szCs w:val="21"/>
          <w:highlight w:val="none"/>
          <w:lang w:eastAsia="zh-CN"/>
        </w:rPr>
        <w:t>需提供近</w:t>
      </w:r>
      <w:r>
        <w:rPr>
          <w:rFonts w:hint="eastAsia" w:ascii="宋体" w:hAnsi="宋体" w:eastAsia="宋体" w:cs="宋体"/>
          <w:i w:val="0"/>
          <w:color w:val="auto"/>
          <w:kern w:val="2"/>
          <w:sz w:val="21"/>
          <w:szCs w:val="21"/>
          <w:highlight w:val="none"/>
          <w:lang w:val="en-US" w:eastAsia="zh-CN" w:bidi="ar"/>
        </w:rPr>
        <w:t>半年内任意连续三个月缴纳社保证明。否则不得分。</w:t>
      </w:r>
      <w:r>
        <w:rPr>
          <w:rFonts w:hint="eastAsia" w:ascii="宋体" w:hAnsi="宋体" w:cs="宋体"/>
          <w:color w:val="auto"/>
          <w:szCs w:val="21"/>
          <w:highlight w:val="none"/>
        </w:rPr>
        <w:t xml:space="preserve"> </w:t>
      </w:r>
    </w:p>
    <w:p>
      <w:pPr>
        <w:spacing w:line="360" w:lineRule="auto"/>
        <w:ind w:left="504" w:leftChars="16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w:t>
      </w:r>
      <w:r>
        <w:rPr>
          <w:rFonts w:hint="eastAsia" w:ascii="宋体" w:hAnsi="宋体" w:cs="宋体"/>
          <w:color w:val="auto"/>
          <w:sz w:val="21"/>
          <w:szCs w:val="21"/>
          <w:highlight w:val="none"/>
          <w:lang w:val="en-US"/>
        </w:rPr>
        <w:t>派驻保安人员</w:t>
      </w:r>
      <w:r>
        <w:rPr>
          <w:rFonts w:hint="eastAsia" w:ascii="宋体" w:hAnsi="宋体" w:cs="宋体"/>
          <w:color w:val="auto"/>
          <w:sz w:val="21"/>
          <w:szCs w:val="21"/>
          <w:highlight w:val="none"/>
          <w:lang w:val="en-US" w:eastAsia="zh-CN"/>
        </w:rPr>
        <w:t>每有1名同时持有中级以上消防设施操作员证、退役军人证、大专以上毕业证，</w:t>
      </w:r>
      <w:r>
        <w:rPr>
          <w:rFonts w:hint="eastAsia" w:ascii="宋体" w:hAnsi="宋体" w:cs="宋体"/>
          <w:color w:val="auto"/>
          <w:sz w:val="21"/>
          <w:szCs w:val="21"/>
          <w:highlight w:val="none"/>
          <w:lang w:val="en-US"/>
        </w:rPr>
        <w:t>每提供一个加3分，最高3分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rPr>
        <w:t>需提供近半年内任意连续三个月缴纳社保证明</w:t>
      </w:r>
      <w:r>
        <w:rPr>
          <w:rFonts w:hint="eastAsia" w:ascii="宋体" w:hAnsi="宋体" w:cs="宋体"/>
          <w:color w:val="auto"/>
          <w:sz w:val="21"/>
          <w:szCs w:val="21"/>
          <w:highlight w:val="none"/>
          <w:lang w:val="en-US" w:eastAsia="zh-CN"/>
        </w:rPr>
        <w:t>。</w:t>
      </w:r>
      <w:r>
        <w:rPr>
          <w:rFonts w:hint="eastAsia" w:ascii="宋体" w:hAnsi="宋体" w:eastAsia="宋体" w:cs="宋体"/>
          <w:i w:val="0"/>
          <w:color w:val="auto"/>
          <w:kern w:val="2"/>
          <w:sz w:val="21"/>
          <w:szCs w:val="21"/>
          <w:highlight w:val="none"/>
          <w:lang w:val="en-US" w:eastAsia="zh-CN" w:bidi="ar"/>
        </w:rPr>
        <w:t>否则不得分。</w:t>
      </w:r>
      <w:r>
        <w:rPr>
          <w:rFonts w:hint="eastAsia" w:ascii="宋体" w:hAnsi="宋体" w:cs="宋体"/>
          <w:color w:val="auto"/>
          <w:szCs w:val="21"/>
          <w:highlight w:val="none"/>
        </w:rPr>
        <w:t xml:space="preserve"> </w:t>
      </w:r>
    </w:p>
    <w:p>
      <w:pPr>
        <w:spacing w:line="360" w:lineRule="auto"/>
        <w:ind w:left="504" w:leftChars="16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w:t>
      </w:r>
      <w:r>
        <w:rPr>
          <w:rFonts w:hint="eastAsia" w:ascii="宋体" w:hAnsi="宋体" w:cs="宋体"/>
          <w:color w:val="auto"/>
          <w:sz w:val="21"/>
          <w:szCs w:val="21"/>
          <w:highlight w:val="none"/>
          <w:lang w:val="en-US"/>
        </w:rPr>
        <w:t>派驻</w:t>
      </w:r>
      <w:r>
        <w:rPr>
          <w:rFonts w:hint="eastAsia" w:ascii="宋体" w:hAnsi="宋体" w:cs="宋体"/>
          <w:color w:val="auto"/>
          <w:sz w:val="21"/>
          <w:szCs w:val="21"/>
          <w:highlight w:val="none"/>
          <w:lang w:val="en-US" w:eastAsia="zh-CN"/>
        </w:rPr>
        <w:t>的其他</w:t>
      </w:r>
      <w:r>
        <w:rPr>
          <w:rFonts w:hint="eastAsia" w:ascii="宋体" w:hAnsi="宋体" w:cs="宋体"/>
          <w:color w:val="auto"/>
          <w:sz w:val="21"/>
          <w:szCs w:val="21"/>
          <w:highlight w:val="none"/>
          <w:lang w:val="en-US"/>
        </w:rPr>
        <w:t>保安人员</w:t>
      </w:r>
      <w:r>
        <w:rPr>
          <w:rFonts w:hint="eastAsia" w:ascii="宋体" w:hAnsi="宋体" w:cs="宋体"/>
          <w:color w:val="auto"/>
          <w:sz w:val="21"/>
          <w:szCs w:val="21"/>
          <w:highlight w:val="none"/>
          <w:lang w:val="en-US" w:eastAsia="zh-CN"/>
        </w:rPr>
        <w:t>每有1名同时持有退役军人证、保安证，</w:t>
      </w:r>
      <w:r>
        <w:rPr>
          <w:rFonts w:hint="eastAsia" w:ascii="宋体" w:hAnsi="宋体" w:cs="宋体"/>
          <w:color w:val="auto"/>
          <w:sz w:val="21"/>
          <w:szCs w:val="21"/>
          <w:highlight w:val="none"/>
          <w:lang w:val="en-US"/>
        </w:rPr>
        <w:t>每提供一个加</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en-US"/>
        </w:rPr>
        <w:t>分，最高3分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rPr>
        <w:t>需提供近半年内任意连续三个月缴纳社保证明</w:t>
      </w:r>
      <w:r>
        <w:rPr>
          <w:rFonts w:hint="eastAsia" w:ascii="宋体" w:hAnsi="宋体" w:cs="宋体"/>
          <w:color w:val="auto"/>
          <w:sz w:val="21"/>
          <w:szCs w:val="21"/>
          <w:highlight w:val="none"/>
          <w:lang w:val="en-US" w:eastAsia="zh-CN"/>
        </w:rPr>
        <w:t>。</w:t>
      </w:r>
    </w:p>
    <w:p>
      <w:pPr>
        <w:spacing w:line="360" w:lineRule="auto"/>
        <w:rPr>
          <w:color w:val="auto"/>
          <w:highlight w:val="none"/>
        </w:rPr>
      </w:pPr>
      <w:r>
        <w:rPr>
          <w:rFonts w:hint="eastAsia" w:ascii="宋体" w:hAnsi="宋体" w:cs="宋体"/>
          <w:b/>
          <w:bCs/>
          <w:color w:val="auto"/>
          <w:szCs w:val="21"/>
          <w:highlight w:val="none"/>
        </w:rPr>
        <w:t>4.</w:t>
      </w:r>
      <w:r>
        <w:rPr>
          <w:rFonts w:hint="eastAsia" w:ascii="宋体" w:hAnsi="宋体" w:cs="宋体"/>
          <w:b/>
          <w:bCs/>
          <w:color w:val="auto"/>
          <w:szCs w:val="21"/>
          <w:highlight w:val="none"/>
          <w:lang w:eastAsia="zh-CN"/>
        </w:rPr>
        <w:t>业绩分</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年以来具有同类项目的业绩相关证明材料（无不良记录，以中标、成交通知书或签订的合同为准，并能清晰反映项目的名称、采购内容、采购金额、采购时间），</w:t>
      </w:r>
      <w:r>
        <w:rPr>
          <w:rFonts w:hint="eastAsia" w:ascii="宋体" w:hAnsi="宋体" w:cs="宋体"/>
          <w:color w:val="auto"/>
          <w:szCs w:val="21"/>
          <w:highlight w:val="none"/>
          <w:lang w:eastAsia="zh-CN"/>
        </w:rPr>
        <w:t>同一项目只能算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项，</w:t>
      </w:r>
      <w:r>
        <w:rPr>
          <w:rFonts w:hint="eastAsia" w:ascii="宋体" w:hAnsi="宋体" w:cs="宋体"/>
          <w:color w:val="auto"/>
          <w:szCs w:val="21"/>
          <w:highlight w:val="none"/>
        </w:rPr>
        <w:t>每</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1项得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b/>
          <w:bCs/>
          <w:color w:val="auto"/>
          <w:szCs w:val="21"/>
          <w:highlight w:val="none"/>
        </w:rPr>
        <w:t>5. 综合得分＝1+2+3+4</w:t>
      </w:r>
    </w:p>
    <w:p>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三、推荐成交候选供应商原则</w:t>
      </w:r>
    </w:p>
    <w:p>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（1）磋商小组应当根据综合评分情况，按照综合得分由高到低顺序推荐</w:t>
      </w:r>
      <w:r>
        <w:rPr>
          <w:rFonts w:hint="eastAsia" w:ascii="宋体" w:hAnsi="宋体" w:cs="宋体"/>
          <w:b/>
          <w:bCs/>
          <w:color w:val="auto"/>
          <w:szCs w:val="21"/>
          <w:highlight w:val="none"/>
          <w:lang w:eastAsia="zh-CN"/>
        </w:rPr>
        <w:t>三名</w:t>
      </w:r>
      <w:r>
        <w:rPr>
          <w:rFonts w:hint="eastAsia" w:ascii="宋体" w:hAnsi="宋体" w:cs="宋体"/>
          <w:b/>
          <w:bCs/>
          <w:color w:val="auto"/>
          <w:szCs w:val="21"/>
          <w:highlight w:val="none"/>
        </w:rPr>
        <w:t>成交候选供应商，并编写评审报告。磋商小组根据综合得分由高到低排列次序，若得分相同时，依次按照</w:t>
      </w:r>
      <w:r>
        <w:rPr>
          <w:rFonts w:hint="eastAsia" w:hAnsi="宋体" w:cs="宋体"/>
          <w:b/>
          <w:bCs/>
          <w:color w:val="auto"/>
          <w:szCs w:val="21"/>
          <w:highlight w:val="none"/>
          <w:lang w:eastAsia="zh-CN"/>
        </w:rPr>
        <w:t>实施方案</w:t>
      </w:r>
      <w:r>
        <w:rPr>
          <w:rFonts w:hint="eastAsia" w:ascii="宋体" w:hAnsi="宋体" w:cs="宋体"/>
          <w:b/>
          <w:bCs/>
          <w:color w:val="auto"/>
          <w:szCs w:val="21"/>
          <w:highlight w:val="none"/>
        </w:rPr>
        <w:t>、</w:t>
      </w:r>
      <w:r>
        <w:rPr>
          <w:rFonts w:hint="eastAsia" w:hAnsi="宋体" w:cs="宋体"/>
          <w:b/>
          <w:color w:val="auto"/>
          <w:szCs w:val="21"/>
          <w:highlight w:val="none"/>
          <w:lang w:val="en-US" w:eastAsia="zh-CN"/>
        </w:rPr>
        <w:t>履约能力</w:t>
      </w:r>
      <w:r>
        <w:rPr>
          <w:rFonts w:hint="eastAsia" w:ascii="宋体" w:hAnsi="宋体" w:cs="宋体"/>
          <w:b/>
          <w:bCs/>
          <w:color w:val="auto"/>
          <w:szCs w:val="21"/>
          <w:highlight w:val="none"/>
        </w:rPr>
        <w:t>得分由高到低顺序排列。</w:t>
      </w:r>
    </w:p>
    <w:p>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（2）采购单位应当确定磋商小组推荐排名第一的成交候选人为成交供应商。</w:t>
      </w:r>
    </w:p>
    <w:p>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（3）排名第一的成交候选人放弃成交、因不可抗力提出不能履行合同，或者磋商文件规定应当提交履约保证金而在规定的期限内未能提交的，采购单位可以确定排名第二的成交候选人为成交供应商。</w:t>
      </w:r>
    </w:p>
    <w:p>
      <w:pPr>
        <w:pStyle w:val="9"/>
        <w:spacing w:line="360" w:lineRule="auto"/>
        <w:rPr>
          <w:rFonts w:ascii="宋体" w:hAnsi="宋体" w:cs="宋体"/>
          <w:color w:val="auto"/>
          <w:szCs w:val="21"/>
          <w:highlight w:val="none"/>
        </w:rPr>
        <w:sectPr>
          <w:headerReference r:id="rId5" w:type="default"/>
          <w:footerReference r:id="rId6" w:type="default"/>
          <w:pgSz w:w="11906" w:h="16838"/>
          <w:pgMar w:top="1134" w:right="1134" w:bottom="1134" w:left="1134" w:header="851" w:footer="992" w:gutter="0"/>
          <w:pgNumType w:fmt="decimal" w:chapStyle="1" w:chapSep="hyphen"/>
          <w:cols w:space="720" w:num="1"/>
          <w:docGrid w:type="lines" w:linePitch="312" w:charSpace="0"/>
        </w:sectPr>
      </w:pPr>
      <w:r>
        <w:rPr>
          <w:rFonts w:hint="eastAsia" w:ascii="宋体" w:hAnsi="宋体" w:cs="宋体"/>
          <w:b/>
          <w:bCs/>
          <w:color w:val="auto"/>
          <w:szCs w:val="21"/>
          <w:highlight w:val="none"/>
        </w:rPr>
        <w:t xml:space="preserve">    （4）排名第二的成交候选人因前款规定的同样原因不能签订合同的，采购单位可以确定排名第三的成交候选人为成交供应商。</w:t>
      </w:r>
    </w:p>
    <w:p>
      <w:pPr>
        <w:spacing w:line="280" w:lineRule="exact"/>
        <w:rPr>
          <w:rFonts w:ascii="宋体" w:hAnsi="宋体" w:cs="宋体"/>
          <w:b/>
          <w:bCs/>
          <w:color w:val="auto"/>
          <w:sz w:val="24"/>
          <w:highlight w:val="none"/>
        </w:rPr>
      </w:pPr>
      <w:r>
        <w:rPr>
          <w:rFonts w:hint="eastAsia" w:ascii="宋体" w:hAnsi="宋体" w:cs="宋体"/>
          <w:b/>
          <w:bCs/>
          <w:color w:val="auto"/>
          <w:sz w:val="24"/>
          <w:highlight w:val="none"/>
        </w:rPr>
        <w:t>附表</w:t>
      </w:r>
    </w:p>
    <w:p>
      <w:pPr>
        <w:widowControl/>
        <w:spacing w:beforeLines="50" w:afterLines="50" w:line="280" w:lineRule="exact"/>
        <w:jc w:val="center"/>
        <w:rPr>
          <w:rFonts w:ascii="宋体" w:hAnsi="宋体" w:cs="宋体"/>
          <w:b/>
          <w:bCs/>
          <w:color w:val="auto"/>
          <w:kern w:val="0"/>
          <w:sz w:val="30"/>
          <w:szCs w:val="30"/>
          <w:highlight w:val="none"/>
        </w:rPr>
      </w:pPr>
      <w:bookmarkStart w:id="160" w:name="_Toc28361_WPSOffice_Level2"/>
      <w:r>
        <w:rPr>
          <w:rFonts w:hint="eastAsia" w:ascii="宋体" w:hAnsi="宋体" w:cs="宋体"/>
          <w:b/>
          <w:bCs/>
          <w:color w:val="auto"/>
          <w:kern w:val="0"/>
          <w:sz w:val="30"/>
          <w:szCs w:val="30"/>
          <w:highlight w:val="none"/>
        </w:rPr>
        <w:t>统计上大中小微型企业划分标准</w:t>
      </w:r>
      <w:bookmarkEnd w:id="160"/>
    </w:p>
    <w:tbl>
      <w:tblPr>
        <w:tblStyle w:val="43"/>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keepNext w:val="0"/>
              <w:keepLines w:val="0"/>
              <w:widowControl/>
              <w:suppressLineNumbers w:val="0"/>
              <w:spacing w:before="0" w:beforeAutospacing="0" w:after="0" w:afterAutospacing="0" w:line="280" w:lineRule="exact"/>
              <w:ind w:left="-1" w:leftChars="-1" w:right="0"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keepNext w:val="0"/>
              <w:keepLines w:val="0"/>
              <w:widowControl/>
              <w:suppressLineNumbers w:val="0"/>
              <w:spacing w:before="0" w:beforeAutospacing="0" w:after="0" w:afterAutospacing="0" w:line="280" w:lineRule="exact"/>
              <w:ind w:left="-1" w:leftChars="-1" w:right="0"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keepNext w:val="0"/>
              <w:keepLines w:val="0"/>
              <w:widowControl/>
              <w:suppressLineNumbers w:val="0"/>
              <w:spacing w:before="0" w:beforeAutospacing="0" w:after="0" w:afterAutospacing="0" w:line="280" w:lineRule="exact"/>
              <w:ind w:left="-1" w:leftChars="-1" w:right="0"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spacing w:val="-12"/>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restart"/>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113" w:type="dxa"/>
            <w:vMerge w:val="continue"/>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113" w:type="dxa"/>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keepNext w:val="0"/>
              <w:keepLines w:val="0"/>
              <w:widowControl/>
              <w:suppressLineNumbers w:val="0"/>
              <w:spacing w:before="0" w:beforeAutospacing="0" w:after="0" w:afterAutospacing="0" w:line="280" w:lineRule="exact"/>
              <w:ind w:left="1" w:leftChars="-51" w:right="0"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280" w:lineRule="exac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pPr>
        <w:pStyle w:val="19"/>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pPr>
        <w:pStyle w:val="19"/>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9"/>
        <w:spacing w:line="280" w:lineRule="exact"/>
        <w:ind w:firstLine="512" w:firstLineChars="200"/>
        <w:rPr>
          <w:rFonts w:hAnsi="宋体" w:cs="宋体"/>
          <w:color w:val="auto"/>
          <w:spacing w:val="8"/>
          <w:kern w:val="0"/>
          <w:sz w:val="24"/>
          <w:szCs w:val="24"/>
          <w:highlight w:val="none"/>
        </w:rPr>
        <w:sectPr>
          <w:pgSz w:w="11906" w:h="16838"/>
          <w:pgMar w:top="1500" w:right="1134" w:bottom="1258" w:left="1134" w:header="850" w:footer="992" w:gutter="0"/>
          <w:pgNumType w:fmt="decimal" w:chapStyle="1" w:chapSep="hyphen"/>
          <w:cols w:space="720" w:num="1"/>
          <w:docGrid w:type="linesAndChars" w:linePitch="331" w:charSpace="0"/>
        </w:sect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61" w:name="_Toc4774"/>
      <w:bookmarkStart w:id="162" w:name="_Toc8466"/>
    </w:p>
    <w:p>
      <w:pPr>
        <w:pStyle w:val="3"/>
        <w:rPr>
          <w:color w:val="auto"/>
          <w:sz w:val="40"/>
          <w:szCs w:val="48"/>
          <w:highlight w:val="none"/>
        </w:rPr>
      </w:pPr>
      <w:bookmarkStart w:id="163" w:name="_Toc4397"/>
      <w:bookmarkStart w:id="164" w:name="_Toc18085"/>
      <w:bookmarkStart w:id="165" w:name="_Toc32131"/>
      <w:bookmarkStart w:id="166" w:name="_Toc5351"/>
      <w:bookmarkStart w:id="167" w:name="_Toc23394"/>
      <w:bookmarkStart w:id="168" w:name="_Toc25360"/>
      <w:r>
        <w:rPr>
          <w:rFonts w:hint="eastAsia"/>
          <w:color w:val="auto"/>
          <w:sz w:val="40"/>
          <w:szCs w:val="48"/>
          <w:highlight w:val="none"/>
        </w:rPr>
        <w:t>第五章 采购合同（合同主要条款及格式）</w:t>
      </w:r>
      <w:bookmarkEnd w:id="161"/>
      <w:bookmarkEnd w:id="162"/>
      <w:bookmarkEnd w:id="163"/>
      <w:bookmarkEnd w:id="164"/>
      <w:bookmarkEnd w:id="165"/>
      <w:bookmarkEnd w:id="166"/>
      <w:bookmarkEnd w:id="167"/>
      <w:bookmarkEnd w:id="168"/>
    </w:p>
    <w:p>
      <w:pPr>
        <w:spacing w:line="420" w:lineRule="exact"/>
        <w:rPr>
          <w:rFonts w:ascii="宋体" w:hAnsi="宋体" w:cs="宋体"/>
          <w:color w:val="auto"/>
          <w:szCs w:val="21"/>
          <w:highlight w:val="none"/>
        </w:rPr>
      </w:pPr>
      <w:bookmarkStart w:id="169" w:name="_Toc24269"/>
      <w:bookmarkStart w:id="170" w:name="_Toc10014"/>
      <w:bookmarkStart w:id="171" w:name="_Toc5077"/>
      <w:r>
        <w:rPr>
          <w:rFonts w:hint="eastAsia" w:ascii="宋体" w:hAnsi="宋体" w:cs="宋体"/>
          <w:color w:val="auto"/>
          <w:szCs w:val="21"/>
          <w:highlight w:val="none"/>
        </w:rPr>
        <w:t>合同编号：</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桂林市第二技工学校安保服务项目</w:t>
      </w:r>
      <w:r>
        <w:rPr>
          <w:rFonts w:hint="eastAsia" w:ascii="宋体" w:hAnsi="宋体" w:cs="宋体"/>
          <w:color w:val="auto"/>
          <w:szCs w:val="21"/>
          <w:highlight w:val="none"/>
        </w:rPr>
        <w:t xml:space="preserve">  </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GLZC2025-C3-990695-GXTG</w:t>
      </w:r>
    </w:p>
    <w:p>
      <w:pPr>
        <w:spacing w:line="360" w:lineRule="auto"/>
        <w:rPr>
          <w:rFonts w:ascii="宋体" w:hAnsi="宋体" w:cs="宋体"/>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桂林市第二技工学校</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pPr>
        <w:spacing w:line="360" w:lineRule="auto"/>
        <w:rPr>
          <w:rFonts w:ascii="宋体" w:hAnsi="宋体" w:cs="宋体"/>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color w:val="auto"/>
          <w:highlight w:val="none"/>
        </w:rPr>
        <w:t>（成交供应商）</w:t>
      </w:r>
    </w:p>
    <w:p>
      <w:pPr>
        <w:widowControl/>
        <w:ind w:firstLine="420" w:firstLineChars="200"/>
        <w:jc w:val="left"/>
        <w:rPr>
          <w:rFonts w:ascii="宋体" w:hAnsi="宋体" w:cs="宋体"/>
          <w:color w:val="auto"/>
          <w:highlight w:val="none"/>
        </w:rPr>
      </w:pPr>
      <w:r>
        <w:rPr>
          <w:rFonts w:hint="eastAsia" w:ascii="宋体" w:hAnsi="宋体" w:cs="宋体"/>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pPr>
        <w:pStyle w:val="2"/>
        <w:ind w:left="567" w:leftChars="200" w:hanging="147" w:hangingChars="70"/>
        <w:rPr>
          <w:rFonts w:ascii="宋体" w:hAnsi="宋体" w:cs="宋体"/>
          <w:b/>
          <w:bCs w:val="0"/>
          <w:color w:val="auto"/>
          <w:sz w:val="21"/>
          <w:szCs w:val="21"/>
          <w:highlight w:val="none"/>
        </w:rPr>
      </w:pPr>
      <w:bookmarkStart w:id="172" w:name="_Toc845"/>
      <w:bookmarkStart w:id="173" w:name="_Toc30275"/>
      <w:bookmarkStart w:id="174" w:name="_Toc20217"/>
      <w:r>
        <w:rPr>
          <w:rFonts w:hint="eastAsia" w:ascii="宋体" w:hAnsi="宋体" w:cs="宋体"/>
          <w:b/>
          <w:bCs w:val="0"/>
          <w:color w:val="auto"/>
          <w:sz w:val="21"/>
          <w:szCs w:val="21"/>
          <w:highlight w:val="none"/>
        </w:rPr>
        <w:t>第一条 合同文件</w:t>
      </w:r>
      <w:bookmarkEnd w:id="172"/>
      <w:bookmarkEnd w:id="173"/>
      <w:bookmarkEnd w:id="174"/>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1、本合同所附下列文件是构成本合同不可分割的部分：</w:t>
      </w:r>
    </w:p>
    <w:p>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（1）成交供应商提交的</w:t>
      </w:r>
      <w:r>
        <w:rPr>
          <w:rFonts w:hint="eastAsia" w:ascii="宋体" w:hAnsi="宋体" w:cs="宋体"/>
          <w:color w:val="auto"/>
          <w:szCs w:val="21"/>
          <w:highlight w:val="none"/>
        </w:rPr>
        <w:t>磋商</w:t>
      </w:r>
      <w:r>
        <w:rPr>
          <w:rFonts w:hint="eastAsia" w:ascii="宋体" w:hAnsi="宋体" w:cs="宋体"/>
          <w:color w:val="auto"/>
          <w:highlight w:val="none"/>
        </w:rPr>
        <w:t>报价表、</w:t>
      </w:r>
      <w:r>
        <w:rPr>
          <w:rFonts w:hint="eastAsia" w:ascii="宋体" w:hAnsi="宋体" w:cs="宋体"/>
          <w:color w:val="auto"/>
          <w:szCs w:val="21"/>
          <w:highlight w:val="none"/>
        </w:rPr>
        <w:t>针对本项目的服务承诺书</w:t>
      </w:r>
      <w:r>
        <w:rPr>
          <w:rFonts w:hint="eastAsia" w:ascii="宋体" w:hAnsi="宋体" w:cs="宋体"/>
          <w:color w:val="auto"/>
          <w:highlight w:val="none"/>
        </w:rPr>
        <w:t>；</w:t>
      </w:r>
    </w:p>
    <w:p>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（2）成交通知书；</w:t>
      </w:r>
    </w:p>
    <w:p>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（3）本合同协议书及有关补充资料；</w:t>
      </w:r>
    </w:p>
    <w:p>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（4）磋商文件的条款要求。</w:t>
      </w:r>
    </w:p>
    <w:p>
      <w:pPr>
        <w:tabs>
          <w:tab w:val="left" w:pos="130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2、合同价金额包括：服务过程中相关的一切费用。</w:t>
      </w:r>
    </w:p>
    <w:p>
      <w:pPr>
        <w:pStyle w:val="2"/>
        <w:ind w:left="567" w:leftChars="200" w:hanging="147" w:hangingChars="70"/>
        <w:rPr>
          <w:color w:val="auto"/>
          <w:highlight w:val="none"/>
        </w:rPr>
      </w:pPr>
      <w:bookmarkStart w:id="175" w:name="_Toc28710"/>
      <w:bookmarkStart w:id="176" w:name="_Toc25572"/>
      <w:bookmarkStart w:id="177" w:name="_Toc6972"/>
      <w:r>
        <w:rPr>
          <w:rFonts w:hint="eastAsia" w:ascii="宋体" w:hAnsi="宋体" w:cs="宋体"/>
          <w:b/>
          <w:bCs w:val="0"/>
          <w:color w:val="auto"/>
          <w:sz w:val="21"/>
          <w:szCs w:val="21"/>
          <w:highlight w:val="none"/>
        </w:rPr>
        <w:t>第二条　合同金额</w:t>
      </w:r>
      <w:bookmarkEnd w:id="175"/>
      <w:bookmarkEnd w:id="176"/>
      <w:bookmarkEnd w:id="177"/>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根据《成交通知书》的成交内容，合同的总金额为：（大写）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pStyle w:val="2"/>
        <w:ind w:left="567" w:leftChars="200" w:hanging="147" w:hangingChars="70"/>
        <w:rPr>
          <w:rFonts w:ascii="宋体" w:hAnsi="宋体" w:cs="宋体"/>
          <w:b/>
          <w:bCs w:val="0"/>
          <w:color w:val="auto"/>
          <w:sz w:val="21"/>
          <w:szCs w:val="21"/>
          <w:highlight w:val="none"/>
        </w:rPr>
      </w:pPr>
      <w:bookmarkStart w:id="178" w:name="_Toc16138"/>
      <w:bookmarkStart w:id="179" w:name="_Toc9581"/>
      <w:bookmarkStart w:id="180" w:name="_Toc5557"/>
      <w:r>
        <w:rPr>
          <w:rFonts w:hint="eastAsia" w:ascii="宋体" w:hAnsi="宋体" w:cs="宋体"/>
          <w:b/>
          <w:bCs w:val="0"/>
          <w:color w:val="auto"/>
          <w:sz w:val="21"/>
          <w:szCs w:val="21"/>
          <w:highlight w:val="none"/>
        </w:rPr>
        <w:t>第三条  服务保证</w:t>
      </w:r>
      <w:bookmarkEnd w:id="178"/>
      <w:bookmarkEnd w:id="179"/>
      <w:bookmarkEnd w:id="180"/>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成交供应商应按磋商文件、响应文件、承诺规定和竞争性磋商文件第三章采购需求服务内容向采购人提供相应服务。</w:t>
      </w:r>
    </w:p>
    <w:p>
      <w:pPr>
        <w:pStyle w:val="2"/>
        <w:ind w:left="567" w:leftChars="200" w:hanging="147" w:hangingChars="70"/>
        <w:rPr>
          <w:rFonts w:ascii="宋体" w:hAnsi="宋体" w:cs="宋体"/>
          <w:b/>
          <w:bCs w:val="0"/>
          <w:color w:val="auto"/>
          <w:sz w:val="21"/>
          <w:szCs w:val="21"/>
          <w:highlight w:val="none"/>
        </w:rPr>
      </w:pPr>
      <w:bookmarkStart w:id="181" w:name="_Toc8669"/>
      <w:bookmarkStart w:id="182" w:name="_Toc25056"/>
      <w:bookmarkStart w:id="183" w:name="_Toc16565"/>
      <w:r>
        <w:rPr>
          <w:rFonts w:hint="eastAsia" w:ascii="宋体" w:hAnsi="宋体" w:cs="宋体"/>
          <w:b/>
          <w:bCs w:val="0"/>
          <w:color w:val="auto"/>
          <w:sz w:val="21"/>
          <w:szCs w:val="21"/>
          <w:highlight w:val="none"/>
        </w:rPr>
        <w:t>第四条  服务期限</w:t>
      </w:r>
      <w:bookmarkEnd w:id="181"/>
      <w:bookmarkEnd w:id="182"/>
      <w:bookmarkEnd w:id="183"/>
    </w:p>
    <w:p>
      <w:pPr>
        <w:spacing w:line="360" w:lineRule="auto"/>
        <w:ind w:firstLine="411" w:firstLineChars="196"/>
        <w:rPr>
          <w:rFonts w:ascii="宋体" w:hAnsi="宋体" w:cs="宋体"/>
          <w:color w:val="auto"/>
          <w:szCs w:val="21"/>
          <w:highlight w:val="none"/>
          <w:u w:val="single"/>
        </w:rPr>
      </w:pPr>
      <w:r>
        <w:rPr>
          <w:rFonts w:hint="eastAsia" w:ascii="宋体" w:hAnsi="宋体" w:cs="宋体"/>
          <w:color w:val="auto"/>
          <w:szCs w:val="21"/>
          <w:highlight w:val="none"/>
        </w:rPr>
        <w:t xml:space="preserve">服务期限: </w:t>
      </w:r>
      <w:r>
        <w:rPr>
          <w:rFonts w:hint="eastAsia" w:ascii="宋体" w:hAnsi="宋体" w:cs="宋体"/>
          <w:color w:val="auto"/>
          <w:szCs w:val="21"/>
          <w:highlight w:val="none"/>
          <w:u w:val="single"/>
          <w:lang w:eastAsia="zh-CN"/>
        </w:rPr>
        <w:t>一年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ind w:left="567" w:leftChars="200" w:hanging="147" w:hangingChars="70"/>
        <w:rPr>
          <w:rFonts w:ascii="宋体" w:hAnsi="宋体" w:cs="宋体"/>
          <w:b/>
          <w:bCs w:val="0"/>
          <w:color w:val="auto"/>
          <w:sz w:val="21"/>
          <w:szCs w:val="21"/>
          <w:highlight w:val="none"/>
        </w:rPr>
      </w:pPr>
      <w:bookmarkStart w:id="184" w:name="_Toc15179"/>
      <w:bookmarkStart w:id="185" w:name="_Toc3282"/>
      <w:bookmarkStart w:id="186" w:name="_Toc25521"/>
      <w:r>
        <w:rPr>
          <w:rFonts w:hint="eastAsia" w:ascii="宋体" w:hAnsi="宋体" w:cs="宋体"/>
          <w:b/>
          <w:bCs w:val="0"/>
          <w:color w:val="auto"/>
          <w:sz w:val="21"/>
          <w:szCs w:val="21"/>
          <w:highlight w:val="none"/>
        </w:rPr>
        <w:t>第五条  交付</w:t>
      </w:r>
      <w:bookmarkEnd w:id="184"/>
      <w:bookmarkEnd w:id="185"/>
      <w:bookmarkEnd w:id="186"/>
    </w:p>
    <w:p>
      <w:pPr>
        <w:widowControl/>
        <w:snapToGrid w:val="0"/>
        <w:spacing w:line="400" w:lineRule="exact"/>
        <w:ind w:firstLine="420" w:firstLineChars="0"/>
        <w:jc w:val="left"/>
        <w:rPr>
          <w:rFonts w:ascii="宋体" w:hAnsi="宋体" w:cs="宋体"/>
          <w:color w:val="auto"/>
          <w:szCs w:val="21"/>
          <w:highlight w:val="none"/>
        </w:rPr>
      </w:pPr>
      <w:r>
        <w:rPr>
          <w:rFonts w:hint="eastAsia" w:ascii="宋体" w:hAnsi="宋体" w:cs="宋体"/>
          <w:color w:val="auto"/>
          <w:szCs w:val="21"/>
          <w:highlight w:val="none"/>
        </w:rPr>
        <w:t>1、服务时间</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日至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日</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采购人指定地点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2、成交供应商提供不符合磋商文件、响应文件和本合同规定的服务，采购人有权拒绝接受。</w:t>
      </w:r>
    </w:p>
    <w:p>
      <w:pPr>
        <w:pStyle w:val="2"/>
        <w:ind w:left="567" w:leftChars="200" w:hanging="147" w:hangingChars="70"/>
        <w:rPr>
          <w:rFonts w:ascii="宋体" w:hAnsi="宋体" w:cs="宋体"/>
          <w:b/>
          <w:bCs w:val="0"/>
          <w:color w:val="auto"/>
          <w:sz w:val="21"/>
          <w:szCs w:val="21"/>
          <w:highlight w:val="none"/>
        </w:rPr>
      </w:pPr>
      <w:bookmarkStart w:id="187" w:name="_Toc22519"/>
      <w:bookmarkStart w:id="188" w:name="_Toc21969"/>
      <w:bookmarkStart w:id="189" w:name="_Toc8253"/>
      <w:r>
        <w:rPr>
          <w:rFonts w:hint="eastAsia" w:ascii="宋体" w:hAnsi="宋体" w:cs="宋体"/>
          <w:b/>
          <w:bCs w:val="0"/>
          <w:color w:val="auto"/>
          <w:sz w:val="21"/>
          <w:szCs w:val="21"/>
          <w:highlight w:val="none"/>
        </w:rPr>
        <w:t>第六条  税费</w:t>
      </w:r>
    </w:p>
    <w:p>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本合同执行中相关的一切税费均由成交供应商负担。</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第七条  付款方式</w:t>
      </w:r>
    </w:p>
    <w:p>
      <w:pPr>
        <w:widowControl/>
        <w:spacing w:line="380" w:lineRule="exact"/>
        <w:jc w:val="left"/>
        <w:rPr>
          <w:color w:val="auto"/>
          <w:highlight w:val="none"/>
        </w:rPr>
      </w:pPr>
      <w:r>
        <w:rPr>
          <w:rFonts w:hint="eastAsia" w:ascii="宋体" w:hAnsi="宋体" w:cs="宋体"/>
          <w:b/>
          <w:color w:val="auto"/>
          <w:szCs w:val="21"/>
          <w:highlight w:val="none"/>
          <w:lang w:val="en-US" w:eastAsia="zh-CN"/>
        </w:rPr>
        <w:t xml:space="preserve">    </w:t>
      </w:r>
      <w:r>
        <w:rPr>
          <w:rFonts w:hint="eastAsia" w:ascii="宋体" w:hAnsi="宋体" w:cs="宋体"/>
          <w:b w:val="0"/>
          <w:bCs/>
          <w:color w:val="auto"/>
          <w:szCs w:val="21"/>
          <w:highlight w:val="none"/>
        </w:rPr>
        <w:t>分12个月支付，每月费用于下月15日前支付总合同金额的1/12(无息)。</w:t>
      </w:r>
    </w:p>
    <w:p>
      <w:pPr>
        <w:widowControl/>
        <w:spacing w:line="400" w:lineRule="exact"/>
        <w:ind w:firstLine="422" w:firstLineChars="201"/>
        <w:jc w:val="left"/>
        <w:rPr>
          <w:rFonts w:ascii="宋体" w:hAnsi="宋体" w:cs="宋体"/>
          <w:color w:val="auto"/>
          <w:kern w:val="0"/>
          <w:szCs w:val="21"/>
          <w:highlight w:val="none"/>
        </w:rPr>
      </w:pPr>
      <w:r>
        <w:rPr>
          <w:rFonts w:hint="eastAsia" w:ascii="宋体" w:hAnsi="宋体" w:cs="宋体"/>
          <w:b/>
          <w:color w:val="auto"/>
          <w:szCs w:val="21"/>
          <w:highlight w:val="none"/>
        </w:rPr>
        <w:t>第八条 履约保证金</w:t>
      </w:r>
    </w:p>
    <w:p>
      <w:pPr>
        <w:pStyle w:val="2"/>
        <w:ind w:left="567" w:leftChars="200" w:hanging="147" w:hangingChars="70"/>
        <w:rPr>
          <w:rFonts w:hint="eastAsia" w:ascii="宋体" w:hAnsi="宋体" w:cs="宋体"/>
          <w:b/>
          <w:bCs w:val="0"/>
          <w:color w:val="auto"/>
          <w:sz w:val="21"/>
          <w:szCs w:val="21"/>
          <w:highlight w:val="none"/>
          <w:u w:val="single"/>
          <w:lang w:val="en-US"/>
        </w:rPr>
      </w:pPr>
      <w:r>
        <w:rPr>
          <w:rFonts w:hint="eastAsia" w:ascii="宋体" w:hAnsi="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lang w:val="en-US" w:eastAsia="zh-CN"/>
        </w:rPr>
        <w:t>。</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第九条  违约责任</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1、乙方所提供的服务质量不合格的，应及时调整，调整不及时的按逾期处罚，乙方应向甲方支付合同金额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违约金并赔偿甲方经济损失。</w:t>
      </w:r>
    </w:p>
    <w:p>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2、乙方提供的服务如果侵犯了第三方合法权益而引发的任何纠纷或诉讼，均由乙方负责交涉并承担全部责任。</w:t>
      </w:r>
    </w:p>
    <w:p>
      <w:pPr>
        <w:spacing w:line="360" w:lineRule="auto"/>
        <w:ind w:firstLine="420" w:firstLineChars="200"/>
        <w:rPr>
          <w:rFonts w:hint="eastAsia"/>
          <w:color w:val="auto"/>
          <w:highlight w:val="none"/>
        </w:rPr>
      </w:pPr>
      <w:r>
        <w:rPr>
          <w:rFonts w:hint="eastAsia" w:ascii="宋体" w:hAnsi="宋体" w:cs="宋体"/>
          <w:color w:val="auto"/>
          <w:szCs w:val="21"/>
          <w:highlight w:val="none"/>
        </w:rPr>
        <w:t>3、</w:t>
      </w:r>
      <w:r>
        <w:rPr>
          <w:rFonts w:hint="eastAsia"/>
          <w:color w:val="auto"/>
          <w:highlight w:val="none"/>
          <w:lang w:eastAsia="zh-CN"/>
        </w:rPr>
        <w:t>乙方</w:t>
      </w:r>
      <w:r>
        <w:rPr>
          <w:rFonts w:hint="eastAsia"/>
          <w:color w:val="auto"/>
          <w:highlight w:val="none"/>
        </w:rPr>
        <w:t>指派的员工在工作期间内由于不履行职责，给学校或学校师生造成人身或财产损失的，经公安、司法机关认定属实的由</w:t>
      </w:r>
      <w:r>
        <w:rPr>
          <w:rFonts w:hint="eastAsia"/>
          <w:color w:val="auto"/>
          <w:highlight w:val="none"/>
          <w:lang w:eastAsia="zh-CN"/>
        </w:rPr>
        <w:t>乙方</w:t>
      </w:r>
      <w:r>
        <w:rPr>
          <w:rFonts w:hint="eastAsia"/>
          <w:color w:val="auto"/>
          <w:highlight w:val="none"/>
        </w:rPr>
        <w:t>承担经济损失的30%；</w:t>
      </w:r>
      <w:r>
        <w:rPr>
          <w:rFonts w:hint="eastAsia"/>
          <w:color w:val="auto"/>
          <w:highlight w:val="none"/>
          <w:lang w:eastAsia="zh-CN"/>
        </w:rPr>
        <w:t>乙方</w:t>
      </w:r>
      <w:r>
        <w:rPr>
          <w:rFonts w:hint="eastAsia"/>
          <w:color w:val="auto"/>
          <w:highlight w:val="none"/>
        </w:rPr>
        <w:t>指派的员工造成自身伤害，由</w:t>
      </w:r>
      <w:r>
        <w:rPr>
          <w:rFonts w:hint="eastAsia"/>
          <w:color w:val="auto"/>
          <w:highlight w:val="none"/>
          <w:lang w:eastAsia="zh-CN"/>
        </w:rPr>
        <w:t>乙方</w:t>
      </w:r>
      <w:r>
        <w:rPr>
          <w:rFonts w:hint="eastAsia"/>
          <w:color w:val="auto"/>
          <w:highlight w:val="none"/>
        </w:rPr>
        <w:t>自负，</w:t>
      </w:r>
      <w:r>
        <w:rPr>
          <w:rFonts w:hint="eastAsia"/>
          <w:color w:val="auto"/>
          <w:highlight w:val="none"/>
          <w:lang w:eastAsia="zh-CN"/>
        </w:rPr>
        <w:t>甲方</w:t>
      </w:r>
      <w:r>
        <w:rPr>
          <w:rFonts w:hint="eastAsia"/>
          <w:color w:val="auto"/>
          <w:highlight w:val="none"/>
        </w:rPr>
        <w:t>不承担任何责任；</w:t>
      </w:r>
      <w:r>
        <w:rPr>
          <w:rFonts w:hint="eastAsia"/>
          <w:color w:val="auto"/>
          <w:highlight w:val="none"/>
          <w:lang w:eastAsia="zh-CN"/>
        </w:rPr>
        <w:t>乙方</w:t>
      </w:r>
      <w:r>
        <w:rPr>
          <w:rFonts w:hint="eastAsia"/>
          <w:color w:val="auto"/>
          <w:highlight w:val="none"/>
        </w:rPr>
        <w:t>员工在工作之外，因自身原因对社会造成的伤害和影响，由</w:t>
      </w:r>
      <w:r>
        <w:rPr>
          <w:rFonts w:hint="eastAsia"/>
          <w:color w:val="auto"/>
          <w:highlight w:val="none"/>
          <w:lang w:eastAsia="zh-CN"/>
        </w:rPr>
        <w:t>乙方</w:t>
      </w:r>
      <w:r>
        <w:rPr>
          <w:rFonts w:hint="eastAsia"/>
          <w:color w:val="auto"/>
          <w:highlight w:val="none"/>
        </w:rPr>
        <w:t>负责，学校不承担任何责任。</w:t>
      </w:r>
    </w:p>
    <w:p>
      <w:pPr>
        <w:spacing w:line="360" w:lineRule="auto"/>
        <w:ind w:firstLine="420" w:firstLineChars="200"/>
        <w:rPr>
          <w:rFonts w:hint="eastAsia"/>
          <w:color w:val="auto"/>
          <w:highlight w:val="none"/>
        </w:rPr>
      </w:pPr>
      <w:r>
        <w:rPr>
          <w:rFonts w:hint="eastAsia"/>
          <w:color w:val="auto"/>
          <w:highlight w:val="none"/>
          <w:lang w:val="en-US" w:eastAsia="zh-CN"/>
        </w:rPr>
        <w:t>4、</w:t>
      </w:r>
      <w:r>
        <w:rPr>
          <w:rFonts w:hint="eastAsia"/>
          <w:color w:val="auto"/>
          <w:highlight w:val="none"/>
          <w:lang w:eastAsia="zh-CN"/>
        </w:rPr>
        <w:t>甲方</w:t>
      </w:r>
      <w:r>
        <w:rPr>
          <w:rFonts w:hint="eastAsia"/>
          <w:color w:val="auto"/>
          <w:highlight w:val="none"/>
        </w:rPr>
        <w:t>有考核、考勤</w:t>
      </w:r>
      <w:r>
        <w:rPr>
          <w:rFonts w:hint="eastAsia"/>
          <w:color w:val="auto"/>
          <w:highlight w:val="none"/>
          <w:lang w:eastAsia="zh-CN"/>
        </w:rPr>
        <w:t>乙方</w:t>
      </w:r>
      <w:r>
        <w:rPr>
          <w:rFonts w:hint="eastAsia"/>
          <w:color w:val="auto"/>
          <w:highlight w:val="none"/>
        </w:rPr>
        <w:t>派驻学校工作人员的权利，</w:t>
      </w:r>
      <w:r>
        <w:rPr>
          <w:rFonts w:hint="eastAsia"/>
          <w:color w:val="auto"/>
          <w:highlight w:val="none"/>
          <w:lang w:eastAsia="zh-CN"/>
        </w:rPr>
        <w:t>乙方</w:t>
      </w:r>
      <w:r>
        <w:rPr>
          <w:rFonts w:hint="eastAsia"/>
          <w:color w:val="auto"/>
          <w:highlight w:val="none"/>
        </w:rPr>
        <w:t>必须保证派驻学校的人员每天正常上下班，服从</w:t>
      </w:r>
      <w:r>
        <w:rPr>
          <w:rFonts w:hint="eastAsia"/>
          <w:color w:val="auto"/>
          <w:highlight w:val="none"/>
          <w:lang w:eastAsia="zh-CN"/>
        </w:rPr>
        <w:t>甲方</w:t>
      </w:r>
      <w:r>
        <w:rPr>
          <w:rFonts w:hint="eastAsia"/>
          <w:color w:val="auto"/>
          <w:highlight w:val="none"/>
        </w:rPr>
        <w:t>学保科管理，不得有脱岗、漏岗（如保卫巡逻人员未按甲方要求到指定地点打卡考勤）、迟到、早退等现象。经双方核实确有不按要求工作的，以每人每次50元扣除乙方的服务费。如经</w:t>
      </w:r>
      <w:r>
        <w:rPr>
          <w:rFonts w:hint="eastAsia"/>
          <w:color w:val="auto"/>
          <w:highlight w:val="none"/>
          <w:lang w:eastAsia="zh-CN"/>
        </w:rPr>
        <w:t>甲方</w:t>
      </w:r>
      <w:r>
        <w:rPr>
          <w:rFonts w:hint="eastAsia"/>
          <w:color w:val="auto"/>
          <w:highlight w:val="none"/>
        </w:rPr>
        <w:t>审核或工作考核不合格的员工，</w:t>
      </w:r>
      <w:r>
        <w:rPr>
          <w:rFonts w:hint="eastAsia"/>
          <w:color w:val="auto"/>
          <w:highlight w:val="none"/>
          <w:lang w:eastAsia="zh-CN"/>
        </w:rPr>
        <w:t>甲方</w:t>
      </w:r>
      <w:r>
        <w:rPr>
          <w:rFonts w:hint="eastAsia"/>
          <w:color w:val="auto"/>
          <w:highlight w:val="none"/>
        </w:rPr>
        <w:t>有权要求</w:t>
      </w:r>
      <w:r>
        <w:rPr>
          <w:rFonts w:hint="eastAsia"/>
          <w:color w:val="auto"/>
          <w:highlight w:val="none"/>
          <w:lang w:eastAsia="zh-CN"/>
        </w:rPr>
        <w:t>乙方</w:t>
      </w:r>
      <w:r>
        <w:rPr>
          <w:rFonts w:hint="eastAsia"/>
          <w:color w:val="auto"/>
          <w:highlight w:val="none"/>
        </w:rPr>
        <w:t>立即更换。</w:t>
      </w:r>
      <w:r>
        <w:rPr>
          <w:rFonts w:hint="eastAsia"/>
          <w:color w:val="auto"/>
          <w:highlight w:val="none"/>
          <w:lang w:eastAsia="zh-CN"/>
        </w:rPr>
        <w:t>乙方</w:t>
      </w:r>
      <w:r>
        <w:rPr>
          <w:rFonts w:hint="eastAsia"/>
          <w:color w:val="auto"/>
          <w:highlight w:val="none"/>
        </w:rPr>
        <w:t>缺少安保人员期间，学校按实际出勤人数支付安保服务费，并且学校有权依据缺勤安保人员次数对</w:t>
      </w:r>
      <w:r>
        <w:rPr>
          <w:rFonts w:hint="eastAsia"/>
          <w:color w:val="auto"/>
          <w:highlight w:val="none"/>
          <w:lang w:eastAsia="zh-CN"/>
        </w:rPr>
        <w:t>乙方</w:t>
      </w:r>
      <w:r>
        <w:rPr>
          <w:rFonts w:hint="eastAsia"/>
          <w:color w:val="auto"/>
          <w:highlight w:val="none"/>
        </w:rPr>
        <w:t>进行处罚，每发现一人次扣款150元，发现三人次扣除安保服务费1000元。安保人员一周内缺少三人的情况下，</w:t>
      </w:r>
      <w:r>
        <w:rPr>
          <w:rFonts w:hint="eastAsia"/>
          <w:color w:val="auto"/>
          <w:highlight w:val="none"/>
          <w:lang w:eastAsia="zh-CN"/>
        </w:rPr>
        <w:t>甲方</w:t>
      </w:r>
      <w:r>
        <w:rPr>
          <w:rFonts w:hint="eastAsia"/>
          <w:color w:val="auto"/>
          <w:highlight w:val="none"/>
        </w:rPr>
        <w:t>有权将现场安保人员清退并拒绝支付</w:t>
      </w:r>
      <w:r>
        <w:rPr>
          <w:rFonts w:hint="eastAsia"/>
          <w:color w:val="auto"/>
          <w:highlight w:val="none"/>
          <w:lang w:eastAsia="zh-CN"/>
        </w:rPr>
        <w:t>乙方</w:t>
      </w:r>
      <w:r>
        <w:rPr>
          <w:rFonts w:hint="eastAsia"/>
          <w:color w:val="auto"/>
          <w:highlight w:val="none"/>
        </w:rPr>
        <w:t>任何费用，因此造成的损失由</w:t>
      </w:r>
      <w:r>
        <w:rPr>
          <w:rFonts w:hint="eastAsia"/>
          <w:color w:val="auto"/>
          <w:highlight w:val="none"/>
          <w:lang w:eastAsia="zh-CN"/>
        </w:rPr>
        <w:t>乙方</w:t>
      </w:r>
      <w:r>
        <w:rPr>
          <w:rFonts w:hint="eastAsia"/>
          <w:color w:val="auto"/>
          <w:highlight w:val="none"/>
        </w:rPr>
        <w:t>承担。</w:t>
      </w:r>
    </w:p>
    <w:p>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、乙方未按本合同和响应文件中规定的服务承诺提供服务的，乙方应按本合同合同金额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向甲方支付违约金。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、其他违约行为按照合同金额额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 </w:t>
      </w:r>
      <w:r>
        <w:rPr>
          <w:rFonts w:hint="eastAsia" w:ascii="宋体" w:hAnsi="宋体" w:cs="宋体"/>
          <w:color w:val="auto"/>
          <w:szCs w:val="21"/>
          <w:highlight w:val="none"/>
          <w:u w:val="single"/>
        </w:rPr>
        <w:t>%</w:t>
      </w:r>
      <w:r>
        <w:rPr>
          <w:rFonts w:hint="eastAsia" w:ascii="宋体" w:hAnsi="宋体" w:cs="宋体"/>
          <w:color w:val="auto"/>
          <w:szCs w:val="21"/>
          <w:highlight w:val="none"/>
        </w:rPr>
        <w:t>收取违约金并赔偿经济损失。</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第十条  不可抗力事件处理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1、在合同有效期内，成交供应商因不可抗力事件导致不能履行合同，则合同履行期可延长，其延长期与不可抗力影响期相同。</w:t>
      </w:r>
    </w:p>
    <w:p>
      <w:pPr>
        <w:numPr>
          <w:ilvl w:val="0"/>
          <w:numId w:val="7"/>
        </w:numPr>
        <w:tabs>
          <w:tab w:val="left" w:pos="780"/>
        </w:tabs>
        <w:spacing w:line="360" w:lineRule="auto"/>
        <w:rPr>
          <w:rFonts w:ascii="宋体" w:hAnsi="宋体" w:cs="宋体"/>
          <w:color w:val="auto"/>
          <w:szCs w:val="21"/>
          <w:highlight w:val="none"/>
        </w:rPr>
      </w:pPr>
      <w:r>
        <w:rPr>
          <w:rFonts w:hint="eastAsia" w:ascii="宋体" w:hAnsi="宋体" w:cs="宋体"/>
          <w:color w:val="auto"/>
          <w:szCs w:val="21"/>
          <w:highlight w:val="none"/>
        </w:rPr>
        <w:t>不可抗力事件发生后，应立即通知对方，并寄送有关权威机构出具的证明。</w:t>
      </w:r>
    </w:p>
    <w:p>
      <w:pPr>
        <w:numPr>
          <w:ilvl w:val="0"/>
          <w:numId w:val="7"/>
        </w:numPr>
        <w:tabs>
          <w:tab w:val="left" w:pos="780"/>
        </w:tabs>
        <w:spacing w:line="360" w:lineRule="auto"/>
        <w:rPr>
          <w:rFonts w:ascii="宋体" w:hAnsi="宋体" w:cs="宋体"/>
          <w:color w:val="auto"/>
          <w:szCs w:val="21"/>
          <w:highlight w:val="none"/>
        </w:rPr>
      </w:pPr>
      <w:r>
        <w:rPr>
          <w:rFonts w:hint="eastAsia" w:ascii="宋体" w:hAnsi="宋体" w:cs="宋体"/>
          <w:color w:val="auto"/>
          <w:szCs w:val="21"/>
          <w:highlight w:val="none"/>
        </w:rPr>
        <w:t>不可抗力事件延续一百二十天以上，双方应通过友好协商，确定是否继续履行合同。</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第十一条  合同争议解决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1、因服务问题发生争议的，应邀请国家认可的相关机构进行鉴定。服务符合要求的，鉴定费由采购人承担；服务不符合要求的，鉴定费由成交供应商承担。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w:t>
      </w:r>
      <w:r>
        <w:rPr>
          <w:rStyle w:val="54"/>
          <w:rFonts w:hint="eastAsia" w:ascii="宋体" w:hAnsi="宋体" w:cs="宋体"/>
          <w:color w:val="auto"/>
          <w:szCs w:val="21"/>
          <w:highlight w:val="none"/>
        </w:rPr>
        <w:t>项目所在地人</w:t>
      </w:r>
      <w:r>
        <w:rPr>
          <w:rFonts w:hint="eastAsia" w:ascii="宋体" w:hAnsi="宋体" w:cs="宋体"/>
          <w:color w:val="auto"/>
          <w:szCs w:val="21"/>
          <w:highlight w:val="none"/>
        </w:rPr>
        <w:t>民法院提起诉讼。</w:t>
      </w:r>
    </w:p>
    <w:p>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3、诉讼期间，本合同继续履行。</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第十二条  合同生效及其它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1、合同经甲乙双方法定代表人或授权代表签字并加盖单位公章后生效。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2、合同执行中涉及采购资金和采购内容修改或补充的，需本级财政部门审批，并签订书面补充协议报</w:t>
      </w:r>
      <w:r>
        <w:rPr>
          <w:rFonts w:hint="eastAsia" w:ascii="宋体" w:hAnsi="宋体" w:cs="宋体"/>
          <w:color w:val="auto"/>
          <w:highlight w:val="none"/>
        </w:rPr>
        <w:t>本级财政部门</w:t>
      </w:r>
      <w:r>
        <w:rPr>
          <w:rFonts w:hint="eastAsia" w:ascii="宋体" w:hAnsi="宋体" w:cs="宋体"/>
          <w:color w:val="auto"/>
          <w:szCs w:val="21"/>
          <w:highlight w:val="none"/>
        </w:rPr>
        <w:t>备案，方可作为主合同不可分割的一部分。</w:t>
      </w:r>
    </w:p>
    <w:p>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第十三条  合同的变更、终止与转让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pPr>
        <w:numPr>
          <w:ilvl w:val="0"/>
          <w:numId w:val="8"/>
        </w:numPr>
        <w:tabs>
          <w:tab w:val="left" w:pos="780"/>
        </w:tabs>
        <w:spacing w:line="360" w:lineRule="auto"/>
        <w:rPr>
          <w:rFonts w:ascii="宋体" w:hAnsi="宋体" w:cs="宋体"/>
          <w:color w:val="auto"/>
          <w:szCs w:val="21"/>
          <w:highlight w:val="none"/>
        </w:rPr>
      </w:pPr>
      <w:r>
        <w:rPr>
          <w:rFonts w:hint="eastAsia" w:ascii="宋体" w:hAnsi="宋体" w:cs="宋体"/>
          <w:color w:val="auto"/>
          <w:szCs w:val="21"/>
          <w:highlight w:val="none"/>
        </w:rPr>
        <w:t>成交供应商不得擅自转让其应履行的合同义务。</w:t>
      </w:r>
    </w:p>
    <w:p>
      <w:pPr>
        <w:pStyle w:val="46"/>
        <w:numPr>
          <w:ilvl w:val="0"/>
          <w:numId w:val="0"/>
        </w:numPr>
        <w:tabs>
          <w:tab w:val="clear" w:pos="780"/>
        </w:tabs>
        <w:ind w:left="420" w:leftChars="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3、</w:t>
      </w:r>
      <w:r>
        <w:rPr>
          <w:rFonts w:hint="eastAsia" w:ascii="宋体" w:hAnsi="宋体" w:cs="宋体"/>
          <w:b/>
          <w:color w:val="auto"/>
          <w:kern w:val="2"/>
          <w:sz w:val="21"/>
          <w:szCs w:val="21"/>
          <w:highlight w:val="none"/>
        </w:rPr>
        <w:t>供应商及派驻人员必须严格遵守校方管理制度，履职尽责，否则</w:t>
      </w:r>
      <w:r>
        <w:rPr>
          <w:rFonts w:hint="eastAsia" w:ascii="宋体" w:hAnsi="宋体" w:cs="宋体"/>
          <w:b/>
          <w:color w:val="auto"/>
          <w:kern w:val="2"/>
          <w:sz w:val="21"/>
          <w:szCs w:val="21"/>
          <w:highlight w:val="none"/>
          <w:lang w:eastAsia="zh-CN"/>
        </w:rPr>
        <w:t>甲方有权单方面解除合同</w:t>
      </w:r>
      <w:r>
        <w:rPr>
          <w:rFonts w:hint="eastAsia" w:ascii="宋体" w:hAnsi="宋体" w:cs="宋体"/>
          <w:b/>
          <w:color w:val="auto"/>
          <w:kern w:val="2"/>
          <w:sz w:val="21"/>
          <w:szCs w:val="21"/>
          <w:highlight w:val="none"/>
        </w:rPr>
        <w:t>。</w:t>
      </w:r>
    </w:p>
    <w:p>
      <w:pPr>
        <w:pStyle w:val="46"/>
        <w:numPr>
          <w:ilvl w:val="0"/>
          <w:numId w:val="0"/>
        </w:numPr>
        <w:tabs>
          <w:tab w:val="clear" w:pos="780"/>
        </w:tabs>
        <w:ind w:left="420" w:leftChars="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4、</w:t>
      </w:r>
      <w:r>
        <w:rPr>
          <w:rFonts w:hint="eastAsia" w:ascii="宋体" w:hAnsi="宋体" w:cs="宋体"/>
          <w:b/>
          <w:color w:val="auto"/>
          <w:kern w:val="2"/>
          <w:sz w:val="21"/>
          <w:szCs w:val="21"/>
          <w:highlight w:val="none"/>
        </w:rPr>
        <w:t>如果上级主管部门调整安保政策，供应商必须服从上级要求，合同自行终止或解除。</w:t>
      </w:r>
    </w:p>
    <w:p>
      <w:pPr>
        <w:pStyle w:val="2"/>
        <w:ind w:left="567" w:leftChars="200" w:hanging="147" w:hangingChars="7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第十四条  签订本合同依据</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1、竞争性磋商文件；</w:t>
      </w:r>
    </w:p>
    <w:p>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2、成交供应商的响应（或应答）文件；</w:t>
      </w:r>
    </w:p>
    <w:p>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3、服务承诺书；</w:t>
      </w:r>
    </w:p>
    <w:p>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4、磋商中的磋商记录；</w:t>
      </w:r>
    </w:p>
    <w:p>
      <w:pPr>
        <w:spacing w:line="360" w:lineRule="auto"/>
        <w:ind w:left="224" w:leftChars="107" w:firstLine="210" w:firstLineChars="100"/>
        <w:rPr>
          <w:rFonts w:ascii="宋体" w:hAnsi="宋体" w:cs="宋体"/>
          <w:color w:val="auto"/>
          <w:szCs w:val="21"/>
          <w:highlight w:val="none"/>
        </w:rPr>
      </w:pPr>
      <w:r>
        <w:rPr>
          <w:rFonts w:hint="eastAsia" w:ascii="宋体" w:hAnsi="宋体" w:cs="宋体"/>
          <w:color w:val="auto"/>
          <w:szCs w:val="21"/>
          <w:highlight w:val="none"/>
        </w:rPr>
        <w:t>5、成交通知书。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本合同甲乙双方签字盖章后生效，一式六份，具有同等法律效力，甲乙双方各持二份。双方自签订之日起一个工作日内，乙方将合同原件一份交采购代理机构。采购人于合同签订之日起七个工作日内将一份合同原件送本级财政部门备案。</w:t>
      </w:r>
      <w:bookmarkEnd w:id="187"/>
      <w:bookmarkEnd w:id="188"/>
      <w:bookmarkEnd w:id="189"/>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成交供应商名称（公章）：</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pPr>
        <w:tabs>
          <w:tab w:val="left" w:pos="468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tabs>
          <w:tab w:val="left" w:pos="504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 </w:t>
      </w:r>
      <w:r>
        <w:rPr>
          <w:rFonts w:hint="eastAsia" w:ascii="宋体" w:hAnsi="宋体" w:cs="宋体"/>
          <w:color w:val="auto"/>
          <w:szCs w:val="21"/>
          <w:highlight w:val="none"/>
          <w:u w:val="single"/>
        </w:rPr>
        <w:t xml:space="preserve">                                  </w:t>
      </w:r>
    </w:p>
    <w:p>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360" w:lineRule="auto"/>
        <w:rPr>
          <w:rFonts w:ascii="宋体" w:hAnsi="宋体" w:cs="宋体"/>
          <w:b/>
          <w:bCs/>
          <w:color w:val="auto"/>
          <w:kern w:val="44"/>
          <w:szCs w:val="32"/>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3"/>
        <w:rPr>
          <w:rFonts w:hint="eastAsia"/>
          <w:color w:val="auto"/>
          <w:highlight w:val="none"/>
        </w:rPr>
      </w:pPr>
      <w:bookmarkStart w:id="190" w:name="_Toc16171"/>
      <w:bookmarkStart w:id="191" w:name="_Toc12677"/>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rPr>
          <w:rFonts w:hint="eastAsia"/>
          <w:color w:val="auto"/>
          <w:highlight w:val="none"/>
        </w:rPr>
      </w:pPr>
    </w:p>
    <w:p>
      <w:pPr>
        <w:pStyle w:val="3"/>
        <w:rPr>
          <w:color w:val="auto"/>
          <w:sz w:val="40"/>
          <w:szCs w:val="48"/>
          <w:highlight w:val="none"/>
        </w:rPr>
      </w:pPr>
      <w:bookmarkStart w:id="192" w:name="_Toc3688"/>
      <w:bookmarkStart w:id="193" w:name="_Toc15442"/>
      <w:bookmarkStart w:id="194" w:name="_Toc5304"/>
      <w:r>
        <w:rPr>
          <w:rFonts w:hint="default"/>
          <w:color w:val="auto"/>
          <w:sz w:val="40"/>
          <w:szCs w:val="48"/>
          <w:highlight w:val="none"/>
        </w:rPr>
        <w:t xml:space="preserve">第六章  </w:t>
      </w:r>
      <w:bookmarkStart w:id="195" w:name="_Toc13185"/>
      <w:bookmarkEnd w:id="169"/>
      <w:bookmarkEnd w:id="170"/>
      <w:r>
        <w:rPr>
          <w:rFonts w:hint="default"/>
          <w:color w:val="auto"/>
          <w:sz w:val="40"/>
          <w:szCs w:val="48"/>
          <w:highlight w:val="none"/>
        </w:rPr>
        <w:t>响应文件（格式）</w:t>
      </w:r>
      <w:bookmarkEnd w:id="171"/>
      <w:bookmarkEnd w:id="190"/>
      <w:bookmarkEnd w:id="191"/>
      <w:bookmarkEnd w:id="192"/>
      <w:bookmarkEnd w:id="193"/>
      <w:bookmarkEnd w:id="194"/>
      <w:bookmarkEnd w:id="195"/>
    </w:p>
    <w:p>
      <w:pPr>
        <w:rPr>
          <w:rFonts w:ascii="宋体" w:hAnsi="宋体" w:cs="宋体"/>
          <w:color w:val="auto"/>
          <w:highlight w:val="none"/>
        </w:rPr>
      </w:pPr>
    </w:p>
    <w:p>
      <w:pPr>
        <w:pStyle w:val="19"/>
        <w:rPr>
          <w:rFonts w:hAnsi="宋体" w:cs="宋体"/>
          <w:b/>
          <w:color w:val="auto"/>
          <w:sz w:val="32"/>
          <w:highlight w:val="none"/>
        </w:rPr>
      </w:pPr>
      <w:bookmarkStart w:id="196" w:name="_Toc18351"/>
      <w:bookmarkStart w:id="197" w:name="_Toc21496"/>
      <w:bookmarkStart w:id="198" w:name="_Toc497927069"/>
      <w:r>
        <w:rPr>
          <w:rFonts w:hint="eastAsia" w:hAnsi="宋体" w:cs="宋体"/>
          <w:b/>
          <w:color w:val="auto"/>
          <w:sz w:val="32"/>
          <w:highlight w:val="none"/>
        </w:rPr>
        <w:t>一、响应文件</w:t>
      </w:r>
      <w:r>
        <w:rPr>
          <w:rFonts w:hint="eastAsia" w:hAnsi="宋体" w:cs="宋体"/>
          <w:b/>
          <w:color w:val="auto"/>
          <w:sz w:val="32"/>
          <w:highlight w:val="none"/>
          <w:lang w:eastAsia="zh-CN"/>
        </w:rPr>
        <w:t>封面</w:t>
      </w:r>
      <w:r>
        <w:rPr>
          <w:rFonts w:hint="eastAsia" w:hAnsi="宋体" w:cs="宋体"/>
          <w:b/>
          <w:color w:val="auto"/>
          <w:sz w:val="32"/>
          <w:highlight w:val="none"/>
        </w:rPr>
        <w:t>标记</w:t>
      </w:r>
      <w:bookmarkEnd w:id="196"/>
      <w:bookmarkEnd w:id="197"/>
      <w:bookmarkEnd w:id="198"/>
    </w:p>
    <w:p>
      <w:pPr>
        <w:adjustRightInd w:val="0"/>
        <w:snapToGrid w:val="0"/>
        <w:rPr>
          <w:rFonts w:ascii="宋体" w:hAnsi="宋体" w:cs="宋体"/>
          <w:b/>
          <w:color w:val="auto"/>
          <w:sz w:val="44"/>
          <w:szCs w:val="44"/>
          <w:highlight w:val="none"/>
        </w:rPr>
      </w:pPr>
    </w:p>
    <w:p>
      <w:pPr>
        <w:pStyle w:val="46"/>
        <w:rPr>
          <w:rFonts w:ascii="宋体" w:hAnsi="宋体" w:cs="宋体"/>
          <w:color w:val="auto"/>
          <w:highlight w:val="none"/>
        </w:rPr>
      </w:pPr>
    </w:p>
    <w:p>
      <w:pPr>
        <w:snapToGrid w:val="0"/>
        <w:spacing w:beforeLines="50" w:after="50"/>
        <w:jc w:val="center"/>
        <w:rPr>
          <w:rFonts w:ascii="宋体" w:hAnsi="宋体" w:cs="宋体"/>
          <w:b/>
          <w:color w:val="auto"/>
          <w:sz w:val="36"/>
          <w:szCs w:val="36"/>
          <w:highlight w:val="none"/>
        </w:rPr>
      </w:pPr>
      <w:r>
        <w:rPr>
          <w:rFonts w:hint="eastAsia" w:ascii="宋体" w:hAnsi="宋体" w:cs="宋体"/>
          <w:b/>
          <w:color w:val="auto"/>
          <w:sz w:val="36"/>
          <w:szCs w:val="36"/>
          <w:highlight w:val="none"/>
        </w:rPr>
        <w:t>响 应 文 件</w:t>
      </w:r>
    </w:p>
    <w:p>
      <w:pPr>
        <w:snapToGrid w:val="0"/>
        <w:spacing w:beforeLines="50" w:after="50"/>
        <w:ind w:firstLine="480" w:firstLineChars="150"/>
        <w:rPr>
          <w:rFonts w:ascii="宋体" w:hAnsi="宋体" w:cs="宋体"/>
          <w:b/>
          <w:color w:val="auto"/>
          <w:sz w:val="28"/>
          <w:szCs w:val="28"/>
          <w:highlight w:val="none"/>
        </w:rPr>
      </w:pPr>
      <w:r>
        <w:rPr>
          <w:rFonts w:hint="eastAsia" w:ascii="宋体" w:hAnsi="宋体" w:cs="宋体"/>
          <w:color w:val="auto"/>
          <w:sz w:val="32"/>
          <w:szCs w:val="32"/>
          <w:highlight w:val="none"/>
        </w:rPr>
        <w:t xml:space="preserve">                       </w:t>
      </w:r>
    </w:p>
    <w:p>
      <w:pPr>
        <w:snapToGrid w:val="0"/>
        <w:spacing w:beforeLines="50" w:after="50"/>
        <w:ind w:firstLine="420" w:firstLineChars="150"/>
        <w:rPr>
          <w:rFonts w:ascii="宋体" w:hAnsi="宋体" w:cs="宋体"/>
          <w:b/>
          <w:color w:val="auto"/>
          <w:sz w:val="28"/>
          <w:szCs w:val="28"/>
          <w:highlight w:val="none"/>
        </w:rPr>
      </w:pPr>
    </w:p>
    <w:p>
      <w:pPr>
        <w:snapToGrid w:val="0"/>
        <w:spacing w:beforeLines="50" w:after="50"/>
        <w:ind w:firstLine="420" w:firstLineChars="150"/>
        <w:rPr>
          <w:rFonts w:ascii="宋体" w:hAnsi="宋体" w:cs="宋体"/>
          <w:b/>
          <w:color w:val="auto"/>
          <w:sz w:val="28"/>
          <w:szCs w:val="28"/>
          <w:highlight w:val="none"/>
        </w:rPr>
      </w:pPr>
    </w:p>
    <w:p>
      <w:pPr>
        <w:snapToGrid w:val="0"/>
        <w:spacing w:beforeLines="50" w:after="50"/>
        <w:ind w:firstLine="0" w:firstLine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宋体"/>
          <w:b/>
          <w:bCs/>
          <w:color w:val="auto"/>
          <w:sz w:val="28"/>
          <w:szCs w:val="28"/>
          <w:highlight w:val="none"/>
          <w:u w:val="single"/>
        </w:rPr>
        <w:t>桂林市第二技工学校安保服务项目</w:t>
      </w:r>
    </w:p>
    <w:p>
      <w:pPr>
        <w:snapToGrid w:val="0"/>
        <w:spacing w:beforeLines="50" w:after="50"/>
        <w:rPr>
          <w:rFonts w:ascii="宋体" w:hAnsi="宋体" w:cs="宋体"/>
          <w:b/>
          <w:color w:val="auto"/>
          <w:sz w:val="28"/>
          <w:szCs w:val="28"/>
          <w:highlight w:val="none"/>
        </w:rPr>
      </w:pPr>
      <w:r>
        <w:rPr>
          <w:rFonts w:hint="eastAsia" w:ascii="宋体" w:hAnsi="宋体" w:cs="宋体"/>
          <w:b/>
          <w:color w:val="auto"/>
          <w:sz w:val="28"/>
          <w:szCs w:val="28"/>
          <w:highlight w:val="none"/>
        </w:rPr>
        <w:t xml:space="preserve">              项目编号：</w:t>
      </w:r>
      <w:r>
        <w:rPr>
          <w:rFonts w:hint="eastAsia" w:ascii="宋体" w:hAnsi="宋体" w:cs="宋体"/>
          <w:b/>
          <w:color w:val="auto"/>
          <w:sz w:val="28"/>
          <w:szCs w:val="28"/>
          <w:highlight w:val="none"/>
          <w:u w:val="single"/>
          <w:lang w:eastAsia="zh-CN"/>
        </w:rPr>
        <w:t>GLZC2025-C3-990695-GXTG</w:t>
      </w:r>
    </w:p>
    <w:p>
      <w:pPr>
        <w:rPr>
          <w:rFonts w:ascii="宋体" w:hAnsi="宋体" w:cs="宋体"/>
          <w:b/>
          <w:color w:val="auto"/>
          <w:highlight w:val="none"/>
        </w:rPr>
      </w:pPr>
    </w:p>
    <w:p>
      <w:pPr>
        <w:pStyle w:val="46"/>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w:t>
      </w:r>
    </w:p>
    <w:p>
      <w:pPr>
        <w:pStyle w:val="46"/>
        <w:rPr>
          <w:rFonts w:ascii="宋体" w:hAnsi="宋体" w:cs="宋体"/>
          <w:b/>
          <w:color w:val="auto"/>
          <w:sz w:val="28"/>
          <w:szCs w:val="28"/>
          <w:highlight w:val="none"/>
        </w:rPr>
      </w:pPr>
    </w:p>
    <w:p>
      <w:pPr>
        <w:snapToGrid w:val="0"/>
        <w:spacing w:beforeLines="50" w:after="50"/>
        <w:rPr>
          <w:rFonts w:ascii="宋体" w:hAnsi="宋体" w:cs="宋体"/>
          <w:b/>
          <w:color w:val="auto"/>
          <w:sz w:val="28"/>
          <w:szCs w:val="28"/>
          <w:highlight w:val="none"/>
          <w:u w:val="single"/>
        </w:rPr>
      </w:pPr>
      <w:r>
        <w:rPr>
          <w:rFonts w:hint="eastAsia" w:ascii="宋体" w:hAnsi="宋体" w:cs="宋体"/>
          <w:b/>
          <w:color w:val="auto"/>
          <w:sz w:val="28"/>
          <w:szCs w:val="28"/>
          <w:highlight w:val="none"/>
        </w:rPr>
        <w:t xml:space="preserve">  </w:t>
      </w:r>
      <w:r>
        <w:rPr>
          <w:rFonts w:hint="eastAsia" w:ascii="宋体" w:hAnsi="宋体" w:cs="宋体"/>
          <w:bCs/>
          <w:color w:val="auto"/>
          <w:sz w:val="28"/>
          <w:szCs w:val="28"/>
          <w:highlight w:val="none"/>
        </w:rPr>
        <w:t xml:space="preserve"> 采购代理机构：</w:t>
      </w:r>
      <w:r>
        <w:rPr>
          <w:rFonts w:hint="eastAsia" w:ascii="宋体" w:hAnsi="宋体" w:cs="宋体"/>
          <w:bCs/>
          <w:color w:val="auto"/>
          <w:sz w:val="28"/>
          <w:szCs w:val="28"/>
          <w:highlight w:val="none"/>
          <w:u w:val="single"/>
        </w:rPr>
        <w:t xml:space="preserve"> 广西天罡工程项目管理有限公司   </w:t>
      </w:r>
    </w:p>
    <w:p>
      <w:pPr>
        <w:pStyle w:val="11"/>
        <w:ind w:left="980" w:hanging="560" w:hangingChars="200"/>
        <w:rPr>
          <w:rFonts w:ascii="宋体" w:hAnsi="宋体" w:cs="宋体"/>
          <w:bCs/>
          <w:color w:val="auto"/>
          <w:sz w:val="28"/>
          <w:szCs w:val="28"/>
          <w:highlight w:val="none"/>
        </w:rPr>
      </w:pPr>
      <w:bookmarkStart w:id="199" w:name="_Toc4932_WPSOffice_Level2"/>
      <w:bookmarkStart w:id="200" w:name="_Toc20319_WPSOffice_Level2"/>
      <w:r>
        <w:rPr>
          <w:rFonts w:hint="eastAsia" w:ascii="宋体" w:hAnsi="宋体" w:cs="宋体"/>
          <w:bCs/>
          <w:color w:val="auto"/>
          <w:sz w:val="28"/>
          <w:szCs w:val="28"/>
          <w:highlight w:val="none"/>
        </w:rPr>
        <w:t>磋商供应商[(CA证书签章)、自然人除外]：</w:t>
      </w:r>
      <w:r>
        <w:rPr>
          <w:rFonts w:hint="eastAsia" w:ascii="宋体" w:hAnsi="宋体" w:cs="宋体"/>
          <w:bCs/>
          <w:color w:val="auto"/>
          <w:sz w:val="28"/>
          <w:szCs w:val="28"/>
          <w:highlight w:val="none"/>
          <w:u w:val="single"/>
        </w:rPr>
        <w:t xml:space="preserve">                       </w:t>
      </w:r>
      <w:bookmarkEnd w:id="199"/>
      <w:bookmarkEnd w:id="200"/>
      <w:r>
        <w:rPr>
          <w:rFonts w:hint="eastAsia" w:ascii="宋体" w:hAnsi="宋体" w:cs="宋体"/>
          <w:bCs/>
          <w:color w:val="auto"/>
          <w:sz w:val="28"/>
          <w:szCs w:val="28"/>
          <w:highlight w:val="none"/>
          <w:u w:val="single"/>
        </w:rPr>
        <w:t xml:space="preserve">       </w:t>
      </w:r>
    </w:p>
    <w:p>
      <w:pPr>
        <w:pStyle w:val="19"/>
        <w:spacing w:line="320" w:lineRule="exact"/>
        <w:ind w:firstLine="420"/>
        <w:rPr>
          <w:rFonts w:hAnsi="宋体" w:cs="宋体"/>
          <w:color w:val="auto"/>
          <w:sz w:val="28"/>
          <w:szCs w:val="28"/>
          <w:highlight w:val="none"/>
        </w:rPr>
      </w:pPr>
      <w:bookmarkStart w:id="201" w:name="_Toc32056_WPSOffice_Level2"/>
      <w:bookmarkStart w:id="202" w:name="_Toc9622_WPSOffice_Level2"/>
      <w:r>
        <w:rPr>
          <w:rFonts w:hint="eastAsia" w:hAnsi="宋体" w:cs="宋体"/>
          <w:color w:val="auto"/>
          <w:sz w:val="28"/>
          <w:szCs w:val="28"/>
          <w:highlight w:val="none"/>
        </w:rPr>
        <w:t>法定代表人、负责人、自然人或相应的委托代理人签字[或盖章(CA证书签章)]</w:t>
      </w:r>
    </w:p>
    <w:p>
      <w:pPr>
        <w:pStyle w:val="11"/>
        <w:ind w:left="980" w:hanging="560" w:hangingChars="200"/>
        <w:rPr>
          <w:rFonts w:ascii="宋体" w:hAnsi="宋体" w:cs="宋体"/>
          <w:color w:val="auto"/>
          <w:sz w:val="28"/>
          <w:szCs w:val="28"/>
          <w:highlight w:val="none"/>
          <w:u w:val="single"/>
        </w:rPr>
      </w:pPr>
      <w:r>
        <w:rPr>
          <w:rFonts w:hint="eastAsia" w:ascii="宋体" w:hAnsi="宋体" w:cs="宋体"/>
          <w:color w:val="auto"/>
          <w:sz w:val="28"/>
          <w:szCs w:val="28"/>
          <w:highlight w:val="none"/>
        </w:rPr>
        <w:t>（属自然人的应在签名处加盖大拇指指印或个人CA证书签章）：</w:t>
      </w:r>
      <w:r>
        <w:rPr>
          <w:rFonts w:hint="eastAsia" w:ascii="宋体" w:hAnsi="宋体" w:cs="宋体"/>
          <w:color w:val="auto"/>
          <w:sz w:val="28"/>
          <w:szCs w:val="28"/>
          <w:highlight w:val="none"/>
          <w:u w:val="single"/>
        </w:rPr>
        <w:t xml:space="preserve">              </w:t>
      </w:r>
    </w:p>
    <w:p>
      <w:pPr>
        <w:pStyle w:val="11"/>
        <w:ind w:left="980" w:hanging="560" w:hangingChars="200"/>
        <w:rPr>
          <w:rFonts w:ascii="宋体" w:hAnsi="宋体" w:cs="宋体"/>
          <w:bCs/>
          <w:color w:val="auto"/>
          <w:sz w:val="28"/>
          <w:szCs w:val="28"/>
          <w:highlight w:val="none"/>
          <w:u w:val="single"/>
        </w:rPr>
      </w:pPr>
      <w:r>
        <w:rPr>
          <w:rFonts w:hint="eastAsia" w:ascii="宋体" w:hAnsi="宋体" w:cs="宋体"/>
          <w:bCs/>
          <w:color w:val="auto"/>
          <w:sz w:val="28"/>
          <w:szCs w:val="28"/>
          <w:highlight w:val="none"/>
        </w:rPr>
        <w:t>联系电话：</w:t>
      </w:r>
      <w:bookmarkEnd w:id="201"/>
      <w:bookmarkEnd w:id="202"/>
      <w:r>
        <w:rPr>
          <w:rFonts w:hint="eastAsia" w:ascii="宋体" w:hAnsi="宋体" w:cs="宋体"/>
          <w:bCs/>
          <w:color w:val="auto"/>
          <w:sz w:val="28"/>
          <w:szCs w:val="28"/>
          <w:highlight w:val="none"/>
          <w:u w:val="single"/>
        </w:rPr>
        <w:t xml:space="preserve">                                                </w:t>
      </w:r>
    </w:p>
    <w:p>
      <w:pPr>
        <w:pStyle w:val="11"/>
        <w:ind w:left="980" w:hanging="560" w:hangingChars="200"/>
        <w:rPr>
          <w:rFonts w:ascii="宋体" w:hAnsi="宋体" w:cs="宋体"/>
          <w:bCs/>
          <w:color w:val="auto"/>
          <w:sz w:val="28"/>
          <w:szCs w:val="28"/>
          <w:highlight w:val="none"/>
        </w:rPr>
        <w:sectPr>
          <w:pgSz w:w="11906" w:h="16838"/>
          <w:pgMar w:top="1500" w:right="1134" w:bottom="1258" w:left="1134" w:header="850" w:footer="992" w:gutter="0"/>
          <w:pgNumType w:fmt="decimal" w:chapStyle="1" w:chapSep="hyphen"/>
          <w:cols w:space="720" w:num="1"/>
          <w:docGrid w:type="linesAndChars" w:linePitch="331" w:charSpace="0"/>
        </w:sectPr>
      </w:pPr>
      <w:bookmarkStart w:id="203" w:name="_Toc15933_WPSOffice_Level2"/>
      <w:bookmarkStart w:id="204"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203"/>
      <w:bookmarkEnd w:id="204"/>
    </w:p>
    <w:p>
      <w:pPr>
        <w:rPr>
          <w:rFonts w:ascii="宋体" w:hAnsi="宋体" w:cs="宋体"/>
          <w:b/>
          <w:bCs/>
          <w:color w:val="auto"/>
          <w:sz w:val="32"/>
          <w:szCs w:val="32"/>
          <w:highlight w:val="none"/>
        </w:rPr>
      </w:pPr>
      <w:bookmarkStart w:id="205" w:name="_Toc19430"/>
      <w:bookmarkStart w:id="206" w:name="_Toc497927070"/>
      <w:bookmarkStart w:id="207" w:name="_Toc21615"/>
      <w:r>
        <w:rPr>
          <w:rFonts w:hint="eastAsia" w:ascii="宋体" w:hAnsi="宋体" w:cs="宋体"/>
          <w:b/>
          <w:bCs/>
          <w:color w:val="auto"/>
          <w:sz w:val="32"/>
          <w:szCs w:val="32"/>
          <w:highlight w:val="none"/>
        </w:rPr>
        <w:t>二、响应文件组成</w:t>
      </w:r>
      <w:bookmarkEnd w:id="205"/>
      <w:bookmarkEnd w:id="206"/>
      <w:bookmarkEnd w:id="207"/>
    </w:p>
    <w:p>
      <w:pPr>
        <w:pStyle w:val="9"/>
        <w:rPr>
          <w:rFonts w:ascii="宋体" w:hAnsi="宋体" w:cs="宋体"/>
          <w:color w:val="auto"/>
          <w:highlight w:val="none"/>
        </w:rPr>
      </w:pPr>
    </w:p>
    <w:p>
      <w:pPr>
        <w:pStyle w:val="9"/>
        <w:rPr>
          <w:rFonts w:ascii="宋体" w:hAnsi="宋体" w:cs="宋体"/>
          <w:color w:val="auto"/>
          <w:highlight w:val="none"/>
        </w:rPr>
      </w:pPr>
    </w:p>
    <w:p>
      <w:pPr>
        <w:spacing w:line="400" w:lineRule="exact"/>
        <w:rPr>
          <w:rFonts w:ascii="宋体" w:hAnsi="宋体" w:cs="宋体"/>
          <w:b/>
          <w:bCs/>
          <w:color w:val="auto"/>
          <w:sz w:val="28"/>
          <w:szCs w:val="28"/>
          <w:highlight w:val="none"/>
        </w:rPr>
      </w:pPr>
    </w:p>
    <w:p>
      <w:pPr>
        <w:pStyle w:val="9"/>
        <w:rPr>
          <w:rFonts w:ascii="宋体" w:hAnsi="宋体" w:cs="宋体"/>
          <w:b/>
          <w:bCs/>
          <w:color w:val="auto"/>
          <w:sz w:val="28"/>
          <w:szCs w:val="28"/>
          <w:highlight w:val="none"/>
        </w:rPr>
      </w:pPr>
    </w:p>
    <w:p>
      <w:pPr>
        <w:numPr>
          <w:ilvl w:val="0"/>
          <w:numId w:val="9"/>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资格性响应证明材料</w:t>
      </w:r>
    </w:p>
    <w:p>
      <w:pPr>
        <w:pStyle w:val="9"/>
        <w:rPr>
          <w:rFonts w:ascii="宋体" w:hAnsi="宋体" w:cs="宋体"/>
          <w:b/>
          <w:bCs/>
          <w:color w:val="auto"/>
          <w:sz w:val="28"/>
          <w:szCs w:val="28"/>
          <w:highlight w:val="none"/>
        </w:rPr>
      </w:pPr>
    </w:p>
    <w:p>
      <w:pPr>
        <w:pStyle w:val="9"/>
        <w:rPr>
          <w:rFonts w:ascii="宋体" w:hAnsi="宋体" w:cs="宋体"/>
          <w:b/>
          <w:bCs/>
          <w:color w:val="auto"/>
          <w:sz w:val="28"/>
          <w:szCs w:val="28"/>
          <w:highlight w:val="none"/>
        </w:rPr>
      </w:pPr>
    </w:p>
    <w:p>
      <w:pPr>
        <w:numPr>
          <w:ilvl w:val="0"/>
          <w:numId w:val="9"/>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符合性响应证明材料</w:t>
      </w:r>
    </w:p>
    <w:p>
      <w:pPr>
        <w:pStyle w:val="9"/>
        <w:rPr>
          <w:rFonts w:ascii="宋体" w:hAnsi="宋体" w:cs="宋体"/>
          <w:b/>
          <w:bCs/>
          <w:color w:val="auto"/>
          <w:sz w:val="28"/>
          <w:szCs w:val="28"/>
          <w:highlight w:val="none"/>
        </w:rPr>
      </w:pPr>
    </w:p>
    <w:p>
      <w:pPr>
        <w:pStyle w:val="9"/>
        <w:rPr>
          <w:rFonts w:ascii="宋体" w:hAnsi="宋体" w:cs="宋体"/>
          <w:b/>
          <w:bCs/>
          <w:color w:val="auto"/>
          <w:sz w:val="28"/>
          <w:szCs w:val="28"/>
          <w:highlight w:val="none"/>
        </w:rPr>
      </w:pPr>
    </w:p>
    <w:p>
      <w:pPr>
        <w:numPr>
          <w:ilvl w:val="0"/>
          <w:numId w:val="9"/>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其他有效证明材料</w:t>
      </w:r>
    </w:p>
    <w:p>
      <w:pPr>
        <w:pStyle w:val="46"/>
        <w:rPr>
          <w:rFonts w:ascii="宋体" w:hAnsi="宋体" w:cs="宋体"/>
          <w:color w:val="auto"/>
          <w:highlight w:val="none"/>
        </w:rPr>
      </w:pPr>
    </w:p>
    <w:p>
      <w:pPr>
        <w:tabs>
          <w:tab w:val="left" w:pos="5040"/>
        </w:tabs>
        <w:spacing w:line="400" w:lineRule="exact"/>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pStyle w:val="9"/>
        <w:rPr>
          <w:rFonts w:ascii="宋体" w:hAnsi="宋体" w:cs="宋体"/>
          <w:color w:val="auto"/>
          <w:szCs w:val="21"/>
          <w:highlight w:val="none"/>
        </w:rPr>
      </w:pPr>
    </w:p>
    <w:p>
      <w:pPr>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pStyle w:val="46"/>
        <w:rPr>
          <w:rFonts w:ascii="宋体" w:hAnsi="宋体" w:cs="宋体"/>
          <w:color w:val="auto"/>
          <w:szCs w:val="21"/>
          <w:highlight w:val="none"/>
        </w:rPr>
      </w:pPr>
    </w:p>
    <w:p>
      <w:pPr>
        <w:rPr>
          <w:rFonts w:ascii="宋体" w:hAnsi="宋体" w:cs="宋体"/>
          <w:color w:val="auto"/>
          <w:highlight w:val="none"/>
        </w:rPr>
      </w:pPr>
      <w:bookmarkStart w:id="208" w:name="_Toc7185"/>
      <w:bookmarkStart w:id="209" w:name="_Toc497927071"/>
      <w:bookmarkStart w:id="210" w:name="_Toc11067"/>
    </w:p>
    <w:p>
      <w:pPr>
        <w:pStyle w:val="6"/>
        <w:jc w:val="center"/>
        <w:rPr>
          <w:rFonts w:ascii="宋体" w:hAnsi="宋体" w:cs="宋体"/>
          <w:color w:val="auto"/>
          <w:highlight w:val="none"/>
        </w:rPr>
      </w:pPr>
      <w:r>
        <w:rPr>
          <w:rFonts w:hint="eastAsia" w:ascii="宋体" w:hAnsi="宋体" w:cs="宋体"/>
          <w:color w:val="auto"/>
          <w:sz w:val="32"/>
          <w:szCs w:val="32"/>
          <w:highlight w:val="none"/>
        </w:rPr>
        <w:t>（一）资格性响应证明材料目录</w:t>
      </w:r>
      <w:bookmarkEnd w:id="208"/>
      <w:bookmarkEnd w:id="209"/>
      <w:bookmarkEnd w:id="210"/>
    </w:p>
    <w:p>
      <w:pPr>
        <w:spacing w:beforeLines="0" w:afterLines="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1.供应商相应的法定代表人、负责人、自然人身份证正反两面复印件</w:t>
      </w:r>
      <w:r>
        <w:rPr>
          <w:rFonts w:hint="eastAsia" w:ascii="宋体" w:hAnsi="宋体" w:cs="宋体"/>
          <w:b/>
          <w:bCs/>
          <w:color w:val="auto"/>
          <w:sz w:val="24"/>
          <w:highlight w:val="none"/>
        </w:rPr>
        <w:t>（必须提供）</w:t>
      </w:r>
      <w:r>
        <w:rPr>
          <w:rFonts w:hint="eastAsia" w:ascii="宋体" w:hAnsi="宋体" w:cs="宋体"/>
          <w:color w:val="auto"/>
          <w:sz w:val="24"/>
          <w:highlight w:val="none"/>
        </w:rPr>
        <w:t>；</w:t>
      </w:r>
    </w:p>
    <w:p>
      <w:pPr>
        <w:spacing w:beforeLines="0" w:afterLines="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beforeLines="0" w:afterLines="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如供应商为截标时间前60日以内成立的公司，可以提供供应商与委托代理人签订的劳动合同复印件代替社保证明复印件；</w:t>
      </w:r>
    </w:p>
    <w:p>
      <w:pPr>
        <w:spacing w:beforeLines="0" w:afterLines="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（2）如供应商为事业单位，可以提供事业单位机构编制管理证复印件或事业单位机构为其发放工资的工资条复印件代替社保证明复印件；</w:t>
      </w:r>
    </w:p>
    <w:p>
      <w:pPr>
        <w:spacing w:beforeLines="0" w:afterLines="0"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（3）如委托代理人为免缴纳社保人员，提供免缴纳社保的证明材料复印件及供应商与委托代理人签订的劳动合同复印件代替社保证明复印件。</w:t>
      </w:r>
    </w:p>
    <w:p>
      <w:pPr>
        <w:spacing w:beforeLines="0" w:afterLines="0" w:line="46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 w:val="24"/>
          <w:highlight w:val="none"/>
        </w:rPr>
        <w:t>】</w:t>
      </w:r>
      <w:r>
        <w:rPr>
          <w:rFonts w:hint="eastAsia" w:ascii="宋体" w:hAnsi="宋体" w:cs="宋体"/>
          <w:b/>
          <w:bCs/>
          <w:color w:val="auto"/>
          <w:sz w:val="24"/>
          <w:highlight w:val="none"/>
        </w:rPr>
        <w:t>（委托代理时必须提供）；</w:t>
      </w:r>
    </w:p>
    <w:p>
      <w:pPr>
        <w:spacing w:beforeLines="0" w:afterLines="0" w:line="4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3.供应商参加政府采购活动前3年内在经营活动中没有重大违法记录及有关信用信息的书面声明</w:t>
      </w:r>
      <w:r>
        <w:rPr>
          <w:rFonts w:hint="eastAsia" w:ascii="宋体" w:hAnsi="宋体" w:cs="宋体"/>
          <w:b/>
          <w:bCs/>
          <w:color w:val="auto"/>
          <w:sz w:val="24"/>
          <w:highlight w:val="none"/>
        </w:rPr>
        <w:t>（必须提供）；</w:t>
      </w:r>
    </w:p>
    <w:p>
      <w:pPr>
        <w:spacing w:beforeLines="0" w:afterLines="0" w:line="46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4.供应商的法人或者其他组织营业执照等证明文件复印件</w:t>
      </w:r>
      <w:r>
        <w:rPr>
          <w:rFonts w:hint="eastAsia" w:ascii="宋体" w:hAnsi="宋体" w:cs="宋体"/>
          <w:b/>
          <w:bCs/>
          <w:color w:val="auto"/>
          <w:sz w:val="24"/>
          <w:highlight w:val="none"/>
        </w:rPr>
        <w:t>（必须提供，自然人除外）；</w:t>
      </w:r>
    </w:p>
    <w:p>
      <w:pPr>
        <w:numPr>
          <w:ilvl w:val="0"/>
          <w:numId w:val="0"/>
        </w:numPr>
        <w:tabs>
          <w:tab w:val="clear" w:pos="780"/>
        </w:tabs>
        <w:spacing w:beforeLines="0" w:afterLines="0" w:line="460" w:lineRule="exact"/>
        <w:ind w:leftChars="200"/>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lang w:eastAsia="zh-CN"/>
        </w:rPr>
        <w:t>为</w:t>
      </w:r>
      <w:r>
        <w:rPr>
          <w:rFonts w:hint="eastAsia" w:ascii="宋体" w:hAnsi="宋体" w:cs="宋体"/>
          <w:color w:val="auto"/>
          <w:sz w:val="24"/>
          <w:highlight w:val="none"/>
          <w:lang w:eastAsia="zh-CN"/>
        </w:rPr>
        <w:t>中</w:t>
      </w:r>
      <w:r>
        <w:rPr>
          <w:rFonts w:hint="eastAsia" w:ascii="宋体" w:hAnsi="宋体" w:eastAsia="宋体" w:cs="宋体"/>
          <w:color w:val="auto"/>
          <w:sz w:val="24"/>
          <w:highlight w:val="none"/>
          <w:lang w:eastAsia="zh-CN"/>
        </w:rPr>
        <w:t>小微企业</w:t>
      </w:r>
      <w:r>
        <w:rPr>
          <w:rFonts w:hint="eastAsia" w:ascii="宋体" w:hAnsi="宋体" w:eastAsia="宋体" w:cs="宋体"/>
          <w:color w:val="auto"/>
          <w:sz w:val="24"/>
          <w:highlight w:val="none"/>
        </w:rPr>
        <w:t>或监狱企业或残疾人福利性单位的证明材料</w:t>
      </w:r>
      <w:r>
        <w:rPr>
          <w:rFonts w:hint="eastAsia" w:ascii="宋体" w:hAnsi="宋体" w:eastAsia="宋体" w:cs="宋体"/>
          <w:b/>
          <w:bCs/>
          <w:color w:val="auto"/>
          <w:sz w:val="24"/>
          <w:highlight w:val="none"/>
        </w:rPr>
        <w:t>（</w:t>
      </w:r>
      <w:r>
        <w:rPr>
          <w:rFonts w:hint="eastAsia" w:ascii="宋体" w:hAnsi="宋体" w:cs="宋体"/>
          <w:b/>
          <w:bCs/>
          <w:color w:val="auto"/>
          <w:sz w:val="24"/>
          <w:szCs w:val="24"/>
          <w:highlight w:val="none"/>
        </w:rPr>
        <w:t>必须提供以下材料</w:t>
      </w:r>
    </w:p>
    <w:p>
      <w:pPr>
        <w:numPr>
          <w:ilvl w:val="0"/>
          <w:numId w:val="0"/>
        </w:numPr>
        <w:tabs>
          <w:tab w:val="clear" w:pos="780"/>
        </w:tabs>
        <w:spacing w:beforeLines="0" w:afterLines="0" w:line="460" w:lineRule="exact"/>
        <w:ind w:leftChars="0"/>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rPr>
        <w:t>之一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p>
    <w:p>
      <w:pPr>
        <w:spacing w:beforeLines="0" w:afterLines="0"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①中小企业声明函（供应商为</w:t>
      </w:r>
      <w:r>
        <w:rPr>
          <w:rFonts w:hint="eastAsia" w:ascii="宋体" w:hAnsi="宋体" w:cs="宋体"/>
          <w:color w:val="auto"/>
          <w:sz w:val="24"/>
          <w:szCs w:val="24"/>
          <w:highlight w:val="none"/>
          <w:lang w:eastAsia="zh-CN"/>
        </w:rPr>
        <w:t>中</w:t>
      </w:r>
      <w:r>
        <w:rPr>
          <w:rFonts w:hint="eastAsia" w:ascii="宋体" w:hAnsi="宋体" w:cs="宋体"/>
          <w:color w:val="auto"/>
          <w:sz w:val="24"/>
          <w:szCs w:val="24"/>
          <w:highlight w:val="none"/>
        </w:rPr>
        <w:t>小微型企业的，应当提供《中小企业声明函》（格式见附件），并对声明函的真实性负责，成交结果将同时公告企业《中小企业声明函》，接受社会监督）；</w:t>
      </w:r>
    </w:p>
    <w:p>
      <w:pPr>
        <w:spacing w:beforeLines="0" w:afterLines="0"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②监狱企业的证明文件[供应商为监狱企业的，应当提供由省级以上监狱管理局、戒毒管理局（含新疆生产建设兵团）出具的属于监狱企业的证明文件，接受社会监督]；</w:t>
      </w:r>
    </w:p>
    <w:p>
      <w:pPr>
        <w:spacing w:beforeLines="0" w:afterLines="0"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pPr>
        <w:pStyle w:val="2"/>
        <w:spacing w:beforeLines="0" w:afterLines="0" w:line="460" w:lineRule="exact"/>
        <w:ind w:left="0" w:firstLine="0"/>
        <w:rPr>
          <w:rFonts w:hint="eastAsia" w:ascii="宋体" w:hAnsi="宋体" w:cs="宋体"/>
          <w:bCs w:val="0"/>
          <w:color w:val="auto"/>
          <w:sz w:val="24"/>
          <w:szCs w:val="24"/>
          <w:highlight w:val="none"/>
          <w:lang w:val="en-US"/>
        </w:rPr>
      </w:pPr>
      <w:r>
        <w:rPr>
          <w:rFonts w:hint="eastAsia" w:ascii="宋体" w:hAnsi="宋体" w:cs="宋体"/>
          <w:bCs w:val="0"/>
          <w:color w:val="auto"/>
          <w:sz w:val="24"/>
          <w:szCs w:val="24"/>
          <w:highlight w:val="none"/>
          <w:lang w:val="en-US" w:eastAsia="zh-CN"/>
        </w:rPr>
        <w:t>6.供应商须提供有效的保安服务许可证和劳务派遣经营许可证</w:t>
      </w:r>
      <w:r>
        <w:rPr>
          <w:rFonts w:hint="eastAsia" w:ascii="宋体" w:hAnsi="宋体" w:cs="宋体"/>
          <w:b/>
          <w:color w:val="auto"/>
          <w:sz w:val="24"/>
          <w:szCs w:val="24"/>
          <w:highlight w:val="none"/>
          <w:lang w:val="en-US"/>
        </w:rPr>
        <w:t>（必须提供）</w:t>
      </w:r>
      <w:r>
        <w:rPr>
          <w:rFonts w:hint="eastAsia" w:ascii="宋体" w:hAnsi="宋体" w:cs="宋体"/>
          <w:b w:val="0"/>
          <w:bCs w:val="0"/>
          <w:color w:val="auto"/>
          <w:sz w:val="24"/>
          <w:szCs w:val="24"/>
          <w:highlight w:val="none"/>
          <w:lang w:val="en-US" w:eastAsia="zh-CN"/>
        </w:rPr>
        <w:t>。</w:t>
      </w:r>
    </w:p>
    <w:p>
      <w:pPr>
        <w:pStyle w:val="2"/>
        <w:rPr>
          <w:rFonts w:hint="eastAsia"/>
          <w:color w:val="auto"/>
          <w:highlight w:val="none"/>
        </w:rPr>
      </w:pPr>
    </w:p>
    <w:p>
      <w:pPr>
        <w:pStyle w:val="21"/>
        <w:rPr>
          <w:color w:val="auto"/>
          <w:highlight w:val="none"/>
        </w:rPr>
      </w:pP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1.供应商相应的法定代表人、负责人、自然人身份证正反两面复印件（必须提供）；</w:t>
      </w:r>
    </w:p>
    <w:p>
      <w:pPr>
        <w:spacing w:line="360" w:lineRule="auto"/>
        <w:rPr>
          <w:rFonts w:ascii="宋体" w:hAnsi="宋体" w:cs="宋体"/>
          <w:b/>
          <w:bCs/>
          <w:color w:val="auto"/>
          <w:sz w:val="28"/>
          <w:szCs w:val="28"/>
          <w:highlight w:val="none"/>
        </w:rPr>
      </w:pPr>
    </w:p>
    <w:p>
      <w:pPr>
        <w:pStyle w:val="9"/>
        <w:rPr>
          <w:rFonts w:ascii="宋体" w:hAnsi="宋体" w:cs="宋体"/>
          <w:b/>
          <w:bCs/>
          <w:color w:val="auto"/>
          <w:sz w:val="28"/>
          <w:szCs w:val="28"/>
          <w:highlight w:val="none"/>
        </w:rPr>
      </w:pPr>
    </w:p>
    <w:p>
      <w:pPr>
        <w:pStyle w:val="10"/>
        <w:rPr>
          <w:color w:val="auto"/>
          <w:highlight w:val="none"/>
        </w:rPr>
      </w:pPr>
    </w:p>
    <w:p>
      <w:pPr>
        <w:spacing w:line="360" w:lineRule="auto"/>
        <w:rPr>
          <w:rFonts w:ascii="宋体" w:hAnsi="宋体" w:cs="宋体"/>
          <w:b/>
          <w:bCs/>
          <w:color w:val="auto"/>
          <w:sz w:val="28"/>
          <w:szCs w:val="28"/>
          <w:highlight w:val="none"/>
        </w:rPr>
      </w:pP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2.供应商的授权委托书原件、委托代理人身份证正反面复印件以及由县级以上（含县级）社会养老保险经办机构出具的供应商为委托代理人交纳的响应文件递交截止时间前半年内任意连续三个月社保证明复印件，除供应商为以下三种情形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如供应商为截标时间前60日以内成立的公司，可以提供供应商与委托代理人签订的劳动合同复印件代替社保证明复印件；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（2）如供应商为事业单位，可以提供事业单位机构编制管理证复印件或事业单位机构为其发放工资的工资条复印件代替社保证明复印件；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（3）如委托代理人为免缴纳社保人员，提供免缴纳社保的证明材料复印件及供应商与委托代理人签订的劳动合同复印件代替社保证明复印件。</w:t>
      </w:r>
    </w:p>
    <w:p>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cs="宋体"/>
          <w:color w:val="auto"/>
          <w:sz w:val="24"/>
          <w:highlight w:val="none"/>
        </w:rPr>
        <w:t>】</w:t>
      </w:r>
      <w:r>
        <w:rPr>
          <w:rFonts w:hint="eastAsia" w:ascii="宋体" w:hAnsi="宋体" w:cs="宋体"/>
          <w:b/>
          <w:bCs/>
          <w:color w:val="auto"/>
          <w:sz w:val="24"/>
          <w:highlight w:val="none"/>
        </w:rPr>
        <w:t>（委托代理时必须提供）；</w:t>
      </w:r>
    </w:p>
    <w:p>
      <w:pPr>
        <w:pStyle w:val="19"/>
        <w:rPr>
          <w:rFonts w:hAnsi="宋体" w:cs="宋体"/>
          <w:b/>
          <w:color w:val="auto"/>
          <w:sz w:val="32"/>
          <w:highlight w:val="none"/>
        </w:rPr>
      </w:pPr>
    </w:p>
    <w:p>
      <w:pPr>
        <w:pStyle w:val="19"/>
        <w:rPr>
          <w:rFonts w:hAnsi="宋体" w:cs="宋体"/>
          <w:b/>
          <w:color w:val="auto"/>
          <w:sz w:val="32"/>
          <w:highlight w:val="none"/>
        </w:rPr>
      </w:pPr>
    </w:p>
    <w:p>
      <w:pPr>
        <w:pStyle w:val="19"/>
        <w:rPr>
          <w:rFonts w:hAnsi="宋体" w:cs="宋体"/>
          <w:b/>
          <w:color w:val="auto"/>
          <w:sz w:val="32"/>
          <w:highlight w:val="none"/>
        </w:rPr>
      </w:pPr>
    </w:p>
    <w:p>
      <w:pPr>
        <w:pStyle w:val="19"/>
        <w:rPr>
          <w:rFonts w:hAnsi="宋体" w:cs="宋体"/>
          <w:b/>
          <w:color w:val="auto"/>
          <w:sz w:val="32"/>
          <w:highlight w:val="none"/>
        </w:rPr>
      </w:pPr>
    </w:p>
    <w:p>
      <w:pPr>
        <w:pStyle w:val="19"/>
        <w:rPr>
          <w:rFonts w:hAnsi="宋体" w:cs="宋体"/>
          <w:b/>
          <w:color w:val="auto"/>
          <w:sz w:val="32"/>
          <w:highlight w:val="none"/>
        </w:rPr>
      </w:pPr>
    </w:p>
    <w:p>
      <w:pPr>
        <w:pStyle w:val="19"/>
        <w:rPr>
          <w:rFonts w:hAnsi="宋体" w:cs="宋体"/>
          <w:b/>
          <w:color w:val="auto"/>
          <w:sz w:val="32"/>
          <w:highlight w:val="none"/>
        </w:rPr>
      </w:pPr>
      <w:r>
        <w:rPr>
          <w:rFonts w:hint="eastAsia" w:hAnsi="宋体" w:cs="宋体"/>
          <w:b/>
          <w:color w:val="auto"/>
          <w:sz w:val="32"/>
          <w:highlight w:val="none"/>
        </w:rPr>
        <w:t xml:space="preserve">附件：            </w:t>
      </w:r>
    </w:p>
    <w:p>
      <w:pPr>
        <w:pStyle w:val="19"/>
        <w:ind w:firstLine="627" w:firstLineChars="196"/>
        <w:jc w:val="center"/>
        <w:rPr>
          <w:rFonts w:hAnsi="宋体" w:cs="宋体"/>
          <w:b/>
          <w:color w:val="auto"/>
          <w:sz w:val="32"/>
          <w:highlight w:val="none"/>
        </w:rPr>
      </w:pPr>
      <w:bookmarkStart w:id="211" w:name="_Toc5420_WPSOffice_Level1"/>
      <w:bookmarkStart w:id="212" w:name="_Toc964_WPSOffice_Level1"/>
      <w:r>
        <w:rPr>
          <w:rFonts w:hint="eastAsia" w:hAnsi="宋体" w:cs="宋体"/>
          <w:b/>
          <w:color w:val="auto"/>
          <w:sz w:val="32"/>
          <w:highlight w:val="none"/>
        </w:rPr>
        <w:t>授权委托书（格式一）</w:t>
      </w:r>
      <w:bookmarkEnd w:id="211"/>
      <w:bookmarkEnd w:id="212"/>
    </w:p>
    <w:p>
      <w:pPr>
        <w:pStyle w:val="19"/>
        <w:rPr>
          <w:rFonts w:hAnsi="宋体" w:cs="宋体"/>
          <w:color w:val="auto"/>
          <w:highlight w:val="none"/>
        </w:rPr>
      </w:pPr>
    </w:p>
    <w:p>
      <w:pPr>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广西天罡工程项目管理有限公司 </w:t>
      </w:r>
    </w:p>
    <w:p>
      <w:pPr>
        <w:spacing w:line="400" w:lineRule="exact"/>
        <w:rPr>
          <w:rFonts w:ascii="宋体" w:hAnsi="宋体" w:cs="宋体"/>
          <w:color w:val="auto"/>
          <w:szCs w:val="21"/>
          <w:highlight w:val="none"/>
        </w:rPr>
      </w:pPr>
    </w:p>
    <w:p>
      <w:pPr>
        <w:pStyle w:val="19"/>
        <w:spacing w:line="40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pPr>
        <w:pStyle w:val="19"/>
        <w:spacing w:line="400" w:lineRule="exact"/>
        <w:ind w:firstLine="420" w:firstLineChars="200"/>
        <w:rPr>
          <w:rFonts w:hAnsi="宋体" w:cs="宋体"/>
          <w:color w:val="auto"/>
          <w:highlight w:val="none"/>
        </w:rPr>
      </w:pPr>
      <w:r>
        <w:rPr>
          <w:rFonts w:hint="eastAsia" w:hAnsi="宋体" w:cs="宋体"/>
          <w:color w:val="auto"/>
          <w:highlight w:val="none"/>
        </w:rPr>
        <w:t>我方对被授权人的签字事项负全部责任。</w:t>
      </w:r>
    </w:p>
    <w:p>
      <w:pPr>
        <w:pStyle w:val="19"/>
        <w:spacing w:line="400" w:lineRule="exact"/>
        <w:ind w:firstLine="420" w:firstLineChars="200"/>
        <w:rPr>
          <w:rFonts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pPr>
        <w:pStyle w:val="19"/>
        <w:spacing w:line="400" w:lineRule="exact"/>
        <w:rPr>
          <w:rFonts w:hAnsi="宋体" w:cs="宋体"/>
          <w:color w:val="auto"/>
          <w:highlight w:val="none"/>
          <w:u w:val="single"/>
        </w:rPr>
      </w:pPr>
      <w:r>
        <w:rPr>
          <w:rFonts w:hint="eastAsia" w:hAnsi="宋体" w:cs="宋体"/>
          <w:color w:val="auto"/>
          <w:highlight w:val="none"/>
        </w:rPr>
        <w:t xml:space="preserve">                                                                                             </w:t>
      </w:r>
    </w:p>
    <w:p>
      <w:pPr>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pPr>
        <w:spacing w:line="400" w:lineRule="exact"/>
        <w:ind w:firstLine="420" w:firstLineChars="200"/>
        <w:rPr>
          <w:rFonts w:ascii="宋体" w:hAnsi="宋体" w:cs="宋体"/>
          <w:color w:val="auto"/>
          <w:kern w:val="0"/>
          <w:highlight w:val="none"/>
        </w:rPr>
      </w:pP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ascii="宋体" w:hAnsi="宋体" w:cs="宋体"/>
          <w:color w:val="auto"/>
          <w:szCs w:val="21"/>
          <w:highlight w:val="none"/>
        </w:rPr>
      </w:pPr>
    </w:p>
    <w:p>
      <w:pPr>
        <w:snapToGrid w:val="0"/>
        <w:spacing w:line="40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磋商供应商[（CA证书签章）]：</w:t>
      </w:r>
      <w:r>
        <w:rPr>
          <w:rFonts w:hint="eastAsia" w:ascii="宋体" w:hAnsi="宋体" w:cs="宋体"/>
          <w:color w:val="auto"/>
          <w:szCs w:val="21"/>
          <w:highlight w:val="none"/>
          <w:u w:val="single"/>
        </w:rPr>
        <w:t xml:space="preserve">                                   </w:t>
      </w:r>
    </w:p>
    <w:p>
      <w:pPr>
        <w:snapToGrid w:val="0"/>
        <w:spacing w:line="400" w:lineRule="exact"/>
        <w:ind w:firstLine="420"/>
        <w:rPr>
          <w:rFonts w:ascii="宋体" w:hAnsi="宋体" w:cs="宋体"/>
          <w:color w:val="auto"/>
          <w:szCs w:val="21"/>
          <w:highlight w:val="none"/>
        </w:rPr>
      </w:pPr>
    </w:p>
    <w:p>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法定代表人（负责人）签字（或个人CA证书签章）：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napToGrid w:val="0"/>
        <w:spacing w:line="400" w:lineRule="exact"/>
        <w:ind w:firstLine="420"/>
        <w:rPr>
          <w:rFonts w:ascii="宋体" w:hAnsi="宋体" w:cs="宋体"/>
          <w:color w:val="auto"/>
          <w:szCs w:val="21"/>
          <w:highlight w:val="none"/>
        </w:rPr>
      </w:pPr>
    </w:p>
    <w:p>
      <w:pPr>
        <w:pStyle w:val="9"/>
        <w:rPr>
          <w:rFonts w:ascii="宋体" w:hAnsi="宋体" w:cs="宋体"/>
          <w:color w:val="auto"/>
          <w:highlight w:val="none"/>
        </w:rPr>
      </w:pPr>
    </w:p>
    <w:p>
      <w:pPr>
        <w:pStyle w:val="19"/>
        <w:spacing w:line="340" w:lineRule="exact"/>
        <w:ind w:firstLine="480" w:firstLineChars="200"/>
        <w:rPr>
          <w:rFonts w:hAnsi="宋体" w:cs="宋体"/>
          <w:b/>
          <w:color w:val="auto"/>
          <w:sz w:val="24"/>
          <w:highlight w:val="none"/>
        </w:rPr>
        <w:sectPr>
          <w:pgSz w:w="11906" w:h="16838"/>
          <w:pgMar w:top="1500" w:right="1134" w:bottom="1258" w:left="1134" w:header="850" w:footer="992" w:gutter="0"/>
          <w:pgNumType w:fmt="decimal" w:chapStyle="1" w:chapSep="hyphen"/>
          <w:cols w:space="720" w:num="1"/>
          <w:docGrid w:type="linesAndChars" w:linePitch="331" w:charSpace="0"/>
        </w:sectPr>
      </w:pPr>
      <w:r>
        <w:rPr>
          <w:rFonts w:hint="eastAsia" w:hAnsi="宋体" w:cs="宋体"/>
          <w:b/>
          <w:color w:val="auto"/>
          <w:sz w:val="24"/>
          <w:highlight w:val="none"/>
        </w:rPr>
        <w:t>注：供应商的授权委托书原件、委托代理人身份证正反面复印件以及由县级以上（含县级）社会养老保险经办机构出具的供应商为委托代理人交纳的开标截止时间前半年内任意连续三个月社保证明复印件（如供应商为截标时间前60日以内成立的公司，可以提供供应商与委托代理人签订的劳动合同复印件代替社保证明复印件；如供应商为事业单位，可以提供事业单位机构编制管理证复印件或事业单位机构为其发放工资的工资条复印件代替社保证明复印件；如委托代理人为免缴纳社保人员，提供免缴纳社保的证明材料复印件及供应商与委托代理人签订的劳动合同复印件代替社保证明复印件）委托代理时必须提供。</w:t>
      </w:r>
    </w:p>
    <w:p>
      <w:pPr>
        <w:pStyle w:val="19"/>
        <w:jc w:val="center"/>
        <w:rPr>
          <w:rFonts w:hAnsi="宋体" w:cs="宋体"/>
          <w:b/>
          <w:color w:val="auto"/>
          <w:sz w:val="32"/>
          <w:highlight w:val="none"/>
        </w:rPr>
      </w:pPr>
      <w:bookmarkStart w:id="213" w:name="_Toc21370_WPSOffice_Level1"/>
      <w:bookmarkStart w:id="214" w:name="_Toc6975_WPSOffice_Level1"/>
      <w:r>
        <w:rPr>
          <w:rFonts w:hint="eastAsia" w:hAnsi="宋体" w:cs="宋体"/>
          <w:b/>
          <w:color w:val="auto"/>
          <w:sz w:val="32"/>
          <w:highlight w:val="none"/>
        </w:rPr>
        <w:t>授权委托书（格式二）</w:t>
      </w:r>
      <w:bookmarkEnd w:id="213"/>
      <w:bookmarkEnd w:id="214"/>
    </w:p>
    <w:p>
      <w:pPr>
        <w:pStyle w:val="19"/>
        <w:rPr>
          <w:rFonts w:hAnsi="宋体" w:cs="宋体"/>
          <w:b/>
          <w:color w:val="auto"/>
          <w:sz w:val="32"/>
          <w:highlight w:val="none"/>
        </w:rPr>
      </w:pPr>
    </w:p>
    <w:p>
      <w:pPr>
        <w:pStyle w:val="19"/>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广西天罡工程项目管理有限公司 </w:t>
      </w:r>
    </w:p>
    <w:p>
      <w:pPr>
        <w:rPr>
          <w:rFonts w:ascii="宋体" w:hAnsi="宋体" w:cs="宋体"/>
          <w:color w:val="auto"/>
          <w:highlight w:val="none"/>
        </w:rPr>
      </w:pPr>
    </w:p>
    <w:p>
      <w:pPr>
        <w:pStyle w:val="19"/>
        <w:spacing w:line="340" w:lineRule="exact"/>
        <w:ind w:firstLine="420" w:firstLineChars="200"/>
        <w:rPr>
          <w:rFonts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pPr>
        <w:pStyle w:val="19"/>
        <w:spacing w:line="340" w:lineRule="exact"/>
        <w:ind w:firstLine="420" w:firstLineChars="200"/>
        <w:rPr>
          <w:rFonts w:hAnsi="宋体" w:cs="宋体"/>
          <w:color w:val="auto"/>
          <w:highlight w:val="none"/>
        </w:rPr>
      </w:pPr>
      <w:r>
        <w:rPr>
          <w:rFonts w:hint="eastAsia" w:hAnsi="宋体" w:cs="宋体"/>
          <w:color w:val="auto"/>
          <w:highlight w:val="none"/>
        </w:rPr>
        <w:t>本人对被授权人的签字事项负全部责任。</w:t>
      </w:r>
    </w:p>
    <w:p>
      <w:pPr>
        <w:pStyle w:val="19"/>
        <w:spacing w:line="340" w:lineRule="exact"/>
        <w:ind w:firstLine="420" w:firstLineChars="200"/>
        <w:rPr>
          <w:rFonts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pPr>
        <w:pStyle w:val="19"/>
        <w:spacing w:line="340" w:lineRule="exact"/>
        <w:rPr>
          <w:rFonts w:hAnsi="宋体" w:cs="宋体"/>
          <w:color w:val="auto"/>
          <w:highlight w:val="none"/>
          <w:u w:val="single"/>
        </w:rPr>
      </w:pPr>
      <w:r>
        <w:rPr>
          <w:rFonts w:hint="eastAsia" w:hAnsi="宋体" w:cs="宋体"/>
          <w:color w:val="auto"/>
          <w:highlight w:val="none"/>
        </w:rPr>
        <w:t xml:space="preserve">                                                                                             </w:t>
      </w:r>
    </w:p>
    <w:p>
      <w:pPr>
        <w:spacing w:line="3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pPr>
        <w:spacing w:line="340" w:lineRule="exact"/>
        <w:ind w:firstLine="420" w:firstLineChars="200"/>
        <w:rPr>
          <w:rFonts w:ascii="宋体" w:hAnsi="宋体" w:cs="宋体"/>
          <w:color w:val="auto"/>
          <w:kern w:val="0"/>
          <w:highlight w:val="none"/>
        </w:rPr>
      </w:pPr>
    </w:p>
    <w:p>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我已在下面签字，以资证明。</w:t>
      </w:r>
    </w:p>
    <w:p>
      <w:pPr>
        <w:spacing w:line="340" w:lineRule="exact"/>
        <w:ind w:firstLine="420" w:firstLineChars="200"/>
        <w:rPr>
          <w:rFonts w:ascii="宋体" w:hAnsi="宋体" w:cs="宋体"/>
          <w:color w:val="auto"/>
          <w:szCs w:val="21"/>
          <w:highlight w:val="none"/>
        </w:rPr>
      </w:pPr>
    </w:p>
    <w:p>
      <w:pPr>
        <w:snapToGrid w:val="0"/>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自然人签字并在签名处加盖大拇指指印或个人CA证书签章：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9"/>
        <w:spacing w:line="400" w:lineRule="exact"/>
        <w:ind w:left="420" w:leftChars="200"/>
        <w:rPr>
          <w:rFonts w:hAnsi="宋体" w:cs="宋体"/>
          <w:color w:val="auto"/>
          <w:szCs w:val="21"/>
          <w:highlight w:val="none"/>
        </w:rPr>
      </w:pPr>
    </w:p>
    <w:p>
      <w:pPr>
        <w:pStyle w:val="19"/>
        <w:spacing w:line="400" w:lineRule="exact"/>
        <w:rPr>
          <w:rFonts w:hAnsi="宋体" w:cs="宋体"/>
          <w:b/>
          <w:color w:val="auto"/>
          <w:szCs w:val="21"/>
          <w:highlight w:val="none"/>
        </w:rPr>
        <w:sectPr>
          <w:footerReference r:id="rId8" w:type="first"/>
          <w:footerReference r:id="rId7" w:type="default"/>
          <w:pgSz w:w="11906" w:h="16838"/>
          <w:pgMar w:top="1500" w:right="1134" w:bottom="1258" w:left="1134" w:header="720" w:footer="720" w:gutter="0"/>
          <w:pgNumType w:fmt="decimal" w:chapStyle="1" w:chapSep="hyphen"/>
          <w:cols w:space="720" w:num="1"/>
          <w:docGrid w:type="linesAndChars" w:linePitch="331" w:charSpace="0"/>
        </w:sectPr>
      </w:pPr>
      <w:r>
        <w:rPr>
          <w:rFonts w:hint="eastAsia" w:hAnsi="宋体" w:cs="宋体"/>
          <w:b/>
          <w:color w:val="auto"/>
          <w:szCs w:val="21"/>
          <w:highlight w:val="none"/>
        </w:rPr>
        <w:t>附：委托代理人身份证正反面复印件</w:t>
      </w:r>
    </w:p>
    <w:p>
      <w:pPr>
        <w:spacing w:line="440" w:lineRule="atLeast"/>
        <w:rPr>
          <w:rFonts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p>
    <w:p>
      <w:pPr>
        <w:pStyle w:val="19"/>
        <w:spacing w:line="400" w:lineRule="exact"/>
        <w:ind w:left="420" w:leftChars="200" w:firstLine="156" w:firstLineChars="49"/>
        <w:rPr>
          <w:rFonts w:hAnsi="宋体" w:cs="宋体"/>
          <w:b/>
          <w:color w:val="auto"/>
          <w:sz w:val="32"/>
          <w:szCs w:val="32"/>
          <w:highlight w:val="none"/>
        </w:rPr>
      </w:pPr>
      <w:r>
        <w:rPr>
          <w:rFonts w:hint="eastAsia" w:hAnsi="宋体" w:cs="宋体"/>
          <w:b/>
          <w:color w:val="auto"/>
          <w:sz w:val="32"/>
          <w:szCs w:val="32"/>
          <w:highlight w:val="none"/>
        </w:rPr>
        <w:t xml:space="preserve">                       </w:t>
      </w:r>
    </w:p>
    <w:p>
      <w:pPr>
        <w:pStyle w:val="19"/>
        <w:spacing w:line="400" w:lineRule="exact"/>
        <w:rPr>
          <w:rFonts w:hAnsi="宋体" w:cs="宋体"/>
          <w:b/>
          <w:color w:val="auto"/>
          <w:sz w:val="32"/>
          <w:szCs w:val="32"/>
          <w:highlight w:val="none"/>
        </w:rPr>
      </w:pPr>
      <w:r>
        <w:rPr>
          <w:rFonts w:hint="eastAsia" w:hAnsi="宋体" w:cs="宋体"/>
          <w:b/>
          <w:color w:val="auto"/>
          <w:sz w:val="32"/>
          <w:szCs w:val="32"/>
          <w:highlight w:val="none"/>
        </w:rPr>
        <w:t>附件：</w:t>
      </w:r>
    </w:p>
    <w:p>
      <w:pPr>
        <w:pStyle w:val="19"/>
        <w:spacing w:line="400" w:lineRule="exact"/>
        <w:jc w:val="center"/>
        <w:rPr>
          <w:rFonts w:hAnsi="宋体" w:cs="宋体"/>
          <w:b/>
          <w:color w:val="auto"/>
          <w:sz w:val="32"/>
          <w:szCs w:val="32"/>
          <w:highlight w:val="none"/>
        </w:rPr>
      </w:pPr>
      <w:bookmarkStart w:id="215" w:name="_Toc30304_WPSOffice_Level1"/>
      <w:bookmarkStart w:id="216" w:name="_Toc30890_WPSOffice_Level1"/>
      <w:r>
        <w:rPr>
          <w:rFonts w:hint="eastAsia" w:hAnsi="宋体" w:cs="宋体"/>
          <w:b/>
          <w:color w:val="auto"/>
          <w:sz w:val="32"/>
          <w:szCs w:val="32"/>
          <w:highlight w:val="none"/>
        </w:rPr>
        <w:t>声   明</w:t>
      </w:r>
      <w:bookmarkEnd w:id="215"/>
      <w:bookmarkEnd w:id="216"/>
    </w:p>
    <w:p>
      <w:pPr>
        <w:pStyle w:val="19"/>
        <w:spacing w:line="400" w:lineRule="exact"/>
        <w:rPr>
          <w:rFonts w:hAnsi="宋体" w:cs="宋体"/>
          <w:b/>
          <w:color w:val="auto"/>
          <w:sz w:val="32"/>
          <w:szCs w:val="32"/>
          <w:highlight w:val="none"/>
        </w:rPr>
      </w:pPr>
    </w:p>
    <w:p>
      <w:pPr>
        <w:pStyle w:val="19"/>
        <w:spacing w:line="400" w:lineRule="exact"/>
        <w:rPr>
          <w:rFonts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广西天罡工程项目管理有限公司 </w:t>
      </w:r>
    </w:p>
    <w:p>
      <w:pPr>
        <w:rPr>
          <w:rFonts w:ascii="宋体" w:hAnsi="宋体" w:cs="宋体"/>
          <w:color w:val="auto"/>
          <w:szCs w:val="21"/>
          <w:highlight w:val="none"/>
          <w:u w:val="single"/>
        </w:rPr>
      </w:pPr>
    </w:p>
    <w:p>
      <w:pPr>
        <w:pStyle w:val="9"/>
        <w:rPr>
          <w:rFonts w:ascii="宋体" w:hAnsi="宋体" w:cs="宋体"/>
          <w:color w:val="auto"/>
          <w:highlight w:val="none"/>
        </w:rPr>
      </w:pPr>
    </w:p>
    <w:p>
      <w:pPr>
        <w:pStyle w:val="19"/>
        <w:spacing w:line="400" w:lineRule="exact"/>
        <w:ind w:firstLine="420" w:firstLineChars="200"/>
        <w:rPr>
          <w:rFonts w:hAnsi="宋体" w:cs="宋体"/>
          <w:color w:val="auto"/>
          <w:highlight w:val="none"/>
        </w:rPr>
      </w:pPr>
      <w:r>
        <w:rPr>
          <w:rFonts w:hint="eastAsia" w:hAnsi="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rPr>
          <w:rFonts w:ascii="宋体" w:hAnsi="宋体" w:cs="宋体"/>
          <w:color w:val="auto"/>
          <w:highlight w:val="none"/>
        </w:rPr>
      </w:pPr>
    </w:p>
    <w:p>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pPr>
        <w:pStyle w:val="19"/>
        <w:ind w:firstLine="3990" w:firstLineChars="1900"/>
        <w:rPr>
          <w:rFonts w:hAnsi="宋体" w:cs="宋体"/>
          <w:color w:val="auto"/>
          <w:highlight w:val="none"/>
          <w:u w:val="single"/>
        </w:rPr>
        <w:sectPr>
          <w:pgSz w:w="11906" w:h="16838"/>
          <w:pgMar w:top="1500" w:right="1134" w:bottom="1258" w:left="1134" w:header="850" w:footer="992" w:gutter="0"/>
          <w:pgNumType w:fmt="decimal" w:chapStyle="1" w:chapSep="hyphen"/>
          <w:cols w:space="720" w:num="1"/>
          <w:docGrid w:type="linesAndChars" w:linePitch="331" w:charSpace="0"/>
        </w:sectPr>
      </w:pPr>
      <w:r>
        <w:rPr>
          <w:rFonts w:hint="eastAsia" w:hAnsi="宋体" w:cs="宋体"/>
          <w:color w:val="auto"/>
          <w:highlight w:val="none"/>
        </w:rPr>
        <w:t>日          期：</w:t>
      </w:r>
      <w:r>
        <w:rPr>
          <w:rFonts w:hint="eastAsia" w:hAnsi="宋体" w:cs="宋体"/>
          <w:color w:val="auto"/>
          <w:highlight w:val="none"/>
          <w:u w:val="single"/>
        </w:rPr>
        <w:t xml:space="preserve">                  </w:t>
      </w:r>
    </w:p>
    <w:p>
      <w:pPr>
        <w:pStyle w:val="19"/>
        <w:rPr>
          <w:rFonts w:hAnsi="宋体" w:cs="宋体"/>
          <w:b/>
          <w:color w:val="auto"/>
          <w:sz w:val="28"/>
          <w:szCs w:val="28"/>
          <w:highlight w:val="none"/>
        </w:rPr>
      </w:pPr>
      <w:r>
        <w:rPr>
          <w:rFonts w:hint="eastAsia" w:hAnsi="宋体" w:cs="宋体"/>
          <w:b/>
          <w:color w:val="auto"/>
          <w:sz w:val="28"/>
          <w:szCs w:val="28"/>
          <w:highlight w:val="none"/>
        </w:rPr>
        <w:t>4.供应商的法人或者其他组织营业执照等证明文件复印件（必须提供，自然人除外）；</w:t>
      </w:r>
    </w:p>
    <w:p>
      <w:pPr>
        <w:tabs>
          <w:tab w:val="left" w:pos="1305"/>
        </w:tabs>
        <w:spacing w:line="340" w:lineRule="exact"/>
        <w:rPr>
          <w:rFonts w:ascii="宋体" w:hAnsi="宋体" w:cs="宋体"/>
          <w:b/>
          <w:color w:val="auto"/>
          <w:szCs w:val="21"/>
          <w:highlight w:val="none"/>
        </w:rPr>
      </w:pPr>
    </w:p>
    <w:p>
      <w:pPr>
        <w:tabs>
          <w:tab w:val="left" w:pos="1305"/>
        </w:tabs>
        <w:spacing w:line="400" w:lineRule="exact"/>
        <w:rPr>
          <w:rFonts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45"/>
        <w:ind w:firstLine="0" w:firstLineChars="0"/>
        <w:rPr>
          <w:rFonts w:cs="宋体"/>
          <w:b/>
          <w:bCs/>
          <w:color w:val="auto"/>
          <w:sz w:val="28"/>
          <w:szCs w:val="28"/>
          <w:highlight w:val="none"/>
        </w:rPr>
      </w:pPr>
    </w:p>
    <w:p>
      <w:pPr>
        <w:pStyle w:val="45"/>
        <w:ind w:firstLine="562"/>
        <w:rPr>
          <w:rFonts w:cs="宋体"/>
          <w:b/>
          <w:bCs/>
          <w:color w:val="auto"/>
          <w:sz w:val="28"/>
          <w:szCs w:val="28"/>
          <w:highlight w:val="none"/>
        </w:rPr>
      </w:pPr>
    </w:p>
    <w:p>
      <w:pPr>
        <w:numPr>
          <w:ilvl w:val="-1"/>
          <w:numId w:val="0"/>
        </w:numPr>
        <w:spacing w:line="420" w:lineRule="exact"/>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5.</w:t>
      </w:r>
      <w:r>
        <w:rPr>
          <w:rFonts w:hint="eastAsia" w:ascii="宋体" w:hAnsi="宋体" w:cs="Times New Roman"/>
          <w:b/>
          <w:color w:val="auto"/>
          <w:kern w:val="2"/>
          <w:sz w:val="32"/>
          <w:szCs w:val="32"/>
          <w:highlight w:val="none"/>
          <w:lang w:val="en-US" w:eastAsia="zh-CN" w:bidi="ar-SA"/>
        </w:rPr>
        <w:t>供应商</w:t>
      </w:r>
      <w:r>
        <w:rPr>
          <w:rFonts w:hint="eastAsia" w:ascii="宋体" w:hAnsi="宋体" w:eastAsia="宋体" w:cs="Times New Roman"/>
          <w:b/>
          <w:color w:val="auto"/>
          <w:kern w:val="2"/>
          <w:sz w:val="32"/>
          <w:szCs w:val="32"/>
          <w:highlight w:val="none"/>
          <w:lang w:val="en-US" w:eastAsia="zh-CN" w:bidi="ar-SA"/>
        </w:rPr>
        <w:t>为</w:t>
      </w:r>
      <w:r>
        <w:rPr>
          <w:rFonts w:hint="eastAsia" w:ascii="宋体" w:hAnsi="宋体" w:cs="Times New Roman"/>
          <w:b/>
          <w:color w:val="auto"/>
          <w:kern w:val="2"/>
          <w:sz w:val="32"/>
          <w:szCs w:val="32"/>
          <w:highlight w:val="none"/>
          <w:lang w:val="en-US" w:eastAsia="zh-CN" w:bidi="ar-SA"/>
        </w:rPr>
        <w:t>中</w:t>
      </w:r>
      <w:r>
        <w:rPr>
          <w:rFonts w:hint="eastAsia" w:ascii="宋体" w:hAnsi="宋体" w:eastAsia="宋体" w:cs="Times New Roman"/>
          <w:b/>
          <w:color w:val="auto"/>
          <w:kern w:val="2"/>
          <w:sz w:val="32"/>
          <w:szCs w:val="32"/>
          <w:highlight w:val="none"/>
          <w:lang w:val="en-US" w:eastAsia="zh-CN" w:bidi="ar-SA"/>
        </w:rPr>
        <w:t>小微企业或监狱企业或残疾人福利性单位的证明材料（必须提供以下材料之一）：</w:t>
      </w:r>
    </w:p>
    <w:p>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①中小企业声明函（供应商为</w:t>
      </w:r>
      <w:r>
        <w:rPr>
          <w:rFonts w:hint="eastAsia" w:ascii="宋体" w:hAnsi="宋体" w:cs="宋体"/>
          <w:b/>
          <w:color w:val="auto"/>
          <w:kern w:val="0"/>
          <w:sz w:val="24"/>
          <w:szCs w:val="24"/>
          <w:highlight w:val="none"/>
          <w:lang w:eastAsia="zh-CN"/>
        </w:rPr>
        <w:t>中</w:t>
      </w:r>
      <w:r>
        <w:rPr>
          <w:rFonts w:hint="eastAsia" w:ascii="宋体" w:hAnsi="宋体" w:eastAsia="宋体" w:cs="宋体"/>
          <w:b/>
          <w:color w:val="auto"/>
          <w:kern w:val="0"/>
          <w:sz w:val="24"/>
          <w:szCs w:val="24"/>
          <w:highlight w:val="none"/>
        </w:rPr>
        <w:t>小微型企业的，应当提供《中小企业声明函》（格式见附件），并对声明函的真实性负责，成交结果将同时公告企业《中小企业声明函》，接受社会监督）；</w:t>
      </w:r>
    </w:p>
    <w:p>
      <w:pPr>
        <w:snapToGrid w:val="0"/>
        <w:spacing w:beforeLines="50" w:after="50" w:line="32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中小企业声明函（格式）</w:t>
      </w:r>
    </w:p>
    <w:p>
      <w:pPr>
        <w:ind w:firstLine="480" w:firstLineChars="200"/>
        <w:rPr>
          <w:rFonts w:hint="eastAsia" w:ascii="宋体" w:hAnsi="宋体" w:eastAsia="宋体" w:cs="宋体"/>
          <w:color w:val="auto"/>
          <w:kern w:val="0"/>
          <w:sz w:val="24"/>
          <w:szCs w:val="24"/>
          <w:highlight w:val="none"/>
        </w:rPr>
      </w:pPr>
    </w:p>
    <w:p>
      <w:pPr>
        <w:pStyle w:val="9"/>
        <w:spacing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本公司郑重声明，根据《政府采购促进中小企业发展管理办法》（财库﹝2020﹞46号）的规定，本公司参加</w:t>
      </w:r>
      <w:r>
        <w:rPr>
          <w:rFonts w:hint="eastAsia" w:ascii="宋体" w:hAnsi="宋体" w:eastAsia="宋体" w:cs="宋体"/>
          <w:b w:val="0"/>
          <w:bCs/>
          <w:color w:val="auto"/>
          <w:spacing w:val="-10"/>
          <w:sz w:val="24"/>
          <w:szCs w:val="24"/>
          <w:highlight w:val="none"/>
          <w:u w:val="single"/>
        </w:rPr>
        <w:t>（单位名称）</w:t>
      </w:r>
      <w:r>
        <w:rPr>
          <w:rFonts w:hint="eastAsia" w:ascii="宋体" w:hAnsi="宋体" w:eastAsia="宋体" w:cs="宋体"/>
          <w:b w:val="0"/>
          <w:bCs/>
          <w:color w:val="auto"/>
          <w:spacing w:val="-10"/>
          <w:sz w:val="24"/>
          <w:szCs w:val="24"/>
          <w:highlight w:val="none"/>
        </w:rPr>
        <w:t>的</w:t>
      </w:r>
      <w:r>
        <w:rPr>
          <w:rFonts w:hint="eastAsia" w:ascii="宋体" w:hAnsi="宋体" w:eastAsia="宋体" w:cs="宋体"/>
          <w:b w:val="0"/>
          <w:bCs/>
          <w:color w:val="auto"/>
          <w:spacing w:val="-10"/>
          <w:sz w:val="24"/>
          <w:szCs w:val="24"/>
          <w:highlight w:val="none"/>
          <w:u w:val="single"/>
        </w:rPr>
        <w:t>（项目名称）</w:t>
      </w:r>
      <w:r>
        <w:rPr>
          <w:rFonts w:hint="eastAsia" w:ascii="宋体" w:hAnsi="宋体" w:eastAsia="宋体" w:cs="宋体"/>
          <w:b w:val="0"/>
          <w:bCs/>
          <w:color w:val="auto"/>
          <w:spacing w:val="-10"/>
          <w:sz w:val="24"/>
          <w:szCs w:val="24"/>
          <w:highlight w:val="none"/>
        </w:rPr>
        <w:t>采购活动，服务全部由符合政策要求的中小企业承接。相关企业的具体情况如下：</w:t>
      </w:r>
    </w:p>
    <w:p>
      <w:pPr>
        <w:tabs>
          <w:tab w:val="left" w:pos="1384"/>
          <w:tab w:val="left" w:pos="4562"/>
          <w:tab w:val="left" w:pos="6803"/>
        </w:tabs>
        <w:spacing w:before="13" w:line="500" w:lineRule="exact"/>
        <w:ind w:right="142" w:firstLine="440" w:firstLineChars="200"/>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u w:val="single"/>
        </w:rPr>
        <w:t>（标的名称）</w:t>
      </w:r>
      <w:r>
        <w:rPr>
          <w:rFonts w:hint="eastAsia" w:ascii="宋体" w:hAnsi="宋体" w:eastAsia="宋体" w:cs="宋体"/>
          <w:b w:val="0"/>
          <w:bCs/>
          <w:color w:val="auto"/>
          <w:spacing w:val="-10"/>
          <w:sz w:val="24"/>
          <w:szCs w:val="24"/>
          <w:highlight w:val="none"/>
        </w:rPr>
        <w:t>，属于</w:t>
      </w:r>
      <w:r>
        <w:rPr>
          <w:rFonts w:hint="eastAsia" w:ascii="宋体" w:hAnsi="宋体" w:eastAsia="宋体" w:cs="宋体"/>
          <w:b w:val="0"/>
          <w:bCs/>
          <w:color w:val="auto"/>
          <w:spacing w:val="-10"/>
          <w:sz w:val="24"/>
          <w:szCs w:val="24"/>
          <w:highlight w:val="none"/>
          <w:u w:val="single"/>
          <w:lang w:eastAsia="zh-CN"/>
        </w:rPr>
        <w:t>其他未列明行业</w:t>
      </w:r>
      <w:r>
        <w:rPr>
          <w:rFonts w:hint="eastAsia" w:ascii="宋体" w:hAnsi="宋体" w:eastAsia="宋体" w:cs="宋体"/>
          <w:b w:val="0"/>
          <w:bCs/>
          <w:color w:val="auto"/>
          <w:spacing w:val="-10"/>
          <w:sz w:val="24"/>
          <w:szCs w:val="24"/>
          <w:highlight w:val="none"/>
        </w:rPr>
        <w:t>；承接企业为</w:t>
      </w:r>
      <w:r>
        <w:rPr>
          <w:rFonts w:hint="eastAsia" w:ascii="宋体" w:hAnsi="宋体" w:eastAsia="宋体" w:cs="宋体"/>
          <w:b w:val="0"/>
          <w:bCs/>
          <w:color w:val="auto"/>
          <w:spacing w:val="-10"/>
          <w:sz w:val="24"/>
          <w:szCs w:val="24"/>
          <w:highlight w:val="none"/>
          <w:u w:val="single"/>
        </w:rPr>
        <w:t xml:space="preserve">（企业名称） </w:t>
      </w:r>
      <w:r>
        <w:rPr>
          <w:rFonts w:hint="eastAsia" w:ascii="宋体" w:hAnsi="宋体" w:eastAsia="宋体" w:cs="宋体"/>
          <w:b w:val="0"/>
          <w:bCs/>
          <w:color w:val="auto"/>
          <w:spacing w:val="-10"/>
          <w:sz w:val="24"/>
          <w:szCs w:val="24"/>
          <w:highlight w:val="none"/>
        </w:rPr>
        <w:t>，从业人员</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人，营业收入为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万元，资产总额为</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万元，属于</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u w:val="single"/>
        </w:rPr>
        <w:t>（中型企业、小型企业、微型企业）</w:t>
      </w:r>
      <w:r>
        <w:rPr>
          <w:rFonts w:hint="eastAsia" w:ascii="宋体" w:hAnsi="宋体" w:eastAsia="宋体" w:cs="宋体"/>
          <w:b w:val="0"/>
          <w:bCs/>
          <w:color w:val="auto"/>
          <w:spacing w:val="-10"/>
          <w:sz w:val="24"/>
          <w:szCs w:val="24"/>
          <w:highlight w:val="none"/>
        </w:rPr>
        <w:t>。</w:t>
      </w:r>
    </w:p>
    <w:p>
      <w:pPr>
        <w:pStyle w:val="9"/>
        <w:spacing w:before="34"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以上企业，不属于大企业的分支机构，不存在控股股东为大企业的情形，也不存在与大企业的负责人为同一人的情形。</w:t>
      </w:r>
    </w:p>
    <w:p>
      <w:pPr>
        <w:pStyle w:val="9"/>
        <w:spacing w:before="25" w:line="500" w:lineRule="exact"/>
        <w:ind w:right="142"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本企业对上述声明内容的真实性负责。如有虚假，将依法承担相应责任。</w:t>
      </w:r>
    </w:p>
    <w:p>
      <w:pPr>
        <w:pStyle w:val="9"/>
        <w:spacing w:before="56" w:line="500" w:lineRule="exact"/>
        <w:ind w:left="3960" w:right="1808" w:firstLine="522"/>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企业名称（电子签章）： </w:t>
      </w:r>
    </w:p>
    <w:p>
      <w:pPr>
        <w:pStyle w:val="9"/>
        <w:spacing w:before="56" w:line="500" w:lineRule="exact"/>
        <w:ind w:left="3960" w:right="1808" w:firstLine="522"/>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pacing w:val="-10"/>
          <w:sz w:val="24"/>
          <w:szCs w:val="24"/>
          <w:highlight w:val="none"/>
        </w:rPr>
        <w:t>日 期：</w:t>
      </w:r>
    </w:p>
    <w:p>
      <w:pPr>
        <w:spacing w:line="400" w:lineRule="exac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注：1.从业人员、营业收入、资产总额填报上一年度数据，无上一年度数据的新成立企业可不填报。</w:t>
      </w:r>
    </w:p>
    <w:p>
      <w:pPr>
        <w:pStyle w:val="19"/>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 xml:space="preserve">    2.中小企业在政府采购活动过程中，请根据自己的真实情况出具本声明函。依法享受中小企业优惠政策的，采购人或采购代理机构在公告中标结果时，同时公告其《中小企业声明函》，接受社会监督。</w:t>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②监狱企业的证明文件[供应商为监狱企业的，应当提供由省级以上监狱管理局、戒毒管理局（含新疆生产建设兵团）出具的属于监狱企业的证明文件，接受社会监督]；</w:t>
      </w:r>
    </w:p>
    <w:p>
      <w:pPr>
        <w:pStyle w:val="2"/>
        <w:tabs>
          <w:tab w:val="clear" w:pos="567"/>
        </w:tabs>
        <w:rPr>
          <w:rFonts w:hint="eastAsia"/>
          <w:color w:val="auto"/>
          <w:highlight w:val="none"/>
        </w:rPr>
      </w:pP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③《残疾人福利性单位声明函》【符合条件的残疾人福利性单位在参加政府采购活动时，应当提供《残疾人福利性单位声明函》（格式见附件），并对声明函的真实性负责，成交结果将同时公告企业《残疾人福利性单位声明函》，接受社会监督】。</w:t>
      </w:r>
    </w:p>
    <w:p>
      <w:pPr>
        <w:pStyle w:val="1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残疾人福利性单位声明函（格式）</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单位名称（电子签章）：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ind w:left="420"/>
        <w:jc w:val="center"/>
        <w:rPr>
          <w:rFonts w:hint="eastAsia" w:ascii="宋体" w:hAnsi="宋体" w:cs="宋体"/>
          <w:b/>
          <w:bCs/>
          <w:color w:val="auto"/>
          <w:sz w:val="32"/>
          <w:szCs w:val="32"/>
          <w:highlight w:val="none"/>
        </w:rPr>
      </w:pPr>
    </w:p>
    <w:p>
      <w:pPr>
        <w:ind w:left="420"/>
        <w:jc w:val="center"/>
        <w:rPr>
          <w:rFonts w:hint="eastAsia" w:ascii="宋体" w:hAnsi="宋体" w:cs="宋体"/>
          <w:b/>
          <w:bCs/>
          <w:color w:val="auto"/>
          <w:sz w:val="32"/>
          <w:szCs w:val="32"/>
          <w:highlight w:val="none"/>
        </w:rPr>
      </w:pPr>
    </w:p>
    <w:p>
      <w:pPr>
        <w:ind w:left="420"/>
        <w:jc w:val="center"/>
        <w:rPr>
          <w:rFonts w:hint="eastAsia" w:ascii="宋体" w:hAnsi="宋体" w:cs="宋体"/>
          <w:b/>
          <w:bCs/>
          <w:color w:val="auto"/>
          <w:sz w:val="32"/>
          <w:szCs w:val="32"/>
          <w:highlight w:val="none"/>
        </w:rPr>
      </w:pPr>
    </w:p>
    <w:p>
      <w:pPr>
        <w:pStyle w:val="2"/>
        <w:ind w:left="0" w:firstLine="0"/>
        <w:rPr>
          <w:rFonts w:hint="eastAsia" w:ascii="宋体" w:hAnsi="宋体" w:cs="Times New Roman"/>
          <w:b/>
          <w:bCs w:val="0"/>
          <w:color w:val="auto"/>
          <w:sz w:val="32"/>
          <w:szCs w:val="32"/>
          <w:highlight w:val="none"/>
          <w:lang w:val="en-US"/>
        </w:rPr>
      </w:pPr>
      <w:r>
        <w:rPr>
          <w:rFonts w:hint="eastAsia" w:ascii="宋体" w:hAnsi="宋体" w:cs="Times New Roman"/>
          <w:b/>
          <w:bCs w:val="0"/>
          <w:color w:val="auto"/>
          <w:sz w:val="32"/>
          <w:szCs w:val="32"/>
          <w:highlight w:val="none"/>
          <w:lang w:val="en-US" w:eastAsia="zh-CN"/>
        </w:rPr>
        <w:t>6.供应商须提供有效的保安服务许可证和劳务派遣经营许可证</w:t>
      </w:r>
      <w:r>
        <w:rPr>
          <w:rFonts w:hint="eastAsia" w:ascii="宋体" w:hAnsi="宋体" w:cs="Times New Roman"/>
          <w:b/>
          <w:bCs w:val="0"/>
          <w:color w:val="auto"/>
          <w:sz w:val="32"/>
          <w:szCs w:val="32"/>
          <w:highlight w:val="none"/>
          <w:lang w:val="en-US"/>
        </w:rPr>
        <w:t>（必须提供）</w:t>
      </w:r>
      <w:r>
        <w:rPr>
          <w:rFonts w:hint="eastAsia" w:ascii="宋体" w:hAnsi="宋体" w:cs="Times New Roman"/>
          <w:b/>
          <w:bCs w:val="0"/>
          <w:color w:val="auto"/>
          <w:sz w:val="32"/>
          <w:szCs w:val="32"/>
          <w:highlight w:val="none"/>
          <w:lang w:val="en-US" w:eastAsia="zh-CN"/>
        </w:rPr>
        <w:t>。</w:t>
      </w:r>
    </w:p>
    <w:p>
      <w:pPr>
        <w:ind w:left="420"/>
        <w:jc w:val="center"/>
        <w:rPr>
          <w:rFonts w:hint="eastAsia" w:ascii="宋体" w:hAnsi="宋体" w:cs="宋体"/>
          <w:b/>
          <w:bCs/>
          <w:color w:val="auto"/>
          <w:sz w:val="32"/>
          <w:szCs w:val="32"/>
          <w:highlight w:val="none"/>
        </w:rPr>
      </w:pPr>
    </w:p>
    <w:p>
      <w:pPr>
        <w:ind w:left="42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（二）符合性响应证明材料目录</w:t>
      </w:r>
    </w:p>
    <w:p>
      <w:pPr>
        <w:numPr>
          <w:ilvl w:val="0"/>
          <w:numId w:val="10"/>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响应函</w:t>
      </w:r>
      <w:r>
        <w:rPr>
          <w:rFonts w:hint="eastAsia" w:ascii="宋体" w:hAnsi="宋体" w:cs="宋体"/>
          <w:b/>
          <w:bCs/>
          <w:color w:val="auto"/>
          <w:sz w:val="24"/>
          <w:highlight w:val="none"/>
        </w:rPr>
        <w:t>（格式见附件）（必须提供</w:t>
      </w:r>
      <w:r>
        <w:rPr>
          <w:color w:val="auto"/>
          <w:highlight w:val="none"/>
        </w:rPr>
        <w:t>）</w:t>
      </w:r>
      <w:r>
        <w:rPr>
          <w:rFonts w:hint="eastAsia" w:ascii="宋体" w:hAnsi="宋体" w:cs="宋体"/>
          <w:b/>
          <w:bCs/>
          <w:color w:val="auto"/>
          <w:sz w:val="24"/>
          <w:highlight w:val="none"/>
        </w:rPr>
        <w:t>；</w:t>
      </w:r>
    </w:p>
    <w:p>
      <w:pPr>
        <w:spacing w:line="360" w:lineRule="auto"/>
        <w:rPr>
          <w:rFonts w:ascii="宋体" w:hAnsi="宋体" w:cs="宋体"/>
          <w:color w:val="auto"/>
          <w:sz w:val="24"/>
          <w:highlight w:val="none"/>
        </w:rPr>
      </w:pPr>
    </w:p>
    <w:p>
      <w:pPr>
        <w:numPr>
          <w:ilvl w:val="0"/>
          <w:numId w:val="10"/>
        </w:numPr>
        <w:spacing w:line="360" w:lineRule="auto"/>
        <w:ind w:firstLine="480"/>
        <w:rPr>
          <w:rFonts w:ascii="宋体" w:hAnsi="宋体" w:cs="宋体"/>
          <w:b/>
          <w:bCs/>
          <w:color w:val="auto"/>
          <w:sz w:val="24"/>
          <w:highlight w:val="none"/>
        </w:rPr>
      </w:pPr>
      <w:r>
        <w:rPr>
          <w:rFonts w:hint="eastAsia" w:ascii="宋体" w:hAnsi="宋体" w:cs="宋体"/>
          <w:color w:val="auto"/>
          <w:sz w:val="24"/>
          <w:highlight w:val="none"/>
        </w:rPr>
        <w:t>磋商报价表</w:t>
      </w:r>
      <w:r>
        <w:rPr>
          <w:rFonts w:hint="eastAsia" w:ascii="宋体" w:hAnsi="宋体" w:cs="宋体"/>
          <w:b/>
          <w:bCs/>
          <w:color w:val="auto"/>
          <w:sz w:val="24"/>
          <w:highlight w:val="none"/>
        </w:rPr>
        <w:t>（格式见附件）（必须提供）；</w:t>
      </w:r>
    </w:p>
    <w:p>
      <w:pPr>
        <w:pStyle w:val="9"/>
        <w:rPr>
          <w:rFonts w:ascii="宋体" w:hAnsi="宋体" w:cs="宋体"/>
          <w:color w:val="auto"/>
          <w:highlight w:val="none"/>
        </w:rPr>
      </w:pPr>
    </w:p>
    <w:p>
      <w:pPr>
        <w:numPr>
          <w:ilvl w:val="0"/>
          <w:numId w:val="10"/>
        </w:num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采购需求响应说明表</w:t>
      </w:r>
      <w:r>
        <w:rPr>
          <w:rFonts w:hint="eastAsia" w:ascii="宋体" w:hAnsi="宋体" w:cs="宋体"/>
          <w:b/>
          <w:bCs/>
          <w:color w:val="auto"/>
          <w:sz w:val="24"/>
          <w:highlight w:val="none"/>
        </w:rPr>
        <w:t>（格式见附件）（必须提供）；</w:t>
      </w:r>
    </w:p>
    <w:p>
      <w:pPr>
        <w:pStyle w:val="9"/>
        <w:rPr>
          <w:rFonts w:ascii="宋体" w:hAnsi="宋体" w:cs="宋体"/>
          <w:color w:val="auto"/>
          <w:highlight w:val="none"/>
        </w:rPr>
      </w:pPr>
    </w:p>
    <w:p>
      <w:pPr>
        <w:numPr>
          <w:ilvl w:val="0"/>
          <w:numId w:val="10"/>
        </w:numPr>
        <w:spacing w:line="360" w:lineRule="auto"/>
        <w:ind w:firstLine="480"/>
        <w:rPr>
          <w:rFonts w:ascii="宋体" w:hAnsi="宋体" w:cs="宋体"/>
          <w:b/>
          <w:bCs/>
          <w:color w:val="auto"/>
          <w:sz w:val="24"/>
          <w:highlight w:val="none"/>
        </w:rPr>
      </w:pPr>
      <w:r>
        <w:rPr>
          <w:rFonts w:hint="eastAsia" w:ascii="宋体" w:hAnsi="宋体" w:cs="宋体"/>
          <w:color w:val="auto"/>
          <w:sz w:val="24"/>
          <w:highlight w:val="none"/>
          <w:lang w:eastAsia="zh-CN"/>
        </w:rPr>
        <w:t>服务承诺书</w:t>
      </w:r>
      <w:r>
        <w:rPr>
          <w:rFonts w:hint="eastAsia" w:ascii="宋体" w:hAnsi="宋体" w:cs="宋体"/>
          <w:b/>
          <w:bCs/>
          <w:color w:val="auto"/>
          <w:sz w:val="24"/>
          <w:highlight w:val="none"/>
        </w:rPr>
        <w:t>（格式见附件）（必须提供）。</w:t>
      </w: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9"/>
        <w:rPr>
          <w:rFonts w:ascii="宋体" w:hAnsi="宋体" w:cs="宋体"/>
          <w:color w:val="auto"/>
          <w:highlight w:val="none"/>
        </w:rPr>
      </w:pPr>
    </w:p>
    <w:p>
      <w:pPr>
        <w:pStyle w:val="19"/>
        <w:spacing w:line="340" w:lineRule="exact"/>
        <w:rPr>
          <w:rFonts w:hAnsi="宋体" w:cs="宋体"/>
          <w:b/>
          <w:color w:val="auto"/>
          <w:sz w:val="28"/>
          <w:szCs w:val="28"/>
          <w:highlight w:val="none"/>
        </w:rPr>
      </w:pPr>
    </w:p>
    <w:p>
      <w:pPr>
        <w:pStyle w:val="19"/>
        <w:spacing w:line="340" w:lineRule="exact"/>
        <w:rPr>
          <w:rFonts w:hAnsi="宋体" w:cs="宋体"/>
          <w:b/>
          <w:color w:val="auto"/>
          <w:sz w:val="28"/>
          <w:szCs w:val="28"/>
          <w:highlight w:val="none"/>
        </w:rPr>
      </w:pPr>
    </w:p>
    <w:p>
      <w:pPr>
        <w:rPr>
          <w:rFonts w:ascii="宋体" w:hAnsi="宋体" w:cs="宋体"/>
          <w:b/>
          <w:color w:val="auto"/>
          <w:sz w:val="28"/>
          <w:szCs w:val="28"/>
          <w:highlight w:val="none"/>
        </w:rPr>
      </w:pPr>
    </w:p>
    <w:p>
      <w:pPr>
        <w:pStyle w:val="9"/>
        <w:rPr>
          <w:rFonts w:ascii="宋体" w:hAnsi="宋体" w:cs="宋体"/>
          <w:b/>
          <w:color w:val="auto"/>
          <w:sz w:val="28"/>
          <w:szCs w:val="28"/>
          <w:highlight w:val="none"/>
        </w:rPr>
      </w:pPr>
    </w:p>
    <w:p>
      <w:pPr>
        <w:rPr>
          <w:rFonts w:ascii="宋体" w:hAnsi="宋体" w:cs="宋体"/>
          <w:b/>
          <w:color w:val="auto"/>
          <w:sz w:val="28"/>
          <w:szCs w:val="28"/>
          <w:highlight w:val="none"/>
        </w:rPr>
      </w:pPr>
    </w:p>
    <w:p>
      <w:pPr>
        <w:pStyle w:val="9"/>
        <w:rPr>
          <w:rFonts w:ascii="宋体" w:hAnsi="宋体" w:cs="宋体"/>
          <w:b/>
          <w:color w:val="auto"/>
          <w:sz w:val="28"/>
          <w:szCs w:val="28"/>
          <w:highlight w:val="none"/>
        </w:rPr>
      </w:pPr>
    </w:p>
    <w:p>
      <w:pPr>
        <w:rPr>
          <w:rFonts w:ascii="宋体" w:hAnsi="宋体" w:cs="宋体"/>
          <w:b/>
          <w:color w:val="auto"/>
          <w:sz w:val="28"/>
          <w:szCs w:val="28"/>
          <w:highlight w:val="none"/>
        </w:rPr>
      </w:pPr>
    </w:p>
    <w:p>
      <w:pPr>
        <w:pStyle w:val="9"/>
        <w:rPr>
          <w:rFonts w:ascii="宋体" w:hAnsi="宋体" w:cs="宋体"/>
          <w:b/>
          <w:color w:val="auto"/>
          <w:sz w:val="28"/>
          <w:szCs w:val="28"/>
          <w:highlight w:val="none"/>
        </w:rPr>
      </w:pPr>
    </w:p>
    <w:p>
      <w:pPr>
        <w:rPr>
          <w:rFonts w:ascii="宋体" w:hAnsi="宋体" w:cs="宋体"/>
          <w:b/>
          <w:color w:val="auto"/>
          <w:sz w:val="28"/>
          <w:szCs w:val="28"/>
          <w:highlight w:val="none"/>
        </w:rPr>
      </w:pPr>
    </w:p>
    <w:p>
      <w:pPr>
        <w:pStyle w:val="9"/>
        <w:rPr>
          <w:rFonts w:ascii="宋体" w:hAnsi="宋体" w:cs="宋体"/>
          <w:b/>
          <w:color w:val="auto"/>
          <w:sz w:val="28"/>
          <w:szCs w:val="28"/>
          <w:highlight w:val="none"/>
        </w:rPr>
      </w:pPr>
    </w:p>
    <w:p>
      <w:pPr>
        <w:rPr>
          <w:rFonts w:ascii="宋体" w:hAnsi="宋体" w:cs="宋体"/>
          <w:b/>
          <w:color w:val="auto"/>
          <w:sz w:val="28"/>
          <w:szCs w:val="28"/>
          <w:highlight w:val="none"/>
        </w:rPr>
      </w:pPr>
    </w:p>
    <w:p>
      <w:pPr>
        <w:pStyle w:val="2"/>
        <w:rPr>
          <w:color w:val="auto"/>
          <w:highlight w:val="none"/>
          <w:lang w:val="en-US"/>
        </w:rPr>
      </w:pPr>
    </w:p>
    <w:p>
      <w:pPr>
        <w:pStyle w:val="9"/>
        <w:rPr>
          <w:color w:val="auto"/>
          <w:highlight w:val="none"/>
        </w:rPr>
      </w:pPr>
    </w:p>
    <w:p>
      <w:pPr>
        <w:spacing w:line="400" w:lineRule="exact"/>
        <w:rPr>
          <w:rFonts w:ascii="宋体" w:hAnsi="宋体" w:cs="宋体"/>
          <w:b/>
          <w:bCs/>
          <w:color w:val="auto"/>
          <w:sz w:val="28"/>
          <w:szCs w:val="28"/>
          <w:highlight w:val="none"/>
        </w:rPr>
      </w:pPr>
      <w:bookmarkStart w:id="217" w:name="_Toc12920"/>
      <w:bookmarkStart w:id="218" w:name="_Toc497927072"/>
      <w:bookmarkStart w:id="219" w:name="_Toc17617"/>
      <w:r>
        <w:rPr>
          <w:rFonts w:hint="eastAsia" w:ascii="宋体" w:hAnsi="宋体" w:cs="宋体"/>
          <w:b/>
          <w:bCs/>
          <w:color w:val="auto"/>
          <w:sz w:val="28"/>
          <w:szCs w:val="28"/>
          <w:highlight w:val="none"/>
        </w:rPr>
        <w:t>1.响应函（格式见附件）（必须提供）</w:t>
      </w:r>
      <w:bookmarkEnd w:id="217"/>
      <w:bookmarkEnd w:id="218"/>
      <w:bookmarkEnd w:id="219"/>
    </w:p>
    <w:p>
      <w:pPr>
        <w:pStyle w:val="46"/>
        <w:rPr>
          <w:rFonts w:ascii="宋体" w:hAnsi="宋体" w:cs="宋体"/>
          <w:color w:val="auto"/>
          <w:highlight w:val="none"/>
        </w:rPr>
      </w:pPr>
    </w:p>
    <w:p>
      <w:pPr>
        <w:pStyle w:val="19"/>
        <w:rPr>
          <w:rFonts w:hAnsi="宋体" w:cs="宋体"/>
          <w:b/>
          <w:color w:val="auto"/>
          <w:sz w:val="32"/>
          <w:highlight w:val="none"/>
        </w:rPr>
      </w:pPr>
      <w:r>
        <w:rPr>
          <w:rFonts w:hint="eastAsia" w:hAnsi="宋体" w:cs="宋体"/>
          <w:b/>
          <w:color w:val="auto"/>
          <w:sz w:val="32"/>
          <w:highlight w:val="none"/>
        </w:rPr>
        <w:t>附件：</w:t>
      </w:r>
    </w:p>
    <w:p>
      <w:pPr>
        <w:pStyle w:val="19"/>
        <w:ind w:firstLine="800" w:firstLineChars="250"/>
        <w:jc w:val="center"/>
        <w:rPr>
          <w:rFonts w:hAnsi="宋体" w:cs="宋体"/>
          <w:b/>
          <w:color w:val="auto"/>
          <w:sz w:val="32"/>
          <w:highlight w:val="none"/>
        </w:rPr>
      </w:pPr>
      <w:bookmarkStart w:id="220" w:name="_Toc7273_WPSOffice_Level1"/>
      <w:bookmarkStart w:id="221" w:name="_Toc17832_WPSOffice_Level1"/>
      <w:r>
        <w:rPr>
          <w:rFonts w:hint="eastAsia" w:hAnsi="宋体" w:cs="宋体"/>
          <w:b/>
          <w:color w:val="auto"/>
          <w:sz w:val="32"/>
          <w:highlight w:val="none"/>
        </w:rPr>
        <w:t>响 应 函 （格 式）</w:t>
      </w:r>
      <w:bookmarkEnd w:id="220"/>
      <w:bookmarkEnd w:id="221"/>
    </w:p>
    <w:p>
      <w:pPr>
        <w:spacing w:line="240" w:lineRule="exact"/>
        <w:jc w:val="center"/>
        <w:rPr>
          <w:rFonts w:ascii="宋体" w:hAnsi="宋体" w:cs="宋体"/>
          <w:color w:val="auto"/>
          <w:sz w:val="32"/>
          <w:highlight w:val="none"/>
        </w:rPr>
      </w:pPr>
    </w:p>
    <w:p>
      <w:pPr>
        <w:spacing w:line="400" w:lineRule="exact"/>
        <w:rPr>
          <w:rFonts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：广西天罡工程项目管理有限公司</w:t>
      </w:r>
    </w:p>
    <w:p>
      <w:pPr>
        <w:spacing w:line="400" w:lineRule="exact"/>
        <w:rPr>
          <w:rFonts w:ascii="宋体" w:hAnsi="宋体" w:cs="宋体"/>
          <w:color w:val="auto"/>
          <w:szCs w:val="21"/>
          <w:highlight w:val="none"/>
        </w:rPr>
      </w:pPr>
    </w:p>
    <w:p>
      <w:pPr>
        <w:pStyle w:val="19"/>
        <w:spacing w:line="360" w:lineRule="exact"/>
        <w:ind w:firstLine="420"/>
        <w:rPr>
          <w:rFonts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pPr>
        <w:pStyle w:val="19"/>
        <w:spacing w:line="360" w:lineRule="exact"/>
        <w:ind w:firstLine="420"/>
        <w:rPr>
          <w:rFonts w:hAnsi="宋体" w:cs="宋体"/>
          <w:color w:val="auto"/>
          <w:highlight w:val="none"/>
        </w:rPr>
      </w:pPr>
      <w:r>
        <w:rPr>
          <w:rFonts w:hint="eastAsia" w:hAnsi="宋体" w:cs="宋体"/>
          <w:color w:val="auto"/>
          <w:highlight w:val="none"/>
        </w:rPr>
        <w:t>据此函，签字代表宣布同意如下：</w:t>
      </w:r>
    </w:p>
    <w:p>
      <w:pPr>
        <w:pStyle w:val="19"/>
        <w:spacing w:line="360" w:lineRule="exact"/>
        <w:ind w:firstLine="420"/>
        <w:rPr>
          <w:rFonts w:hAnsi="宋体" w:cs="宋体"/>
          <w:color w:val="auto"/>
          <w:highlight w:val="none"/>
        </w:rPr>
      </w:pPr>
      <w:r>
        <w:rPr>
          <w:rFonts w:hint="eastAsia" w:hAnsi="宋体" w:cs="宋体"/>
          <w:color w:val="auto"/>
          <w:highlight w:val="none"/>
        </w:rPr>
        <w:t>1. 按磋商文件采购需求和磋商报价表：</w:t>
      </w:r>
    </w:p>
    <w:p>
      <w:pPr>
        <w:pStyle w:val="19"/>
        <w:spacing w:line="360" w:lineRule="exact"/>
        <w:ind w:firstLine="420"/>
        <w:rPr>
          <w:rFonts w:hAnsi="宋体" w:cs="宋体"/>
          <w:color w:val="auto"/>
          <w:highlight w:val="none"/>
        </w:rPr>
      </w:pPr>
      <w:r>
        <w:rPr>
          <w:rFonts w:hint="eastAsia" w:hAnsi="宋体" w:cs="宋体"/>
          <w:color w:val="auto"/>
          <w:highlight w:val="none"/>
        </w:rPr>
        <w:t>磋商总报价：大写</w:t>
      </w:r>
      <w:r>
        <w:rPr>
          <w:rFonts w:hint="eastAsia" w:hAnsi="宋体" w:cs="宋体"/>
          <w:color w:val="auto"/>
          <w:highlight w:val="none"/>
          <w:u w:val="single"/>
        </w:rPr>
        <w:t xml:space="preserve">               </w:t>
      </w:r>
      <w:r>
        <w:rPr>
          <w:rFonts w:hint="eastAsia" w:hAnsi="宋体" w:cs="宋体"/>
          <w:color w:val="auto"/>
          <w:highlight w:val="none"/>
        </w:rPr>
        <w:t xml:space="preserve"> （</w:t>
      </w:r>
      <w:r>
        <w:rPr>
          <w:rFonts w:hint="eastAsia" w:hAnsi="宋体" w:cs="宋体"/>
          <w:color w:val="auto"/>
          <w:szCs w:val="21"/>
          <w:highlight w:val="none"/>
        </w:rPr>
        <w:t>小写</w:t>
      </w:r>
      <w:r>
        <w:rPr>
          <w:rFonts w:hint="eastAsia" w:hAnsi="宋体" w:cs="宋体"/>
          <w:color w:val="auto"/>
          <w:highlight w:val="none"/>
          <w:u w:val="single"/>
        </w:rPr>
        <w:t xml:space="preserve">         </w:t>
      </w:r>
      <w:r>
        <w:rPr>
          <w:rFonts w:hint="eastAsia" w:hAnsi="宋体" w:cs="宋体"/>
          <w:color w:val="auto"/>
          <w:highlight w:val="none"/>
        </w:rPr>
        <w:t>）。</w:t>
      </w:r>
    </w:p>
    <w:p>
      <w:pPr>
        <w:pStyle w:val="19"/>
        <w:spacing w:line="360" w:lineRule="exact"/>
        <w:ind w:firstLine="420"/>
        <w:rPr>
          <w:rFonts w:hAnsi="宋体" w:cs="宋体"/>
          <w:color w:val="auto"/>
          <w:highlight w:val="none"/>
        </w:rPr>
      </w:pPr>
      <w:r>
        <w:rPr>
          <w:rFonts w:hint="eastAsia" w:hAnsi="宋体" w:cs="宋体"/>
          <w:color w:val="auto"/>
          <w:highlight w:val="none"/>
        </w:rPr>
        <w:t>2.我方承诺已具备磋商文件规定的供应商资格条件。</w:t>
      </w:r>
    </w:p>
    <w:p>
      <w:pPr>
        <w:pStyle w:val="19"/>
        <w:spacing w:line="360" w:lineRule="exact"/>
        <w:ind w:firstLine="420"/>
        <w:rPr>
          <w:rFonts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pPr>
        <w:pStyle w:val="19"/>
        <w:spacing w:line="360" w:lineRule="exact"/>
        <w:ind w:firstLine="420"/>
        <w:rPr>
          <w:rFonts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pPr>
        <w:pStyle w:val="19"/>
        <w:spacing w:line="360" w:lineRule="exact"/>
        <w:ind w:firstLine="420"/>
        <w:rPr>
          <w:rFonts w:hAnsi="宋体" w:cs="宋体"/>
          <w:color w:val="auto"/>
          <w:highlight w:val="none"/>
        </w:rPr>
      </w:pPr>
      <w:r>
        <w:rPr>
          <w:rFonts w:hint="eastAsia" w:hAnsi="宋体" w:cs="宋体"/>
          <w:color w:val="auto"/>
          <w:highlight w:val="none"/>
        </w:rPr>
        <w:t>5. 如我方成交：</w:t>
      </w:r>
    </w:p>
    <w:p>
      <w:pPr>
        <w:pStyle w:val="19"/>
        <w:spacing w:line="360" w:lineRule="exact"/>
        <w:ind w:firstLine="420"/>
        <w:rPr>
          <w:rFonts w:hAnsi="宋体" w:cs="宋体"/>
          <w:color w:val="auto"/>
          <w:highlight w:val="none"/>
        </w:rPr>
      </w:pPr>
      <w:r>
        <w:rPr>
          <w:rFonts w:hint="eastAsia" w:hAnsi="宋体" w:cs="宋体"/>
          <w:color w:val="auto"/>
          <w:highlight w:val="none"/>
        </w:rPr>
        <w:t>（1）我方承诺在收到成交通知书后，在成交通知书规定的期限内与采购人签订合同。</w:t>
      </w:r>
    </w:p>
    <w:p>
      <w:pPr>
        <w:pStyle w:val="19"/>
        <w:spacing w:line="360" w:lineRule="exact"/>
        <w:ind w:firstLine="420"/>
        <w:rPr>
          <w:rFonts w:hAnsi="宋体" w:cs="宋体"/>
          <w:color w:val="auto"/>
          <w:szCs w:val="21"/>
          <w:highlight w:val="none"/>
        </w:rPr>
      </w:pPr>
      <w:r>
        <w:rPr>
          <w:rFonts w:hint="eastAsia" w:hAnsi="宋体" w:cs="宋体"/>
          <w:color w:val="auto"/>
          <w:szCs w:val="21"/>
          <w:highlight w:val="none"/>
        </w:rPr>
        <w:t>（2）我方承诺按照磋商文件规定递交履约担保。</w:t>
      </w:r>
    </w:p>
    <w:p>
      <w:pPr>
        <w:pStyle w:val="19"/>
        <w:spacing w:line="360" w:lineRule="exact"/>
        <w:ind w:firstLine="420"/>
        <w:rPr>
          <w:rFonts w:hAnsi="宋体" w:cs="宋体"/>
          <w:color w:val="auto"/>
          <w:szCs w:val="21"/>
          <w:highlight w:val="none"/>
        </w:rPr>
      </w:pPr>
      <w:r>
        <w:rPr>
          <w:rFonts w:hint="eastAsia" w:hAnsi="宋体" w:cs="宋体"/>
          <w:color w:val="auto"/>
          <w:szCs w:val="21"/>
          <w:highlight w:val="none"/>
        </w:rPr>
        <w:t>（3）我方承诺本响应文件至本项目合同履行完毕止均保持有效，按磋商文件及政府采购法律、法规的规定履行合同责任和义务。</w:t>
      </w:r>
    </w:p>
    <w:p>
      <w:pPr>
        <w:pStyle w:val="19"/>
        <w:spacing w:line="360" w:lineRule="exact"/>
        <w:ind w:firstLine="420"/>
        <w:rPr>
          <w:rFonts w:hAnsi="宋体" w:cs="宋体"/>
          <w:color w:val="auto"/>
          <w:szCs w:val="21"/>
          <w:highlight w:val="none"/>
        </w:rPr>
      </w:pPr>
      <w:r>
        <w:rPr>
          <w:rFonts w:hint="eastAsia" w:hAnsi="宋体" w:cs="宋体"/>
          <w:color w:val="auto"/>
          <w:szCs w:val="21"/>
          <w:highlight w:val="none"/>
        </w:rPr>
        <w:t>与本项目有关的正式通讯地址为：</w:t>
      </w:r>
    </w:p>
    <w:p>
      <w:pPr>
        <w:rPr>
          <w:rFonts w:ascii="宋体" w:hAnsi="宋体" w:cs="宋体"/>
          <w:color w:val="auto"/>
          <w:szCs w:val="21"/>
          <w:highlight w:val="none"/>
        </w:rPr>
      </w:pPr>
    </w:p>
    <w:p>
      <w:pPr>
        <w:pStyle w:val="19"/>
        <w:spacing w:line="320" w:lineRule="exact"/>
        <w:ind w:firstLine="420"/>
        <w:rPr>
          <w:rFonts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pPr>
        <w:pStyle w:val="19"/>
        <w:spacing w:line="320" w:lineRule="exact"/>
        <w:ind w:firstLine="420"/>
        <w:rPr>
          <w:rFonts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pPr>
        <w:pStyle w:val="19"/>
        <w:spacing w:line="320" w:lineRule="exact"/>
        <w:ind w:firstLine="420"/>
        <w:rPr>
          <w:rFonts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pPr>
        <w:pStyle w:val="19"/>
        <w:spacing w:line="320" w:lineRule="exact"/>
        <w:ind w:firstLine="420"/>
        <w:rPr>
          <w:rFonts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pPr>
        <w:pStyle w:val="19"/>
        <w:spacing w:line="320" w:lineRule="exact"/>
        <w:ind w:firstLine="420"/>
        <w:rPr>
          <w:rFonts w:hAnsi="宋体" w:cs="宋体"/>
          <w:bCs/>
          <w:color w:val="auto"/>
          <w:szCs w:val="21"/>
          <w:highlight w:val="none"/>
          <w:u w:val="single"/>
        </w:rPr>
      </w:pPr>
      <w:r>
        <w:rPr>
          <w:rFonts w:hint="eastAsia" w:hAnsi="宋体" w:cs="宋体"/>
          <w:bCs/>
          <w:color w:val="auto"/>
          <w:szCs w:val="21"/>
          <w:highlight w:val="none"/>
        </w:rPr>
        <w:t>供应商[(CA证书签章)、自然人除外]：</w:t>
      </w:r>
      <w:r>
        <w:rPr>
          <w:rFonts w:hint="eastAsia" w:hAnsi="宋体" w:cs="宋体"/>
          <w:bCs/>
          <w:color w:val="auto"/>
          <w:szCs w:val="21"/>
          <w:highlight w:val="none"/>
          <w:u w:val="single"/>
        </w:rPr>
        <w:t xml:space="preserve">                              </w:t>
      </w:r>
    </w:p>
    <w:p>
      <w:pPr>
        <w:pStyle w:val="19"/>
        <w:spacing w:line="320" w:lineRule="exact"/>
        <w:ind w:firstLine="420"/>
        <w:rPr>
          <w:rFonts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法定代表人、负责人、自然人或相应的委托代理人签字[或盖章(CA证书签章)]（属自然人的应在签名处加盖大拇指指印或个人CA证书签章）：</w:t>
      </w:r>
      <w:r>
        <w:rPr>
          <w:rFonts w:hint="eastAsia" w:hAnsi="宋体" w:cs="宋体"/>
          <w:color w:val="auto"/>
          <w:szCs w:val="21"/>
          <w:highlight w:val="none"/>
          <w:u w:val="single"/>
        </w:rPr>
        <w:t xml:space="preserve">              </w:t>
      </w:r>
    </w:p>
    <w:p>
      <w:pPr>
        <w:pStyle w:val="19"/>
        <w:spacing w:line="320" w:lineRule="exact"/>
        <w:ind w:firstLine="420"/>
        <w:rPr>
          <w:rFonts w:hAnsi="宋体" w:cs="宋体"/>
          <w:color w:val="auto"/>
          <w:szCs w:val="21"/>
          <w:highlight w:val="none"/>
        </w:rPr>
        <w:sectPr>
          <w:pgSz w:w="11906" w:h="16838"/>
          <w:pgMar w:top="1440" w:right="935" w:bottom="1440" w:left="777" w:header="851" w:footer="992" w:gutter="0"/>
          <w:pgNumType w:fmt="decimal" w:chapStyle="1" w:chapSep="hyphen"/>
          <w:cols w:space="720" w:num="1"/>
          <w:docGrid w:type="linesAndChars" w:linePitch="312" w:charSpace="0"/>
        </w:sectPr>
      </w:pPr>
      <w:r>
        <w:rPr>
          <w:rFonts w:hint="eastAsia" w:hAnsi="宋体" w:cs="宋体"/>
          <w:bCs/>
          <w:color w:val="auto"/>
          <w:szCs w:val="21"/>
          <w:highlight w:val="none"/>
        </w:rPr>
        <w:t>响应</w:t>
      </w:r>
      <w:r>
        <w:rPr>
          <w:rFonts w:hint="eastAsia" w:hAnsi="宋体" w:cs="宋体"/>
          <w:color w:val="auto"/>
          <w:szCs w:val="21"/>
          <w:highlight w:val="none"/>
        </w:rPr>
        <w:t>日期：</w:t>
      </w:r>
    </w:p>
    <w:p>
      <w:pPr>
        <w:pStyle w:val="19"/>
        <w:spacing w:line="340" w:lineRule="exact"/>
        <w:rPr>
          <w:rFonts w:hAnsi="宋体" w:cs="宋体"/>
          <w:color w:val="auto"/>
          <w:highlight w:val="none"/>
        </w:rPr>
      </w:pPr>
      <w:r>
        <w:rPr>
          <w:rFonts w:hint="eastAsia" w:hAnsi="宋体" w:cs="宋体"/>
          <w:b/>
          <w:color w:val="auto"/>
          <w:sz w:val="28"/>
          <w:szCs w:val="28"/>
          <w:highlight w:val="none"/>
        </w:rPr>
        <w:t>2. 磋商报价表（必须提供）；</w:t>
      </w:r>
    </w:p>
    <w:p>
      <w:pPr>
        <w:pStyle w:val="19"/>
        <w:spacing w:line="320" w:lineRule="exact"/>
        <w:jc w:val="left"/>
        <w:rPr>
          <w:rFonts w:hAnsi="宋体" w:cs="宋体"/>
          <w:b/>
          <w:color w:val="auto"/>
          <w:sz w:val="28"/>
          <w:szCs w:val="28"/>
          <w:highlight w:val="none"/>
        </w:rPr>
      </w:pPr>
    </w:p>
    <w:p>
      <w:pPr>
        <w:pStyle w:val="14"/>
        <w:ind w:left="0"/>
        <w:rPr>
          <w:rFonts w:ascii="宋体" w:hAnsi="宋体" w:cs="宋体"/>
          <w:color w:val="auto"/>
          <w:highlight w:val="none"/>
        </w:rPr>
      </w:pPr>
      <w:r>
        <w:rPr>
          <w:rFonts w:hint="eastAsia" w:ascii="宋体" w:hAnsi="宋体" w:cs="宋体"/>
          <w:b/>
          <w:bCs/>
          <w:color w:val="auto"/>
          <w:sz w:val="30"/>
          <w:szCs w:val="30"/>
          <w:highlight w:val="none"/>
        </w:rPr>
        <w:t>附件：</w:t>
      </w:r>
    </w:p>
    <w:p>
      <w:pPr>
        <w:pStyle w:val="19"/>
        <w:spacing w:line="480" w:lineRule="exact"/>
        <w:ind w:left="420"/>
        <w:jc w:val="center"/>
        <w:rPr>
          <w:rFonts w:hAnsi="宋体" w:cs="宋体"/>
          <w:b/>
          <w:color w:val="auto"/>
          <w:sz w:val="28"/>
          <w:szCs w:val="28"/>
          <w:highlight w:val="none"/>
        </w:rPr>
      </w:pPr>
      <w:r>
        <w:rPr>
          <w:rFonts w:hint="eastAsia" w:hAnsi="宋体" w:cs="宋体"/>
          <w:b/>
          <w:color w:val="auto"/>
          <w:sz w:val="28"/>
          <w:szCs w:val="28"/>
          <w:highlight w:val="none"/>
        </w:rPr>
        <w:t>磋商报价表（格式）</w:t>
      </w:r>
    </w:p>
    <w:tbl>
      <w:tblPr>
        <w:tblStyle w:val="43"/>
        <w:tblW w:w="96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9"/>
        <w:gridCol w:w="2958"/>
        <w:gridCol w:w="1197"/>
        <w:gridCol w:w="1295"/>
        <w:gridCol w:w="1847"/>
        <w:gridCol w:w="17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1" w:hRule="atLeast"/>
        </w:trPr>
        <w:tc>
          <w:tcPr>
            <w:tcW w:w="669"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29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采购项目名称</w:t>
            </w: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szCs w:val="21"/>
                <w:highlight w:val="none"/>
              </w:rPr>
              <w:t>磋商报价（元）</w:t>
            </w:r>
          </w:p>
        </w:tc>
        <w:tc>
          <w:tcPr>
            <w:tcW w:w="1706" w:type="dxa"/>
            <w:tcBorders>
              <w:top w:val="single" w:color="auto" w:sz="4" w:space="0"/>
              <w:bottom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86" w:hRule="exact"/>
        </w:trPr>
        <w:tc>
          <w:tcPr>
            <w:tcW w:w="669"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9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桂林市第二技工学校安保服务项目</w:t>
            </w:r>
          </w:p>
        </w:tc>
        <w:tc>
          <w:tcPr>
            <w:tcW w:w="119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w:t>
            </w:r>
          </w:p>
        </w:tc>
        <w:tc>
          <w:tcPr>
            <w:tcW w:w="18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highlight w:val="none"/>
              </w:rPr>
            </w:pPr>
          </w:p>
        </w:tc>
        <w:tc>
          <w:tcPr>
            <w:tcW w:w="1706" w:type="dxa"/>
            <w:tcBorders>
              <w:top w:val="single" w:color="auto" w:sz="4" w:space="0"/>
              <w:bottom w:val="single" w:color="auto" w:sz="4" w:space="0"/>
            </w:tcBorders>
            <w:vAlign w:val="center"/>
          </w:tcPr>
          <w:p>
            <w:pPr>
              <w:keepNext w:val="0"/>
              <w:keepLines w:val="0"/>
              <w:suppressLineNumbers w:val="0"/>
              <w:spacing w:before="0" w:beforeAutospacing="0" w:after="0" w:afterAutospacing="0" w:line="300" w:lineRule="exact"/>
              <w:ind w:left="0" w:right="0"/>
              <w:jc w:val="center"/>
              <w:rPr>
                <w:rFonts w:hint="eastAsia"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1" w:hRule="atLeast"/>
        </w:trPr>
        <w:tc>
          <w:tcPr>
            <w:tcW w:w="9672" w:type="dxa"/>
            <w:gridSpan w:val="6"/>
            <w:tcBorders>
              <w:top w:val="single" w:color="auto" w:sz="4" w:space="0"/>
              <w:bottom w:val="single" w:color="auto" w:sz="4" w:space="0"/>
            </w:tcBorders>
            <w:vAlign w:val="center"/>
          </w:tcPr>
          <w:p>
            <w:pPr>
              <w:keepNext w:val="0"/>
              <w:keepLines w:val="0"/>
              <w:suppressLineNumbers w:val="0"/>
              <w:spacing w:before="0" w:beforeAutospacing="0" w:after="0" w:afterAutospacing="0" w:line="3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pacing w:val="-6"/>
                <w:szCs w:val="21"/>
                <w:highlight w:val="none"/>
              </w:rPr>
              <w:t>磋商</w:t>
            </w:r>
            <w:r>
              <w:rPr>
                <w:rFonts w:hint="eastAsia" w:ascii="宋体" w:hAnsi="宋体" w:cs="宋体"/>
                <w:color w:val="auto"/>
                <w:szCs w:val="21"/>
                <w:highlight w:val="none"/>
              </w:rPr>
              <w:t>报价指本次招标采购范围内服务价款、保险、税金及其他所有成本费用的总和；供应商综合考虑在报价中。</w:t>
            </w:r>
          </w:p>
        </w:tc>
      </w:tr>
    </w:tbl>
    <w:p>
      <w:pPr>
        <w:spacing w:line="340" w:lineRule="exact"/>
        <w:rPr>
          <w:rFonts w:ascii="宋体" w:hAnsi="宋体" w:cs="宋体"/>
          <w:color w:val="auto"/>
          <w:szCs w:val="21"/>
          <w:highlight w:val="none"/>
        </w:rPr>
      </w:pPr>
    </w:p>
    <w:p>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供应商（CA证书签章，自然人除外）：</w:t>
      </w:r>
      <w:r>
        <w:rPr>
          <w:rFonts w:hint="eastAsia" w:ascii="宋体" w:hAnsi="宋体" w:cs="宋体"/>
          <w:color w:val="auto"/>
          <w:szCs w:val="21"/>
          <w:highlight w:val="none"/>
          <w:u w:val="single"/>
        </w:rPr>
        <w:t xml:space="preserve">                                        </w:t>
      </w:r>
    </w:p>
    <w:p>
      <w:pPr>
        <w:spacing w:line="340" w:lineRule="exact"/>
        <w:rPr>
          <w:rFonts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法定代表人、负责人、自然人或相应的委托代理人签字或个人CA证书签章（属自然人的应在签名处加盖食指指印或个人CA证书签章）：</w:t>
      </w:r>
      <w:r>
        <w:rPr>
          <w:rFonts w:hint="eastAsia" w:ascii="宋体" w:hAnsi="宋体" w:cs="宋体"/>
          <w:color w:val="auto"/>
          <w:szCs w:val="21"/>
          <w:highlight w:val="none"/>
          <w:u w:val="single"/>
        </w:rPr>
        <w:t xml:space="preserve">                                    </w:t>
      </w:r>
    </w:p>
    <w:p>
      <w:pPr>
        <w:tabs>
          <w:tab w:val="left" w:pos="1305"/>
        </w:tabs>
        <w:spacing w:line="340" w:lineRule="exact"/>
        <w:rPr>
          <w:rFonts w:ascii="宋体" w:hAnsi="宋体" w:cs="宋体"/>
          <w:bCs/>
          <w:color w:val="auto"/>
          <w:szCs w:val="21"/>
          <w:highlight w:val="none"/>
        </w:rPr>
      </w:pPr>
    </w:p>
    <w:p>
      <w:pPr>
        <w:tabs>
          <w:tab w:val="left" w:pos="1305"/>
        </w:tabs>
        <w:spacing w:line="340" w:lineRule="exact"/>
        <w:rPr>
          <w:rFonts w:ascii="宋体" w:hAnsi="宋体" w:cs="宋体"/>
          <w:bCs/>
          <w:color w:val="auto"/>
          <w:szCs w:val="21"/>
          <w:highlight w:val="none"/>
        </w:rPr>
      </w:pPr>
      <w:r>
        <w:rPr>
          <w:rFonts w:hint="eastAsia" w:ascii="宋体" w:hAnsi="宋体" w:cs="宋体"/>
          <w:bCs/>
          <w:color w:val="auto"/>
          <w:szCs w:val="21"/>
          <w:highlight w:val="none"/>
        </w:rPr>
        <w:t>注</w:t>
      </w:r>
      <w:r>
        <w:rPr>
          <w:rFonts w:hint="eastAsia" w:ascii="宋体" w:hAnsi="宋体" w:cs="宋体"/>
          <w:b/>
          <w:bCs/>
          <w:color w:val="auto"/>
          <w:szCs w:val="21"/>
          <w:highlight w:val="none"/>
        </w:rPr>
        <w:t>：</w:t>
      </w:r>
      <w:r>
        <w:rPr>
          <w:rFonts w:hint="eastAsia" w:ascii="宋体" w:hAnsi="宋体" w:cs="宋体"/>
          <w:bCs/>
          <w:color w:val="auto"/>
          <w:szCs w:val="21"/>
          <w:highlight w:val="none"/>
        </w:rPr>
        <w:t>1.各</w:t>
      </w:r>
      <w:r>
        <w:rPr>
          <w:rFonts w:hint="eastAsia" w:ascii="宋体" w:hAnsi="宋体" w:cs="宋体"/>
          <w:color w:val="auto"/>
          <w:szCs w:val="21"/>
          <w:highlight w:val="none"/>
        </w:rPr>
        <w:t>供应商必须作完整唯一报价，否则，其投标将被拒绝。响应文件只允许有一个报价。</w:t>
      </w:r>
    </w:p>
    <w:p>
      <w:pPr>
        <w:pStyle w:val="19"/>
        <w:spacing w:line="360" w:lineRule="exact"/>
        <w:ind w:firstLine="420" w:firstLineChars="200"/>
        <w:rPr>
          <w:rFonts w:hAnsi="宋体" w:cs="宋体"/>
          <w:color w:val="auto"/>
          <w:szCs w:val="21"/>
          <w:highlight w:val="none"/>
        </w:rPr>
      </w:pPr>
      <w:r>
        <w:rPr>
          <w:rFonts w:hint="eastAsia" w:hAnsi="宋体" w:cs="宋体"/>
          <w:color w:val="auto"/>
          <w:szCs w:val="21"/>
          <w:highlight w:val="none"/>
        </w:rPr>
        <w:t>2.供应商应根据所投项目如实填写磋商报价表</w:t>
      </w:r>
      <w:r>
        <w:rPr>
          <w:rFonts w:hint="eastAsia" w:hAnsi="宋体" w:cs="宋体"/>
          <w:bCs/>
          <w:color w:val="auto"/>
          <w:szCs w:val="21"/>
          <w:highlight w:val="none"/>
        </w:rPr>
        <w:t>的各项内容。</w:t>
      </w:r>
    </w:p>
    <w:p>
      <w:pPr>
        <w:ind w:firstLine="420" w:firstLineChars="200"/>
        <w:rPr>
          <w:rFonts w:ascii="宋体" w:hAnsi="宋体" w:cs="宋体"/>
          <w:b/>
          <w:bCs/>
          <w:color w:val="auto"/>
          <w:sz w:val="32"/>
          <w:szCs w:val="32"/>
          <w:highlight w:val="none"/>
        </w:rPr>
      </w:pPr>
      <w:r>
        <w:rPr>
          <w:rFonts w:hint="eastAsia" w:ascii="宋体" w:hAnsi="宋体" w:cs="宋体"/>
          <w:color w:val="auto"/>
          <w:szCs w:val="21"/>
          <w:highlight w:val="none"/>
        </w:rPr>
        <w:t>3.</w:t>
      </w:r>
      <w:r>
        <w:rPr>
          <w:rFonts w:hint="eastAsia" w:ascii="宋体" w:hAnsi="宋体" w:cs="宋体"/>
          <w:color w:val="auto"/>
          <w:highlight w:val="none"/>
        </w:rPr>
        <w:t>磋商报价表须由法定代表人负责人、自然人或相应的委托代理人签字或个人CA证书签章（属自然人的应在签名处加盖食指指印或个人CA证书签章）并加盖供应商CA证书签章（自然人除外）。</w:t>
      </w:r>
      <w:r>
        <w:rPr>
          <w:rFonts w:hint="eastAsia" w:ascii="宋体" w:hAnsi="宋体" w:cs="宋体"/>
          <w:b/>
          <w:color w:val="auto"/>
          <w:highlight w:val="none"/>
        </w:rPr>
        <w:t>当本表由多页构成时，需逐页加盖供应商CA证书签章（属自然人的须逐页签字或个人CA证书签章）</w:t>
      </w:r>
    </w:p>
    <w:p>
      <w:pPr>
        <w:rPr>
          <w:rFonts w:ascii="宋体" w:hAnsi="宋体" w:cs="宋体"/>
          <w:b/>
          <w:bCs/>
          <w:color w:val="auto"/>
          <w:sz w:val="32"/>
          <w:szCs w:val="32"/>
          <w:highlight w:val="none"/>
        </w:rPr>
      </w:pPr>
    </w:p>
    <w:p>
      <w:pPr>
        <w:pStyle w:val="15"/>
        <w:rPr>
          <w:rFonts w:ascii="宋体" w:hAnsi="宋体" w:cs="宋体"/>
          <w:color w:val="auto"/>
          <w:highlight w:val="none"/>
        </w:rPr>
        <w:sectPr>
          <w:pgSz w:w="11906" w:h="16838"/>
          <w:pgMar w:top="1440" w:right="935" w:bottom="1440" w:left="777" w:header="851" w:footer="992" w:gutter="0"/>
          <w:pgNumType w:fmt="decimal" w:chapStyle="1" w:chapSep="hyphen"/>
          <w:cols w:space="720" w:num="1"/>
          <w:docGrid w:type="linesAndChars" w:linePitch="312" w:charSpace="0"/>
        </w:sectPr>
      </w:pPr>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3.采购需求响应说明表（格式见附件）(必须提供)；</w:t>
      </w:r>
    </w:p>
    <w:p>
      <w:pPr>
        <w:rPr>
          <w:rFonts w:ascii="宋体" w:hAnsi="宋体" w:cs="宋体"/>
          <w:color w:val="auto"/>
          <w:highlight w:val="none"/>
        </w:rPr>
      </w:pPr>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附件：</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43"/>
        <w:tblW w:w="10193" w:type="dxa"/>
        <w:tblInd w:w="8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666"/>
        <w:gridCol w:w="2154"/>
        <w:gridCol w:w="2250"/>
        <w:gridCol w:w="1805"/>
        <w:gridCol w:w="16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trPr>
        <w:tc>
          <w:tcPr>
            <w:tcW w:w="700"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序号</w:t>
            </w:r>
          </w:p>
        </w:tc>
        <w:tc>
          <w:tcPr>
            <w:tcW w:w="1666"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222" w:name="_Toc173066402"/>
            <w:bookmarkStart w:id="223" w:name="_Toc254970589"/>
            <w:bookmarkStart w:id="224" w:name="_Toc254970730"/>
            <w:bookmarkStart w:id="225" w:name="_Toc173211901"/>
            <w:r>
              <w:rPr>
                <w:rFonts w:hint="eastAsia" w:ascii="宋体" w:hAnsi="宋体" w:cs="宋体"/>
                <w:color w:val="auto"/>
                <w:highlight w:val="none"/>
              </w:rPr>
              <w:t>项目名称</w:t>
            </w:r>
          </w:p>
        </w:tc>
        <w:tc>
          <w:tcPr>
            <w:tcW w:w="2154"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竞争性磋商文件第三章采购需求</w:t>
            </w:r>
            <w:bookmarkEnd w:id="222"/>
            <w:bookmarkEnd w:id="223"/>
            <w:bookmarkEnd w:id="224"/>
            <w:bookmarkEnd w:id="225"/>
          </w:p>
        </w:tc>
        <w:tc>
          <w:tcPr>
            <w:tcW w:w="2250"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226" w:name="_Toc254970731"/>
            <w:bookmarkStart w:id="227" w:name="_Toc254970590"/>
            <w:bookmarkStart w:id="228" w:name="_Toc173211902"/>
            <w:bookmarkStart w:id="229" w:name="_Toc173066403"/>
            <w:r>
              <w:rPr>
                <w:rFonts w:hint="eastAsia" w:ascii="宋体" w:hAnsi="宋体" w:cs="宋体"/>
                <w:color w:val="auto"/>
                <w:highlight w:val="none"/>
              </w:rPr>
              <w:t>竞争性磋商响应文件具体响应</w:t>
            </w:r>
            <w:bookmarkEnd w:id="226"/>
            <w:bookmarkEnd w:id="227"/>
            <w:bookmarkEnd w:id="228"/>
            <w:bookmarkEnd w:id="229"/>
          </w:p>
        </w:tc>
        <w:tc>
          <w:tcPr>
            <w:tcW w:w="1805"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bookmarkStart w:id="230" w:name="_Toc254970591"/>
            <w:bookmarkStart w:id="231" w:name="_Toc254970732"/>
            <w:bookmarkStart w:id="232" w:name="_Toc173211903"/>
            <w:bookmarkStart w:id="233" w:name="_Toc173066404"/>
            <w:r>
              <w:rPr>
                <w:rFonts w:hint="eastAsia" w:ascii="宋体" w:hAnsi="宋体" w:cs="宋体"/>
                <w:color w:val="auto"/>
                <w:highlight w:val="none"/>
              </w:rPr>
              <w:t>响应/偏离</w:t>
            </w:r>
            <w:bookmarkEnd w:id="230"/>
            <w:bookmarkEnd w:id="231"/>
            <w:bookmarkEnd w:id="232"/>
            <w:bookmarkEnd w:id="233"/>
          </w:p>
        </w:tc>
        <w:tc>
          <w:tcPr>
            <w:tcW w:w="1618"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trPr>
        <w:tc>
          <w:tcPr>
            <w:tcW w:w="700"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1666"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trPr>
        <w:tc>
          <w:tcPr>
            <w:tcW w:w="700"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1666"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trPr>
        <w:tc>
          <w:tcPr>
            <w:tcW w:w="700"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1666"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0" w:hRule="atLeast"/>
        </w:trPr>
        <w:tc>
          <w:tcPr>
            <w:tcW w:w="700" w:type="dxa"/>
            <w:vAlign w:val="center"/>
          </w:tcPr>
          <w:p>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1666"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154"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2250" w:type="dxa"/>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805" w:type="dxa"/>
            <w:tcBorders>
              <w:righ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c>
          <w:tcPr>
            <w:tcW w:w="1618" w:type="dxa"/>
            <w:tcBorders>
              <w:left w:val="single" w:color="auto" w:sz="4" w:space="0"/>
            </w:tcBorders>
            <w:vAlign w:val="center"/>
          </w:tcPr>
          <w:p>
            <w:pPr>
              <w:keepNext w:val="0"/>
              <w:keepLines w:val="0"/>
              <w:suppressLineNumbers w:val="0"/>
              <w:adjustRightInd w:val="0"/>
              <w:snapToGrid w:val="0"/>
              <w:spacing w:before="0" w:beforeAutospacing="0" w:after="0" w:afterAutospacing="0" w:line="300" w:lineRule="auto"/>
              <w:ind w:left="0" w:right="0"/>
              <w:jc w:val="center"/>
              <w:outlineLvl w:val="0"/>
              <w:rPr>
                <w:rFonts w:hint="eastAsia" w:ascii="宋体" w:hAnsi="宋体" w:cs="宋体"/>
                <w:color w:val="auto"/>
                <w:szCs w:val="21"/>
                <w:highlight w:val="none"/>
              </w:rPr>
            </w:pPr>
          </w:p>
        </w:tc>
      </w:tr>
    </w:tbl>
    <w:p>
      <w:pPr>
        <w:spacing w:line="340" w:lineRule="exact"/>
        <w:rPr>
          <w:rFonts w:ascii="宋体" w:hAnsi="宋体" w:cs="宋体"/>
          <w:color w:val="auto"/>
          <w:szCs w:val="21"/>
          <w:highlight w:val="none"/>
        </w:rPr>
      </w:pPr>
    </w:p>
    <w:p>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p>
    <w:p>
      <w:pPr>
        <w:snapToGrid w:val="0"/>
        <w:spacing w:line="400" w:lineRule="exact"/>
        <w:ind w:firstLine="1680" w:firstLineChars="800"/>
        <w:rPr>
          <w:rFonts w:ascii="宋体" w:hAnsi="宋体" w:cs="宋体"/>
          <w:color w:val="auto"/>
          <w:highlight w:val="none"/>
        </w:rPr>
      </w:pPr>
    </w:p>
    <w:p>
      <w:pPr>
        <w:snapToGrid w:val="0"/>
        <w:spacing w:line="400" w:lineRule="exact"/>
        <w:ind w:firstLine="1680" w:firstLineChars="80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pPr>
        <w:ind w:firstLine="1890" w:firstLineChars="900"/>
        <w:rPr>
          <w:rFonts w:ascii="宋体" w:hAnsi="宋体" w:cs="宋体"/>
          <w:color w:val="auto"/>
          <w:highlight w:val="none"/>
          <w:u w:val="single"/>
        </w:rPr>
      </w:pPr>
    </w:p>
    <w:p>
      <w:pPr>
        <w:ind w:firstLine="1890" w:firstLineChars="900"/>
        <w:rPr>
          <w:rFonts w:ascii="宋体" w:hAnsi="宋体" w:cs="宋体"/>
          <w:color w:val="auto"/>
          <w:highlight w:val="none"/>
          <w:u w:val="single"/>
        </w:rPr>
      </w:pPr>
    </w:p>
    <w:p>
      <w:pPr>
        <w:spacing w:line="400" w:lineRule="exact"/>
        <w:ind w:left="982" w:leftChars="200" w:hanging="562" w:hangingChars="200"/>
        <w:rPr>
          <w:rFonts w:ascii="宋体" w:hAnsi="宋体" w:cs="宋体"/>
          <w:b/>
          <w:bCs/>
          <w:color w:val="auto"/>
          <w:sz w:val="28"/>
          <w:szCs w:val="28"/>
          <w:highlight w:val="none"/>
        </w:rPr>
      </w:pPr>
      <w:r>
        <w:rPr>
          <w:rFonts w:hint="eastAsia" w:ascii="宋体" w:hAnsi="宋体" w:cs="宋体"/>
          <w:b/>
          <w:bCs/>
          <w:color w:val="auto"/>
          <w:sz w:val="28"/>
          <w:szCs w:val="28"/>
          <w:highlight w:val="none"/>
        </w:rPr>
        <w:t>注：</w:t>
      </w:r>
      <w:r>
        <w:rPr>
          <w:rFonts w:hint="eastAsia" w:ascii="宋体" w:hAnsi="宋体" w:cs="宋体"/>
          <w:b/>
          <w:color w:val="auto"/>
          <w:sz w:val="24"/>
          <w:highlight w:val="none"/>
        </w:rPr>
        <w:t>1.“采购需求响应说明表”包含商务要求，各项内容必须如实填写。</w:t>
      </w:r>
    </w:p>
    <w:p>
      <w:pPr>
        <w:spacing w:line="400" w:lineRule="exact"/>
        <w:ind w:firstLine="964" w:firstLineChars="400"/>
        <w:rPr>
          <w:rFonts w:ascii="宋体" w:hAnsi="宋体" w:cs="宋体"/>
          <w:b/>
          <w:bCs/>
          <w:color w:val="auto"/>
          <w:sz w:val="28"/>
          <w:szCs w:val="28"/>
          <w:highlight w:val="none"/>
        </w:rPr>
      </w:pPr>
      <w:r>
        <w:rPr>
          <w:rFonts w:hint="eastAsia" w:ascii="宋体" w:hAnsi="宋体" w:cs="宋体"/>
          <w:b/>
          <w:color w:val="auto"/>
          <w:sz w:val="24"/>
          <w:highlight w:val="none"/>
        </w:rPr>
        <w:t>2.当本表由多页构成时，需逐页加盖磋商供应商CA证书签章（属自然人的须逐页签字或个人CA证书签章）。</w:t>
      </w: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46"/>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10"/>
        <w:rPr>
          <w:color w:val="auto"/>
          <w:highlight w:val="none"/>
        </w:rPr>
      </w:pPr>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4.</w:t>
      </w:r>
      <w:r>
        <w:rPr>
          <w:rFonts w:hint="eastAsia" w:hAnsi="宋体" w:cs="宋体"/>
          <w:b/>
          <w:color w:val="auto"/>
          <w:sz w:val="28"/>
          <w:szCs w:val="28"/>
          <w:highlight w:val="none"/>
          <w:lang w:eastAsia="zh-CN"/>
        </w:rPr>
        <w:t>服务承诺书</w:t>
      </w:r>
      <w:r>
        <w:rPr>
          <w:rFonts w:hint="eastAsia" w:hAnsi="宋体" w:cs="宋体"/>
          <w:b/>
          <w:color w:val="auto"/>
          <w:sz w:val="28"/>
          <w:szCs w:val="28"/>
          <w:highlight w:val="none"/>
        </w:rPr>
        <w:t>（必须提供）；</w:t>
      </w:r>
    </w:p>
    <w:p>
      <w:pPr>
        <w:rPr>
          <w:rFonts w:ascii="宋体" w:hAnsi="宋体" w:cs="宋体"/>
          <w:color w:val="auto"/>
          <w:highlight w:val="none"/>
        </w:rPr>
      </w:pPr>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附件：</w:t>
      </w:r>
    </w:p>
    <w:p>
      <w:pPr>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9"/>
        <w:rPr>
          <w:rFonts w:ascii="宋体" w:hAnsi="宋体" w:cs="宋体"/>
          <w:color w:val="auto"/>
          <w:highlight w:val="none"/>
        </w:rPr>
      </w:pPr>
    </w:p>
    <w:p>
      <w:pPr>
        <w:pStyle w:val="19"/>
        <w:spacing w:line="340" w:lineRule="exact"/>
        <w:jc w:val="center"/>
        <w:rPr>
          <w:rFonts w:hAnsi="宋体" w:cs="宋体"/>
          <w:b/>
          <w:color w:val="auto"/>
          <w:sz w:val="32"/>
          <w:szCs w:val="32"/>
          <w:highlight w:val="none"/>
        </w:rPr>
      </w:pPr>
      <w:r>
        <w:rPr>
          <w:rFonts w:hint="eastAsia" w:hAnsi="宋体" w:cs="宋体"/>
          <w:b/>
          <w:color w:val="auto"/>
          <w:sz w:val="32"/>
          <w:szCs w:val="32"/>
          <w:highlight w:val="none"/>
          <w:lang w:eastAsia="zh-CN"/>
        </w:rPr>
        <w:t>服务承诺书</w:t>
      </w:r>
      <w:r>
        <w:rPr>
          <w:rFonts w:hint="eastAsia" w:hAnsi="宋体" w:cs="宋体"/>
          <w:b/>
          <w:color w:val="auto"/>
          <w:sz w:val="32"/>
          <w:szCs w:val="32"/>
          <w:highlight w:val="none"/>
        </w:rPr>
        <w:t>（格式）</w:t>
      </w:r>
    </w:p>
    <w:p>
      <w:pPr>
        <w:pStyle w:val="19"/>
        <w:spacing w:line="340" w:lineRule="exact"/>
        <w:jc w:val="center"/>
        <w:rPr>
          <w:rFonts w:hAnsi="宋体" w:cs="宋体"/>
          <w:b/>
          <w:color w:val="auto"/>
          <w:sz w:val="32"/>
          <w:szCs w:val="32"/>
          <w:highlight w:val="none"/>
        </w:rPr>
      </w:pPr>
    </w:p>
    <w:p>
      <w:pPr>
        <w:pStyle w:val="19"/>
        <w:spacing w:line="340" w:lineRule="exact"/>
        <w:jc w:val="center"/>
        <w:rPr>
          <w:rFonts w:hAnsi="宋体" w:cs="宋体"/>
          <w:b/>
          <w:color w:val="auto"/>
          <w:sz w:val="32"/>
          <w:szCs w:val="32"/>
          <w:highlight w:val="none"/>
        </w:rPr>
      </w:pPr>
    </w:p>
    <w:p>
      <w:pPr>
        <w:pStyle w:val="19"/>
        <w:spacing w:line="340" w:lineRule="exact"/>
        <w:jc w:val="center"/>
        <w:rPr>
          <w:rFonts w:hAnsi="宋体" w:cs="宋体"/>
          <w:b/>
          <w:color w:val="auto"/>
          <w:sz w:val="32"/>
          <w:szCs w:val="32"/>
          <w:highlight w:val="none"/>
        </w:rPr>
      </w:pPr>
    </w:p>
    <w:p>
      <w:pPr>
        <w:rPr>
          <w:rFonts w:ascii="宋体" w:hAnsi="宋体" w:cs="宋体"/>
          <w:b/>
          <w:color w:val="auto"/>
          <w:sz w:val="32"/>
          <w:szCs w:val="32"/>
          <w:highlight w:val="none"/>
        </w:rPr>
      </w:pPr>
    </w:p>
    <w:p>
      <w:pPr>
        <w:pStyle w:val="9"/>
        <w:rPr>
          <w:rFonts w:ascii="宋体" w:hAnsi="宋体" w:cs="宋体"/>
          <w:color w:val="auto"/>
          <w:highlight w:val="none"/>
        </w:rPr>
      </w:pPr>
    </w:p>
    <w:p>
      <w:pPr>
        <w:pStyle w:val="9"/>
        <w:rPr>
          <w:rFonts w:ascii="宋体" w:hAnsi="宋体" w:cs="宋体"/>
          <w:b/>
          <w:color w:val="auto"/>
          <w:sz w:val="32"/>
          <w:szCs w:val="32"/>
          <w:highlight w:val="none"/>
        </w:rPr>
      </w:pPr>
    </w:p>
    <w:p>
      <w:pPr>
        <w:pStyle w:val="19"/>
        <w:spacing w:line="340" w:lineRule="exact"/>
        <w:jc w:val="center"/>
        <w:rPr>
          <w:rFonts w:hAnsi="宋体" w:cs="宋体"/>
          <w:b/>
          <w:color w:val="auto"/>
          <w:sz w:val="32"/>
          <w:szCs w:val="32"/>
          <w:highlight w:val="none"/>
        </w:rPr>
      </w:pPr>
    </w:p>
    <w:p>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pPr>
        <w:rPr>
          <w:color w:val="auto"/>
          <w:highlight w:val="none"/>
        </w:rPr>
      </w:pPr>
    </w:p>
    <w:p>
      <w:pPr>
        <w:snapToGrid w:val="0"/>
        <w:spacing w:line="400" w:lineRule="exact"/>
        <w:ind w:firstLine="1680" w:firstLineChars="800"/>
        <w:rPr>
          <w:rFonts w:ascii="宋体" w:hAnsi="宋体" w:cs="宋体"/>
          <w:color w:val="auto"/>
          <w:highlight w:val="none"/>
          <w:u w:val="single"/>
        </w:rPr>
        <w:sectPr>
          <w:pgSz w:w="11906" w:h="16838"/>
          <w:pgMar w:top="1440" w:right="935" w:bottom="1440" w:left="777" w:header="851" w:footer="992" w:gutter="0"/>
          <w:pgNumType w:fmt="decimal" w:chapStyle="1" w:chapSep="hyphen"/>
          <w:cols w:space="720" w:num="1"/>
          <w:docGrid w:type="lines" w:linePitch="312" w:charSpace="0"/>
        </w:sect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pPr>
        <w:spacing w:line="340" w:lineRule="exact"/>
        <w:ind w:left="420"/>
        <w:jc w:val="center"/>
        <w:rPr>
          <w:rFonts w:ascii="宋体" w:hAnsi="宋体" w:cs="宋体"/>
          <w:color w:val="auto"/>
          <w:szCs w:val="21"/>
          <w:highlight w:val="none"/>
        </w:rPr>
      </w:pPr>
      <w:bookmarkStart w:id="234" w:name="_Toc28672"/>
      <w:bookmarkStart w:id="235" w:name="_Toc497927084"/>
      <w:bookmarkStart w:id="236" w:name="_Toc9339"/>
      <w:r>
        <w:rPr>
          <w:rFonts w:hint="eastAsia" w:ascii="宋体" w:hAnsi="宋体" w:cs="宋体"/>
          <w:b/>
          <w:bCs/>
          <w:color w:val="auto"/>
          <w:sz w:val="32"/>
          <w:szCs w:val="32"/>
          <w:highlight w:val="none"/>
        </w:rPr>
        <w:t>（三）其他有效证明材料目录</w:t>
      </w:r>
      <w:bookmarkEnd w:id="234"/>
      <w:bookmarkEnd w:id="235"/>
      <w:bookmarkEnd w:id="236"/>
    </w:p>
    <w:p>
      <w:pPr>
        <w:spacing w:line="360" w:lineRule="auto"/>
        <w:ind w:firstLine="480" w:firstLineChars="200"/>
        <w:rPr>
          <w:rFonts w:ascii="宋体" w:hAnsi="宋体" w:cs="宋体"/>
          <w:b/>
          <w:bCs/>
          <w:color w:val="auto"/>
          <w:highlight w:val="none"/>
        </w:rPr>
      </w:pPr>
      <w:r>
        <w:rPr>
          <w:rFonts w:hint="eastAsia" w:ascii="宋体" w:hAnsi="宋体" w:cs="宋体"/>
          <w:color w:val="auto"/>
          <w:sz w:val="24"/>
          <w:highlight w:val="none"/>
        </w:rPr>
        <w:t>1.项目实施人员一览表（格式见附件）</w:t>
      </w:r>
      <w:r>
        <w:rPr>
          <w:rFonts w:hint="eastAsia" w:ascii="宋体" w:hAnsi="宋体" w:cs="宋体"/>
          <w:b/>
          <w:bCs/>
          <w:color w:val="auto"/>
          <w:sz w:val="24"/>
          <w:highlight w:val="none"/>
        </w:rPr>
        <w:t>（如有，请提供）</w:t>
      </w:r>
    </w:p>
    <w:p>
      <w:pPr>
        <w:spacing w:line="360" w:lineRule="auto"/>
        <w:ind w:firstLine="480" w:firstLineChars="200"/>
        <w:jc w:val="left"/>
        <w:rPr>
          <w:rFonts w:ascii="宋体" w:hAnsi="宋体" w:cs="宋体"/>
          <w:b/>
          <w:bCs/>
          <w:color w:val="auto"/>
          <w:highlight w:val="none"/>
        </w:rPr>
      </w:pPr>
      <w:r>
        <w:rPr>
          <w:rFonts w:hint="eastAsia" w:ascii="宋体" w:hAnsi="宋体" w:cs="宋体"/>
          <w:color w:val="auto"/>
          <w:sz w:val="24"/>
          <w:highlight w:val="none"/>
        </w:rPr>
        <w:t>2.“采购需求”需提供的有效证明文件</w:t>
      </w:r>
      <w:r>
        <w:rPr>
          <w:rFonts w:hint="eastAsia" w:ascii="宋体" w:hAnsi="宋体" w:cs="宋体"/>
          <w:b/>
          <w:bCs/>
          <w:color w:val="auto"/>
          <w:sz w:val="24"/>
          <w:highlight w:val="none"/>
        </w:rPr>
        <w:t>（如有，请提供）；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供应商2022年1月1日以来</w:t>
      </w:r>
      <w:r>
        <w:rPr>
          <w:rFonts w:hint="eastAsia" w:ascii="宋体" w:hAnsi="宋体" w:cs="宋体"/>
          <w:color w:val="auto"/>
          <w:sz w:val="24"/>
          <w:highlight w:val="none"/>
        </w:rPr>
        <w:t>具有同类项目业绩相关证明材料（无不良记录，以中标、成交通知书或签订的合同为准，并能清晰反映项目的名称、采购内容、采购金额、采购时间）</w:t>
      </w:r>
      <w:r>
        <w:rPr>
          <w:rFonts w:hint="eastAsia" w:ascii="宋体" w:hAnsi="宋体" w:cs="宋体"/>
          <w:b/>
          <w:bCs/>
          <w:color w:val="auto"/>
          <w:sz w:val="24"/>
          <w:highlight w:val="none"/>
        </w:rPr>
        <w:t>（如有，请提供）；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4.供应商可结合本项目的评审办法视自身情况自行提交其它相关证明材料。</w:t>
      </w:r>
    </w:p>
    <w:p>
      <w:pPr>
        <w:spacing w:line="360" w:lineRule="auto"/>
        <w:ind w:firstLine="480" w:firstLineChars="200"/>
        <w:rPr>
          <w:rFonts w:ascii="宋体" w:hAnsi="宋体" w:cs="宋体"/>
          <w:color w:val="auto"/>
          <w:sz w:val="24"/>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6"/>
        <w:rPr>
          <w:rFonts w:ascii="宋体" w:hAnsi="宋体" w:cs="宋体"/>
          <w:b/>
          <w:bCs/>
          <w:color w:val="auto"/>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45"/>
        <w:ind w:firstLine="0" w:firstLineChars="0"/>
        <w:rPr>
          <w:rFonts w:cs="宋体"/>
          <w:b/>
          <w:color w:val="auto"/>
          <w:kern w:val="2"/>
          <w:sz w:val="28"/>
          <w:szCs w:val="28"/>
          <w:highlight w:val="none"/>
        </w:rPr>
      </w:pPr>
    </w:p>
    <w:p>
      <w:pPr>
        <w:pStyle w:val="19"/>
        <w:spacing w:line="340" w:lineRule="exact"/>
        <w:rPr>
          <w:rFonts w:hAnsi="宋体" w:cs="宋体"/>
          <w:b/>
          <w:color w:val="auto"/>
          <w:sz w:val="28"/>
          <w:szCs w:val="28"/>
          <w:highlight w:val="none"/>
        </w:rPr>
      </w:pPr>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1.项目实施人员一览表 （如有，请提供）</w:t>
      </w:r>
    </w:p>
    <w:p>
      <w:pPr>
        <w:rPr>
          <w:rFonts w:ascii="宋体" w:hAnsi="宋体" w:cs="宋体"/>
          <w:color w:val="auto"/>
          <w:highlight w:val="none"/>
        </w:rPr>
      </w:pPr>
    </w:p>
    <w:p>
      <w:pPr>
        <w:pStyle w:val="19"/>
        <w:rPr>
          <w:rFonts w:hAnsi="宋体" w:cs="宋体"/>
          <w:b/>
          <w:bCs/>
          <w:color w:val="auto"/>
          <w:sz w:val="32"/>
          <w:szCs w:val="32"/>
          <w:highlight w:val="none"/>
        </w:rPr>
      </w:pPr>
      <w:r>
        <w:rPr>
          <w:rFonts w:hint="eastAsia" w:hAnsi="宋体" w:cs="宋体"/>
          <w:b/>
          <w:bCs/>
          <w:color w:val="auto"/>
          <w:sz w:val="32"/>
          <w:szCs w:val="32"/>
          <w:highlight w:val="none"/>
        </w:rPr>
        <w:t>附件：</w:t>
      </w:r>
    </w:p>
    <w:p>
      <w:pPr>
        <w:pStyle w:val="19"/>
        <w:ind w:firstLine="472" w:firstLineChars="147"/>
        <w:jc w:val="center"/>
        <w:rPr>
          <w:rFonts w:hAnsi="宋体" w:cs="宋体"/>
          <w:b/>
          <w:bCs/>
          <w:color w:val="auto"/>
          <w:sz w:val="32"/>
          <w:szCs w:val="32"/>
          <w:highlight w:val="none"/>
        </w:rPr>
      </w:pPr>
      <w:r>
        <w:rPr>
          <w:rFonts w:hint="eastAsia" w:hAnsi="宋体" w:cs="宋体"/>
          <w:b/>
          <w:bCs/>
          <w:color w:val="auto"/>
          <w:sz w:val="32"/>
          <w:szCs w:val="32"/>
          <w:highlight w:val="none"/>
        </w:rPr>
        <w:t>项目实施人员一览表（格式）</w:t>
      </w:r>
    </w:p>
    <w:tbl>
      <w:tblPr>
        <w:tblStyle w:val="43"/>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1"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05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665"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专业技术资格</w:t>
            </w:r>
          </w:p>
        </w:tc>
        <w:tc>
          <w:tcPr>
            <w:tcW w:w="120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2550" w:type="dxa"/>
            <w:vAlign w:val="center"/>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参加本单位工作时间</w:t>
            </w:r>
          </w:p>
        </w:tc>
        <w:tc>
          <w:tcPr>
            <w:tcW w:w="2610"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1"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05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665"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20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55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61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1"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05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665"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120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55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c>
          <w:tcPr>
            <w:tcW w:w="2610" w:type="dxa"/>
          </w:tcPr>
          <w:p>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p>
        </w:tc>
      </w:tr>
    </w:tbl>
    <w:p>
      <w:pPr>
        <w:spacing w:line="400" w:lineRule="exact"/>
        <w:rPr>
          <w:rFonts w:ascii="宋体" w:hAnsi="宋体" w:cs="宋体"/>
          <w:color w:val="auto"/>
          <w:szCs w:val="21"/>
          <w:highlight w:val="none"/>
        </w:rPr>
      </w:pPr>
    </w:p>
    <w:p>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磋商供应商[(CA证书签章)，自然人签字或个人CA证书签章]：</w:t>
      </w:r>
      <w:r>
        <w:rPr>
          <w:rFonts w:hint="eastAsia" w:ascii="宋体" w:hAnsi="宋体" w:cs="宋体"/>
          <w:color w:val="auto"/>
          <w:szCs w:val="21"/>
          <w:highlight w:val="none"/>
          <w:u w:val="single"/>
        </w:rPr>
        <w:t xml:space="preserve">                                     </w:t>
      </w:r>
    </w:p>
    <w:p>
      <w:pPr>
        <w:rPr>
          <w:color w:val="auto"/>
          <w:highlight w:val="none"/>
        </w:rPr>
      </w:pPr>
    </w:p>
    <w:p>
      <w:pPr>
        <w:snapToGrid w:val="0"/>
        <w:spacing w:line="400" w:lineRule="exact"/>
        <w:ind w:firstLine="1680" w:firstLineChars="80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pPr>
        <w:pStyle w:val="9"/>
        <w:rPr>
          <w:rFonts w:ascii="宋体" w:hAnsi="宋体" w:cs="宋体"/>
          <w:color w:val="auto"/>
          <w:highlight w:val="none"/>
        </w:rPr>
      </w:pPr>
    </w:p>
    <w:p>
      <w:pPr>
        <w:spacing w:line="360" w:lineRule="auto"/>
        <w:rPr>
          <w:rFonts w:ascii="宋体" w:hAnsi="宋体" w:cs="宋体"/>
          <w:b/>
          <w:bCs/>
          <w:color w:val="auto"/>
          <w:sz w:val="24"/>
          <w:highlight w:val="none"/>
        </w:rPr>
        <w:sectPr>
          <w:pgSz w:w="11906" w:h="16838"/>
          <w:pgMar w:top="1440" w:right="935" w:bottom="1440" w:left="777" w:header="851" w:footer="992" w:gutter="0"/>
          <w:pgNumType w:fmt="decimal" w:chapStyle="1" w:chapSep="hyphen"/>
          <w:cols w:space="720" w:num="1"/>
          <w:docGrid w:type="lines" w:linePitch="312" w:charSpace="0"/>
        </w:sectPr>
      </w:pPr>
      <w:r>
        <w:rPr>
          <w:rFonts w:hint="eastAsia" w:ascii="宋体" w:hAnsi="宋体" w:cs="宋体"/>
          <w:b/>
          <w:bCs/>
          <w:color w:val="auto"/>
          <w:sz w:val="24"/>
          <w:highlight w:val="none"/>
        </w:rPr>
        <w:t>注：供应商根据自身情况结合本项目自行制定</w:t>
      </w:r>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2.“采购需求”需提供的有效证明文件（如有，请提供）；</w:t>
      </w:r>
    </w:p>
    <w:p>
      <w:pPr>
        <w:pStyle w:val="9"/>
        <w:rPr>
          <w:rFonts w:ascii="宋体" w:hAnsi="宋体" w:cs="宋体"/>
          <w:b/>
          <w:color w:val="auto"/>
          <w:highlight w:val="none"/>
        </w:rPr>
      </w:pPr>
    </w:p>
    <w:p>
      <w:pPr>
        <w:pStyle w:val="10"/>
        <w:ind w:firstLine="422"/>
        <w:rPr>
          <w:rFonts w:ascii="宋体" w:hAnsi="宋体" w:cs="宋体"/>
          <w:b/>
          <w:color w:val="auto"/>
          <w:highlight w:val="none"/>
        </w:rPr>
      </w:pPr>
    </w:p>
    <w:p>
      <w:pPr>
        <w:pStyle w:val="10"/>
        <w:ind w:firstLine="422"/>
        <w:rPr>
          <w:rFonts w:ascii="宋体" w:hAnsi="宋体" w:cs="宋体"/>
          <w:b/>
          <w:color w:val="auto"/>
          <w:highlight w:val="none"/>
        </w:rPr>
      </w:pPr>
    </w:p>
    <w:p>
      <w:pPr>
        <w:pStyle w:val="19"/>
        <w:spacing w:line="340" w:lineRule="exact"/>
        <w:rPr>
          <w:rFonts w:hAnsi="宋体" w:cs="宋体"/>
          <w:b/>
          <w:color w:val="auto"/>
          <w:sz w:val="28"/>
          <w:szCs w:val="28"/>
          <w:highlight w:val="none"/>
        </w:rPr>
      </w:pPr>
      <w:bookmarkStart w:id="237" w:name="_Toc10161"/>
      <w:bookmarkStart w:id="238" w:name="_Toc497927090"/>
      <w:bookmarkStart w:id="239" w:name="_Toc3052"/>
    </w:p>
    <w:p>
      <w:pPr>
        <w:pStyle w:val="19"/>
        <w:spacing w:line="340" w:lineRule="exact"/>
        <w:rPr>
          <w:rFonts w:hAnsi="宋体" w:cs="宋体"/>
          <w:b/>
          <w:color w:val="auto"/>
          <w:sz w:val="28"/>
          <w:szCs w:val="28"/>
          <w:highlight w:val="none"/>
        </w:rPr>
      </w:pPr>
      <w:r>
        <w:rPr>
          <w:rFonts w:hint="eastAsia" w:hAnsi="宋体" w:cs="宋体"/>
          <w:b/>
          <w:color w:val="auto"/>
          <w:sz w:val="28"/>
          <w:szCs w:val="28"/>
          <w:highlight w:val="none"/>
        </w:rPr>
        <w:t>3.</w:t>
      </w:r>
      <w:r>
        <w:rPr>
          <w:rFonts w:hint="eastAsia" w:hAnsi="宋体" w:cs="宋体"/>
          <w:b/>
          <w:color w:val="auto"/>
          <w:sz w:val="28"/>
          <w:szCs w:val="28"/>
          <w:highlight w:val="none"/>
          <w:lang w:eastAsia="zh-CN"/>
        </w:rPr>
        <w:t>供应商2022年1月1日以来</w:t>
      </w:r>
      <w:r>
        <w:rPr>
          <w:rFonts w:hint="eastAsia" w:hAnsi="宋体" w:cs="宋体"/>
          <w:b/>
          <w:color w:val="auto"/>
          <w:sz w:val="28"/>
          <w:szCs w:val="28"/>
          <w:highlight w:val="none"/>
        </w:rPr>
        <w:t>具有同类项目业绩相关证明材料（无不良记录，以中标、成交通知书或签订的合同为准，并能清晰反映项目的名称、采购内容、采购金额、采购时间）（如有，请提供）；</w:t>
      </w:r>
      <w:bookmarkEnd w:id="237"/>
      <w:bookmarkEnd w:id="238"/>
      <w:bookmarkEnd w:id="239"/>
    </w:p>
    <w:p>
      <w:pPr>
        <w:pStyle w:val="19"/>
        <w:spacing w:line="340" w:lineRule="exact"/>
        <w:rPr>
          <w:rFonts w:hAnsi="宋体" w:cs="宋体"/>
          <w:b/>
          <w:color w:val="auto"/>
          <w:sz w:val="28"/>
          <w:szCs w:val="28"/>
          <w:highlight w:val="none"/>
        </w:rPr>
      </w:pPr>
    </w:p>
    <w:p>
      <w:pPr>
        <w:pStyle w:val="19"/>
        <w:spacing w:line="340" w:lineRule="exact"/>
        <w:rPr>
          <w:rFonts w:hAnsi="宋体" w:cs="宋体"/>
          <w:b/>
          <w:color w:val="auto"/>
          <w:sz w:val="28"/>
          <w:szCs w:val="28"/>
          <w:highlight w:val="none"/>
        </w:rPr>
      </w:pPr>
    </w:p>
    <w:p>
      <w:pPr>
        <w:rPr>
          <w:color w:val="auto"/>
          <w:highlight w:val="none"/>
        </w:rPr>
      </w:pPr>
    </w:p>
    <w:p>
      <w:pPr>
        <w:pStyle w:val="19"/>
        <w:spacing w:line="340" w:lineRule="exact"/>
        <w:rPr>
          <w:rFonts w:hAnsi="宋体" w:cs="宋体"/>
          <w:b/>
          <w:color w:val="auto"/>
          <w:sz w:val="28"/>
          <w:szCs w:val="28"/>
          <w:highlight w:val="none"/>
        </w:rPr>
      </w:pPr>
    </w:p>
    <w:p>
      <w:pPr>
        <w:pStyle w:val="19"/>
        <w:spacing w:line="340" w:lineRule="exact"/>
        <w:rPr>
          <w:rFonts w:hAnsi="宋体" w:cs="宋体"/>
          <w:color w:val="auto"/>
          <w:highlight w:val="none"/>
        </w:rPr>
      </w:pPr>
      <w:r>
        <w:rPr>
          <w:rFonts w:hint="eastAsia" w:hAnsi="宋体" w:cs="宋体"/>
          <w:b/>
          <w:color w:val="auto"/>
          <w:sz w:val="28"/>
          <w:szCs w:val="28"/>
          <w:highlight w:val="none"/>
        </w:rPr>
        <w:t xml:space="preserve">4.供应商可结合本项目的评审办法视自身情况自行提交其它相关证明材料。           </w:t>
      </w:r>
      <w:r>
        <w:rPr>
          <w:rFonts w:hint="eastAsia" w:hAnsi="宋体" w:cs="宋体"/>
          <w:color w:val="auto"/>
          <w:sz w:val="28"/>
          <w:szCs w:val="28"/>
          <w:highlight w:val="none"/>
        </w:rPr>
        <w:t xml:space="preserve"> </w:t>
      </w:r>
      <w:r>
        <w:rPr>
          <w:rFonts w:hint="eastAsia" w:hAnsi="宋体" w:cs="宋体"/>
          <w:color w:val="auto"/>
          <w:highlight w:val="none"/>
        </w:rPr>
        <w:t xml:space="preserve">      </w:t>
      </w:r>
    </w:p>
    <w:p>
      <w:pPr>
        <w:pStyle w:val="21"/>
        <w:rPr>
          <w:rFonts w:ascii="宋体" w:hAnsi="宋体" w:cs="宋体"/>
          <w:color w:val="auto"/>
          <w:highlight w:val="none"/>
          <w:u w:val="none"/>
        </w:rPr>
      </w:pPr>
    </w:p>
    <w:sectPr>
      <w:pgSz w:w="11906" w:h="16838"/>
      <w:pgMar w:top="1440" w:right="935" w:bottom="1440" w:left="777" w:header="851" w:footer="992" w:gutter="0"/>
      <w:pgNumType w:fmt="decimal" w:chapStyle="1" w:chapSep="hyphe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 Ligh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幼圆">
    <w:altName w:val="宋体"/>
    <w:panose1 w:val="02010509060101010101"/>
    <w:charset w:val="86"/>
    <w:family w:val="swiss"/>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幼圆">
    <w:altName w:val="宋体"/>
    <w:panose1 w:val="02010509060101010101"/>
    <w:charset w:val="86"/>
    <w:family w:val="roman"/>
    <w:pitch w:val="default"/>
    <w:sig w:usb0="00000000" w:usb1="00000000" w:usb2="00000000" w:usb3="00000000" w:csb0="00040000"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隶书">
    <w:altName w:val="微软雅黑"/>
    <w:panose1 w:val="0201050906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00" w:usb3="00000000" w:csb0="00040000" w:csb1="00000000"/>
  </w:font>
  <w:font w:name="幼圆">
    <w:altName w:val="宋体"/>
    <w:panose1 w:val="02010509060101010101"/>
    <w:charset w:val="86"/>
    <w:family w:val="decorative"/>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文鼎中隶简">
    <w:altName w:val="宋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隶书">
    <w:altName w:val="微软雅黑"/>
    <w:panose1 w:val="0201050906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文鼎中隶简">
    <w:altName w:val="宋体"/>
    <w:panose1 w:val="00000000000000000000"/>
    <w:charset w:val="86"/>
    <w:family w:val="decorative"/>
    <w:pitch w:val="default"/>
    <w:sig w:usb0="00000000" w:usb1="00000000" w:usb2="0000001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隶书">
    <w:altName w:val="微软雅黑"/>
    <w:panose1 w:val="0201050906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603012">
    <w:nsid w:val="023DC6C4"/>
    <w:multiLevelType w:val="singleLevel"/>
    <w:tmpl w:val="023DC6C4"/>
    <w:lvl w:ilvl="0" w:tentative="1">
      <w:start w:val="4"/>
      <w:numFmt w:val="decimal"/>
      <w:suff w:val="nothing"/>
      <w:lvlText w:val="（%1）"/>
      <w:lvlJc w:val="left"/>
    </w:lvl>
  </w:abstractNum>
  <w:abstractNum w:abstractNumId="1644890101">
    <w:nsid w:val="620B07F5"/>
    <w:multiLevelType w:val="singleLevel"/>
    <w:tmpl w:val="620B07F5"/>
    <w:lvl w:ilvl="0" w:tentative="1">
      <w:start w:val="3"/>
      <w:numFmt w:val="decimal"/>
      <w:suff w:val="nothing"/>
      <w:lvlText w:val="%1."/>
      <w:lvlJc w:val="left"/>
      <w:pPr>
        <w:ind w:left="-60"/>
      </w:pPr>
    </w:lvl>
  </w:abstractNum>
  <w:abstractNum w:abstractNumId="1792292615">
    <w:nsid w:val="6AD43707"/>
    <w:multiLevelType w:val="singleLevel"/>
    <w:tmpl w:val="6AD43707"/>
    <w:lvl w:ilvl="0" w:tentative="1">
      <w:start w:val="5"/>
      <w:numFmt w:val="decimal"/>
      <w:suff w:val="space"/>
      <w:lvlText w:val="%1."/>
      <w:lvlJc w:val="left"/>
    </w:lvl>
  </w:abstractNum>
  <w:abstractNum w:abstractNumId="960158224">
    <w:nsid w:val="393ADA10"/>
    <w:multiLevelType w:val="singleLevel"/>
    <w:tmpl w:val="393ADA10"/>
    <w:lvl w:ilvl="0" w:tentative="1">
      <w:start w:val="31"/>
      <w:numFmt w:val="decimal"/>
      <w:suff w:val="space"/>
      <w:lvlText w:val="%1."/>
      <w:lvlJc w:val="left"/>
    </w:lvl>
  </w:abstractNum>
  <w:abstractNum w:abstractNumId="1767753484">
    <w:nsid w:val="695DC70C"/>
    <w:multiLevelType w:val="multilevel"/>
    <w:tmpl w:val="695DC70C"/>
    <w:lvl w:ilvl="0" w:tentative="1">
      <w:start w:val="2"/>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767753495">
    <w:nsid w:val="695DC717"/>
    <w:multiLevelType w:val="multilevel"/>
    <w:tmpl w:val="695DC717"/>
    <w:lvl w:ilvl="0" w:tentative="1">
      <w:start w:val="2"/>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534346720">
    <w:nsid w:val="1FD97BE0"/>
    <w:multiLevelType w:val="singleLevel"/>
    <w:tmpl w:val="1FD97BE0"/>
    <w:lvl w:ilvl="0" w:tentative="1">
      <w:start w:val="1"/>
      <w:numFmt w:val="chineseCounting"/>
      <w:suff w:val="nothing"/>
      <w:lvlText w:val="（%1）"/>
      <w:lvlJc w:val="left"/>
      <w:rPr>
        <w:rFonts w:hint="eastAsia"/>
      </w:rPr>
    </w:lvl>
  </w:abstractNum>
  <w:abstractNum w:abstractNumId="1608399043">
    <w:nsid w:val="5FDE38C3"/>
    <w:multiLevelType w:val="singleLevel"/>
    <w:tmpl w:val="5FDE38C3"/>
    <w:lvl w:ilvl="0" w:tentative="1">
      <w:start w:val="1"/>
      <w:numFmt w:val="decimal"/>
      <w:suff w:val="nothing"/>
      <w:lvlText w:val="%1．"/>
      <w:lvlJc w:val="left"/>
      <w:pPr>
        <w:ind w:left="-60" w:firstLine="400"/>
      </w:pPr>
      <w:rPr>
        <w:rFonts w:hint="default"/>
        <w:b w:val="0"/>
        <w:bCs w:val="0"/>
      </w:rPr>
    </w:lvl>
  </w:abstractNum>
  <w:abstractNum w:abstractNumId="3142382988">
    <w:nsid w:val="BB4CF58C"/>
    <w:multiLevelType w:val="singleLevel"/>
    <w:tmpl w:val="BB4CF58C"/>
    <w:lvl w:ilvl="0" w:tentative="1">
      <w:start w:val="2"/>
      <w:numFmt w:val="decimal"/>
      <w:suff w:val="nothing"/>
      <w:lvlText w:val="（%1）"/>
      <w:lvlJc w:val="left"/>
    </w:lvl>
  </w:abstractNum>
  <w:abstractNum w:abstractNumId="784250042">
    <w:nsid w:val="2EBEB4BA"/>
    <w:multiLevelType w:val="singleLevel"/>
    <w:tmpl w:val="2EBEB4BA"/>
    <w:lvl w:ilvl="0" w:tentative="1">
      <w:start w:val="26"/>
      <w:numFmt w:val="decimal"/>
      <w:suff w:val="space"/>
      <w:lvlText w:val="%1."/>
      <w:lvlJc w:val="left"/>
    </w:lvl>
  </w:abstractNum>
  <w:num w:numId="1">
    <w:abstractNumId w:val="1644890101"/>
  </w:num>
  <w:num w:numId="2">
    <w:abstractNumId w:val="1792292615"/>
  </w:num>
  <w:num w:numId="3">
    <w:abstractNumId w:val="37603012"/>
  </w:num>
  <w:num w:numId="4">
    <w:abstractNumId w:val="3142382988"/>
  </w:num>
  <w:num w:numId="5">
    <w:abstractNumId w:val="784250042"/>
  </w:num>
  <w:num w:numId="6">
    <w:abstractNumId w:val="960158224"/>
  </w:num>
  <w:num w:numId="7">
    <w:abstractNumId w:val="1767753484"/>
    <w:lvlOverride w:ilvl="0">
      <w:startOverride w:val="2"/>
    </w:lvlOverride>
  </w:num>
  <w:num w:numId="8">
    <w:abstractNumId w:val="1767753495"/>
    <w:lvlOverride w:ilvl="0">
      <w:startOverride w:val="2"/>
    </w:lvlOverride>
  </w:num>
  <w:num w:numId="9">
    <w:abstractNumId w:val="534346720"/>
  </w:num>
  <w:num w:numId="10">
    <w:abstractNumId w:val="16083990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hideSpellingErrors/>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QxZTIwY2VhZDc0NzRmMzM2NGFkYjBkOWQ0MjcifQ=="/>
    <w:docVar w:name="KSO_WPS_MARK_KEY" w:val="8bedbf56-0780-4ac8-80fd-85fdbf889e71"/>
  </w:docVars>
  <w:rsids>
    <w:rsidRoot w:val="006B6B44"/>
    <w:rsid w:val="00155B9F"/>
    <w:rsid w:val="00227D5A"/>
    <w:rsid w:val="00273AA0"/>
    <w:rsid w:val="002C61F7"/>
    <w:rsid w:val="00361260"/>
    <w:rsid w:val="00377B03"/>
    <w:rsid w:val="00442CC9"/>
    <w:rsid w:val="0059276D"/>
    <w:rsid w:val="005F25A9"/>
    <w:rsid w:val="006B6B44"/>
    <w:rsid w:val="00784F0D"/>
    <w:rsid w:val="008408C6"/>
    <w:rsid w:val="00B65E05"/>
    <w:rsid w:val="00BE3755"/>
    <w:rsid w:val="00C5023F"/>
    <w:rsid w:val="00C83A4D"/>
    <w:rsid w:val="00CE3934"/>
    <w:rsid w:val="00DF61F0"/>
    <w:rsid w:val="00E34700"/>
    <w:rsid w:val="00EA6261"/>
    <w:rsid w:val="00EC296C"/>
    <w:rsid w:val="00EF5BA2"/>
    <w:rsid w:val="00F02DB1"/>
    <w:rsid w:val="0100033D"/>
    <w:rsid w:val="011C633D"/>
    <w:rsid w:val="013C3125"/>
    <w:rsid w:val="014E5B21"/>
    <w:rsid w:val="01821A3D"/>
    <w:rsid w:val="01B62CA7"/>
    <w:rsid w:val="01D84888"/>
    <w:rsid w:val="01E21263"/>
    <w:rsid w:val="020405D6"/>
    <w:rsid w:val="021E1981"/>
    <w:rsid w:val="02B95509"/>
    <w:rsid w:val="02EB4BA7"/>
    <w:rsid w:val="02FF6E56"/>
    <w:rsid w:val="030932D4"/>
    <w:rsid w:val="030B6F69"/>
    <w:rsid w:val="03246CD1"/>
    <w:rsid w:val="033E499D"/>
    <w:rsid w:val="036C7E00"/>
    <w:rsid w:val="0377595E"/>
    <w:rsid w:val="03C12FE4"/>
    <w:rsid w:val="03DC5194"/>
    <w:rsid w:val="03F02E9E"/>
    <w:rsid w:val="040E5E88"/>
    <w:rsid w:val="045D58CD"/>
    <w:rsid w:val="04602F95"/>
    <w:rsid w:val="046D2412"/>
    <w:rsid w:val="047177B4"/>
    <w:rsid w:val="04732647"/>
    <w:rsid w:val="047A66B3"/>
    <w:rsid w:val="047F1B73"/>
    <w:rsid w:val="04854265"/>
    <w:rsid w:val="049357F2"/>
    <w:rsid w:val="04A27D7C"/>
    <w:rsid w:val="04D97DAE"/>
    <w:rsid w:val="04DF12E2"/>
    <w:rsid w:val="04F57ED0"/>
    <w:rsid w:val="05075F25"/>
    <w:rsid w:val="051031AE"/>
    <w:rsid w:val="051E5C06"/>
    <w:rsid w:val="052633D9"/>
    <w:rsid w:val="054D2E98"/>
    <w:rsid w:val="056469EE"/>
    <w:rsid w:val="05841AAD"/>
    <w:rsid w:val="059742FC"/>
    <w:rsid w:val="05A0109D"/>
    <w:rsid w:val="05CA7217"/>
    <w:rsid w:val="05E82D27"/>
    <w:rsid w:val="05EE68ED"/>
    <w:rsid w:val="060C5A1F"/>
    <w:rsid w:val="0633580E"/>
    <w:rsid w:val="064207E6"/>
    <w:rsid w:val="06486645"/>
    <w:rsid w:val="065000D1"/>
    <w:rsid w:val="065B15E4"/>
    <w:rsid w:val="066D11E7"/>
    <w:rsid w:val="0680754D"/>
    <w:rsid w:val="06996022"/>
    <w:rsid w:val="06E71E07"/>
    <w:rsid w:val="06FE3C52"/>
    <w:rsid w:val="070723E2"/>
    <w:rsid w:val="070C1155"/>
    <w:rsid w:val="070E0C2D"/>
    <w:rsid w:val="071023CF"/>
    <w:rsid w:val="07513EF5"/>
    <w:rsid w:val="076C2901"/>
    <w:rsid w:val="0780268E"/>
    <w:rsid w:val="078646DF"/>
    <w:rsid w:val="07E3000E"/>
    <w:rsid w:val="07FC7407"/>
    <w:rsid w:val="08027E93"/>
    <w:rsid w:val="080403E1"/>
    <w:rsid w:val="081712C5"/>
    <w:rsid w:val="083D2DFC"/>
    <w:rsid w:val="083F7130"/>
    <w:rsid w:val="0860005B"/>
    <w:rsid w:val="08697D35"/>
    <w:rsid w:val="086C7886"/>
    <w:rsid w:val="08812F2B"/>
    <w:rsid w:val="08CE08D5"/>
    <w:rsid w:val="08CF462B"/>
    <w:rsid w:val="09003B36"/>
    <w:rsid w:val="092F3F49"/>
    <w:rsid w:val="098106A1"/>
    <w:rsid w:val="09B43646"/>
    <w:rsid w:val="09BA72C3"/>
    <w:rsid w:val="09E813E1"/>
    <w:rsid w:val="09F267DA"/>
    <w:rsid w:val="09F467ED"/>
    <w:rsid w:val="0A0A6A80"/>
    <w:rsid w:val="0A0E2361"/>
    <w:rsid w:val="0A101F26"/>
    <w:rsid w:val="0A114758"/>
    <w:rsid w:val="0A173103"/>
    <w:rsid w:val="0A3C1242"/>
    <w:rsid w:val="0A45079E"/>
    <w:rsid w:val="0A670558"/>
    <w:rsid w:val="0A7D1F1E"/>
    <w:rsid w:val="0AA70314"/>
    <w:rsid w:val="0AE07DB7"/>
    <w:rsid w:val="0B523F25"/>
    <w:rsid w:val="0B6407E1"/>
    <w:rsid w:val="0B6E26C2"/>
    <w:rsid w:val="0B77423C"/>
    <w:rsid w:val="0BC03CFE"/>
    <w:rsid w:val="0BD83EB7"/>
    <w:rsid w:val="0BE43E2A"/>
    <w:rsid w:val="0C0C54AC"/>
    <w:rsid w:val="0C1D3121"/>
    <w:rsid w:val="0C221581"/>
    <w:rsid w:val="0C2A21CD"/>
    <w:rsid w:val="0C637A1A"/>
    <w:rsid w:val="0C713BB9"/>
    <w:rsid w:val="0C790059"/>
    <w:rsid w:val="0C9C22B2"/>
    <w:rsid w:val="0CC036D2"/>
    <w:rsid w:val="0D336721"/>
    <w:rsid w:val="0D4643E2"/>
    <w:rsid w:val="0DA501B3"/>
    <w:rsid w:val="0DC03E0E"/>
    <w:rsid w:val="0DC47354"/>
    <w:rsid w:val="0DD67C92"/>
    <w:rsid w:val="0DE93DD0"/>
    <w:rsid w:val="0DF62709"/>
    <w:rsid w:val="0E261660"/>
    <w:rsid w:val="0E3331BF"/>
    <w:rsid w:val="0E517B99"/>
    <w:rsid w:val="0E5817CB"/>
    <w:rsid w:val="0E5C2BE5"/>
    <w:rsid w:val="0E667A8A"/>
    <w:rsid w:val="0E68189B"/>
    <w:rsid w:val="0E69033F"/>
    <w:rsid w:val="0E993AB0"/>
    <w:rsid w:val="0EA12625"/>
    <w:rsid w:val="0EA65DCB"/>
    <w:rsid w:val="0EBA28D2"/>
    <w:rsid w:val="0ECA6143"/>
    <w:rsid w:val="0EE3235C"/>
    <w:rsid w:val="0EEE4008"/>
    <w:rsid w:val="0F152394"/>
    <w:rsid w:val="0F171E63"/>
    <w:rsid w:val="0F2738C4"/>
    <w:rsid w:val="0F4016E2"/>
    <w:rsid w:val="0F6B6C1D"/>
    <w:rsid w:val="0F9633C9"/>
    <w:rsid w:val="0FEF20FC"/>
    <w:rsid w:val="0FF85BE5"/>
    <w:rsid w:val="10122E3F"/>
    <w:rsid w:val="103656CA"/>
    <w:rsid w:val="10366381"/>
    <w:rsid w:val="10471B26"/>
    <w:rsid w:val="107E0B86"/>
    <w:rsid w:val="10934E21"/>
    <w:rsid w:val="109D27CB"/>
    <w:rsid w:val="11037A5C"/>
    <w:rsid w:val="110660A6"/>
    <w:rsid w:val="113D0069"/>
    <w:rsid w:val="113D7A32"/>
    <w:rsid w:val="11786C34"/>
    <w:rsid w:val="117F283F"/>
    <w:rsid w:val="118E7B9B"/>
    <w:rsid w:val="11CA3C1A"/>
    <w:rsid w:val="11DB182B"/>
    <w:rsid w:val="11F76665"/>
    <w:rsid w:val="11FB02FE"/>
    <w:rsid w:val="123A50AB"/>
    <w:rsid w:val="1260763B"/>
    <w:rsid w:val="127A31E0"/>
    <w:rsid w:val="129058CB"/>
    <w:rsid w:val="12932B7F"/>
    <w:rsid w:val="12A64995"/>
    <w:rsid w:val="12B44F89"/>
    <w:rsid w:val="12BA1B28"/>
    <w:rsid w:val="12BF4B9D"/>
    <w:rsid w:val="12E45B62"/>
    <w:rsid w:val="12EB2F00"/>
    <w:rsid w:val="12F906D8"/>
    <w:rsid w:val="12F908B4"/>
    <w:rsid w:val="13215279"/>
    <w:rsid w:val="133C3230"/>
    <w:rsid w:val="135A3331"/>
    <w:rsid w:val="13856106"/>
    <w:rsid w:val="13C94A07"/>
    <w:rsid w:val="13D36C5E"/>
    <w:rsid w:val="13E72192"/>
    <w:rsid w:val="140A04B9"/>
    <w:rsid w:val="14447ABD"/>
    <w:rsid w:val="14771A6A"/>
    <w:rsid w:val="14817FDA"/>
    <w:rsid w:val="14B0225D"/>
    <w:rsid w:val="14C82B81"/>
    <w:rsid w:val="14D40C9A"/>
    <w:rsid w:val="14FB1C8F"/>
    <w:rsid w:val="1506135C"/>
    <w:rsid w:val="15122D32"/>
    <w:rsid w:val="1519733C"/>
    <w:rsid w:val="151A6E6E"/>
    <w:rsid w:val="154B61B2"/>
    <w:rsid w:val="156B61A7"/>
    <w:rsid w:val="156C3143"/>
    <w:rsid w:val="15711B63"/>
    <w:rsid w:val="15762521"/>
    <w:rsid w:val="1585692C"/>
    <w:rsid w:val="15A0059B"/>
    <w:rsid w:val="16D87D6E"/>
    <w:rsid w:val="16FA6C98"/>
    <w:rsid w:val="170B353F"/>
    <w:rsid w:val="1725189E"/>
    <w:rsid w:val="173C6FEB"/>
    <w:rsid w:val="176F0A16"/>
    <w:rsid w:val="17733A06"/>
    <w:rsid w:val="1775207A"/>
    <w:rsid w:val="177523D1"/>
    <w:rsid w:val="1784346D"/>
    <w:rsid w:val="17C65D17"/>
    <w:rsid w:val="17CD1C16"/>
    <w:rsid w:val="17DA4C80"/>
    <w:rsid w:val="17EA5499"/>
    <w:rsid w:val="181C20E7"/>
    <w:rsid w:val="182A4348"/>
    <w:rsid w:val="184F13F4"/>
    <w:rsid w:val="188744BB"/>
    <w:rsid w:val="18926767"/>
    <w:rsid w:val="18A37708"/>
    <w:rsid w:val="18EB151D"/>
    <w:rsid w:val="191106C7"/>
    <w:rsid w:val="19346C7C"/>
    <w:rsid w:val="193B644D"/>
    <w:rsid w:val="194E3524"/>
    <w:rsid w:val="195D26D4"/>
    <w:rsid w:val="1989360F"/>
    <w:rsid w:val="199063F6"/>
    <w:rsid w:val="19B65BE7"/>
    <w:rsid w:val="1A330456"/>
    <w:rsid w:val="1A41745E"/>
    <w:rsid w:val="1A976FFA"/>
    <w:rsid w:val="1AB620A6"/>
    <w:rsid w:val="1AC60298"/>
    <w:rsid w:val="1ACF7806"/>
    <w:rsid w:val="1ADF7C99"/>
    <w:rsid w:val="1AEF5AF1"/>
    <w:rsid w:val="1AFD127E"/>
    <w:rsid w:val="1B01720A"/>
    <w:rsid w:val="1B1C7D80"/>
    <w:rsid w:val="1B291668"/>
    <w:rsid w:val="1B311E97"/>
    <w:rsid w:val="1B3A1A58"/>
    <w:rsid w:val="1B3E54F1"/>
    <w:rsid w:val="1B5606C4"/>
    <w:rsid w:val="1B713E01"/>
    <w:rsid w:val="1B7758FD"/>
    <w:rsid w:val="1B992F08"/>
    <w:rsid w:val="1BB45520"/>
    <w:rsid w:val="1C1443B6"/>
    <w:rsid w:val="1C315890"/>
    <w:rsid w:val="1CA0458E"/>
    <w:rsid w:val="1CCC06F6"/>
    <w:rsid w:val="1CE83B7D"/>
    <w:rsid w:val="1CEA0CE2"/>
    <w:rsid w:val="1D0D31E0"/>
    <w:rsid w:val="1D1207F7"/>
    <w:rsid w:val="1D1C6785"/>
    <w:rsid w:val="1D430B8A"/>
    <w:rsid w:val="1D4674DC"/>
    <w:rsid w:val="1D594678"/>
    <w:rsid w:val="1D6923E1"/>
    <w:rsid w:val="1D6F3520"/>
    <w:rsid w:val="1DAB223E"/>
    <w:rsid w:val="1DD34639"/>
    <w:rsid w:val="1DE34B94"/>
    <w:rsid w:val="1E002D45"/>
    <w:rsid w:val="1E0C7A3C"/>
    <w:rsid w:val="1E1B70BC"/>
    <w:rsid w:val="1E3F5366"/>
    <w:rsid w:val="1E7526A1"/>
    <w:rsid w:val="1E7B4119"/>
    <w:rsid w:val="1E9B599E"/>
    <w:rsid w:val="1EA147F1"/>
    <w:rsid w:val="1EB6799F"/>
    <w:rsid w:val="1EBA2D31"/>
    <w:rsid w:val="1ED91680"/>
    <w:rsid w:val="1EF3295A"/>
    <w:rsid w:val="1EFC46D7"/>
    <w:rsid w:val="1F0A153D"/>
    <w:rsid w:val="1F1403CE"/>
    <w:rsid w:val="1F1C105D"/>
    <w:rsid w:val="1F1C25A1"/>
    <w:rsid w:val="1F1E0784"/>
    <w:rsid w:val="1F2533FE"/>
    <w:rsid w:val="1F2F6111"/>
    <w:rsid w:val="1F776F31"/>
    <w:rsid w:val="1F81104A"/>
    <w:rsid w:val="1F986F70"/>
    <w:rsid w:val="1FA213FF"/>
    <w:rsid w:val="1FE74446"/>
    <w:rsid w:val="20075BE8"/>
    <w:rsid w:val="20081198"/>
    <w:rsid w:val="200D1786"/>
    <w:rsid w:val="201044E2"/>
    <w:rsid w:val="202A40A9"/>
    <w:rsid w:val="203F3F27"/>
    <w:rsid w:val="20486782"/>
    <w:rsid w:val="20684BD2"/>
    <w:rsid w:val="20841A36"/>
    <w:rsid w:val="20B83463"/>
    <w:rsid w:val="20CB544E"/>
    <w:rsid w:val="20D51F33"/>
    <w:rsid w:val="20E41252"/>
    <w:rsid w:val="20EA0278"/>
    <w:rsid w:val="210545EA"/>
    <w:rsid w:val="21175AEB"/>
    <w:rsid w:val="211F672C"/>
    <w:rsid w:val="2130515F"/>
    <w:rsid w:val="21355DB9"/>
    <w:rsid w:val="213B25BD"/>
    <w:rsid w:val="214D2418"/>
    <w:rsid w:val="214E22CF"/>
    <w:rsid w:val="219A423A"/>
    <w:rsid w:val="21B9761C"/>
    <w:rsid w:val="21FD749A"/>
    <w:rsid w:val="220B7F0B"/>
    <w:rsid w:val="2228666C"/>
    <w:rsid w:val="225455FE"/>
    <w:rsid w:val="2254672B"/>
    <w:rsid w:val="226076E5"/>
    <w:rsid w:val="227332BD"/>
    <w:rsid w:val="228A64F0"/>
    <w:rsid w:val="22917736"/>
    <w:rsid w:val="22966C59"/>
    <w:rsid w:val="22AD2360"/>
    <w:rsid w:val="22B86D45"/>
    <w:rsid w:val="22C6291C"/>
    <w:rsid w:val="22D67DF5"/>
    <w:rsid w:val="22DB26BB"/>
    <w:rsid w:val="22FE33F9"/>
    <w:rsid w:val="23104DD0"/>
    <w:rsid w:val="23736488"/>
    <w:rsid w:val="23756255"/>
    <w:rsid w:val="23847F75"/>
    <w:rsid w:val="238F5D2E"/>
    <w:rsid w:val="23E231DB"/>
    <w:rsid w:val="23E3790D"/>
    <w:rsid w:val="24066FB4"/>
    <w:rsid w:val="242604B6"/>
    <w:rsid w:val="245A3C9B"/>
    <w:rsid w:val="247A72CB"/>
    <w:rsid w:val="251F61A7"/>
    <w:rsid w:val="25212425"/>
    <w:rsid w:val="25214718"/>
    <w:rsid w:val="254F4DAC"/>
    <w:rsid w:val="25573C2A"/>
    <w:rsid w:val="2579524A"/>
    <w:rsid w:val="25A44CDF"/>
    <w:rsid w:val="25BB1339"/>
    <w:rsid w:val="25DB498E"/>
    <w:rsid w:val="25E14C3C"/>
    <w:rsid w:val="260B7D56"/>
    <w:rsid w:val="261A7F80"/>
    <w:rsid w:val="261D76C7"/>
    <w:rsid w:val="262B6BA5"/>
    <w:rsid w:val="26380D40"/>
    <w:rsid w:val="26462E7B"/>
    <w:rsid w:val="26942FFE"/>
    <w:rsid w:val="26BD5DCC"/>
    <w:rsid w:val="26C43618"/>
    <w:rsid w:val="26D125D4"/>
    <w:rsid w:val="26D315AB"/>
    <w:rsid w:val="26EE7D79"/>
    <w:rsid w:val="26FE64D2"/>
    <w:rsid w:val="270000A3"/>
    <w:rsid w:val="27231852"/>
    <w:rsid w:val="27872C1D"/>
    <w:rsid w:val="27967869"/>
    <w:rsid w:val="279F20A1"/>
    <w:rsid w:val="27C26C0C"/>
    <w:rsid w:val="27C47BCD"/>
    <w:rsid w:val="27CF3940"/>
    <w:rsid w:val="27F1777F"/>
    <w:rsid w:val="28415DAF"/>
    <w:rsid w:val="2848403E"/>
    <w:rsid w:val="28534CC7"/>
    <w:rsid w:val="285C68C6"/>
    <w:rsid w:val="2862619B"/>
    <w:rsid w:val="286666B5"/>
    <w:rsid w:val="287F16DC"/>
    <w:rsid w:val="291038D3"/>
    <w:rsid w:val="29195862"/>
    <w:rsid w:val="293465F4"/>
    <w:rsid w:val="295139F9"/>
    <w:rsid w:val="295C7D1E"/>
    <w:rsid w:val="295D104C"/>
    <w:rsid w:val="299A1EFE"/>
    <w:rsid w:val="29BB3C70"/>
    <w:rsid w:val="29F76716"/>
    <w:rsid w:val="29FE4C20"/>
    <w:rsid w:val="2A1C4B42"/>
    <w:rsid w:val="2A461A00"/>
    <w:rsid w:val="2A526841"/>
    <w:rsid w:val="2A927AE9"/>
    <w:rsid w:val="2AE013C4"/>
    <w:rsid w:val="2AF240E7"/>
    <w:rsid w:val="2B1E540E"/>
    <w:rsid w:val="2B336409"/>
    <w:rsid w:val="2B5D374A"/>
    <w:rsid w:val="2B6F40AB"/>
    <w:rsid w:val="2B7D1903"/>
    <w:rsid w:val="2BD769AA"/>
    <w:rsid w:val="2BE867DE"/>
    <w:rsid w:val="2C126F23"/>
    <w:rsid w:val="2C301D85"/>
    <w:rsid w:val="2C5C3E0E"/>
    <w:rsid w:val="2C673595"/>
    <w:rsid w:val="2C6F2F91"/>
    <w:rsid w:val="2C8B2EBE"/>
    <w:rsid w:val="2CA41AAD"/>
    <w:rsid w:val="2CBD784E"/>
    <w:rsid w:val="2D0F011C"/>
    <w:rsid w:val="2D7366E1"/>
    <w:rsid w:val="2D80355B"/>
    <w:rsid w:val="2DE81B25"/>
    <w:rsid w:val="2E273A18"/>
    <w:rsid w:val="2E56250D"/>
    <w:rsid w:val="2E953036"/>
    <w:rsid w:val="2EA476C7"/>
    <w:rsid w:val="2EBA2863"/>
    <w:rsid w:val="2EBC266A"/>
    <w:rsid w:val="2F0974B4"/>
    <w:rsid w:val="2F2427C6"/>
    <w:rsid w:val="2F2D13BF"/>
    <w:rsid w:val="2F6E1B09"/>
    <w:rsid w:val="2FB344DB"/>
    <w:rsid w:val="2FC251C5"/>
    <w:rsid w:val="2FEE1AA4"/>
    <w:rsid w:val="2FF63FA8"/>
    <w:rsid w:val="302513B1"/>
    <w:rsid w:val="30437784"/>
    <w:rsid w:val="304406B6"/>
    <w:rsid w:val="30493046"/>
    <w:rsid w:val="305557A2"/>
    <w:rsid w:val="3056605C"/>
    <w:rsid w:val="30B34192"/>
    <w:rsid w:val="30E37FF0"/>
    <w:rsid w:val="30F26942"/>
    <w:rsid w:val="30F70011"/>
    <w:rsid w:val="31143E67"/>
    <w:rsid w:val="311A0404"/>
    <w:rsid w:val="3184093D"/>
    <w:rsid w:val="318A035C"/>
    <w:rsid w:val="319D12C3"/>
    <w:rsid w:val="31A74B17"/>
    <w:rsid w:val="31BD6652"/>
    <w:rsid w:val="31BF7BF7"/>
    <w:rsid w:val="31D53F13"/>
    <w:rsid w:val="321015FB"/>
    <w:rsid w:val="3229362A"/>
    <w:rsid w:val="32293DF3"/>
    <w:rsid w:val="322A6D80"/>
    <w:rsid w:val="32430109"/>
    <w:rsid w:val="32563766"/>
    <w:rsid w:val="325B2B9E"/>
    <w:rsid w:val="326A2B93"/>
    <w:rsid w:val="326C208D"/>
    <w:rsid w:val="32B057EA"/>
    <w:rsid w:val="32BC60A7"/>
    <w:rsid w:val="32C84B2E"/>
    <w:rsid w:val="32DB4E0E"/>
    <w:rsid w:val="33073FC8"/>
    <w:rsid w:val="33196C24"/>
    <w:rsid w:val="33581A03"/>
    <w:rsid w:val="337A3E72"/>
    <w:rsid w:val="33B2209F"/>
    <w:rsid w:val="33B74CDE"/>
    <w:rsid w:val="33B928A6"/>
    <w:rsid w:val="33CC574C"/>
    <w:rsid w:val="33D612A4"/>
    <w:rsid w:val="33ED7B1F"/>
    <w:rsid w:val="33FA196A"/>
    <w:rsid w:val="3411315F"/>
    <w:rsid w:val="34134BEF"/>
    <w:rsid w:val="34145B06"/>
    <w:rsid w:val="343E5052"/>
    <w:rsid w:val="34446A8C"/>
    <w:rsid w:val="34521A56"/>
    <w:rsid w:val="3457424D"/>
    <w:rsid w:val="34600E6E"/>
    <w:rsid w:val="348852A1"/>
    <w:rsid w:val="34EF36BF"/>
    <w:rsid w:val="35033E7C"/>
    <w:rsid w:val="3518676F"/>
    <w:rsid w:val="35253297"/>
    <w:rsid w:val="35445BF0"/>
    <w:rsid w:val="354D466A"/>
    <w:rsid w:val="355B20B3"/>
    <w:rsid w:val="355E745F"/>
    <w:rsid w:val="3561607B"/>
    <w:rsid w:val="357778F8"/>
    <w:rsid w:val="35810C58"/>
    <w:rsid w:val="35995BD6"/>
    <w:rsid w:val="35A23CB9"/>
    <w:rsid w:val="36162765"/>
    <w:rsid w:val="361D365C"/>
    <w:rsid w:val="36206B3D"/>
    <w:rsid w:val="36265AE4"/>
    <w:rsid w:val="363A185E"/>
    <w:rsid w:val="36531214"/>
    <w:rsid w:val="36855549"/>
    <w:rsid w:val="368A71F8"/>
    <w:rsid w:val="369E0EF6"/>
    <w:rsid w:val="36AB36F1"/>
    <w:rsid w:val="36B052CF"/>
    <w:rsid w:val="36B95EFA"/>
    <w:rsid w:val="36EB5B5C"/>
    <w:rsid w:val="37085392"/>
    <w:rsid w:val="371A3199"/>
    <w:rsid w:val="37457481"/>
    <w:rsid w:val="375E31F0"/>
    <w:rsid w:val="375E791B"/>
    <w:rsid w:val="377703A7"/>
    <w:rsid w:val="378873BF"/>
    <w:rsid w:val="37BD7DDF"/>
    <w:rsid w:val="37C061AF"/>
    <w:rsid w:val="37C204A6"/>
    <w:rsid w:val="37C24F10"/>
    <w:rsid w:val="37DD26B8"/>
    <w:rsid w:val="37E640D7"/>
    <w:rsid w:val="37F13AF8"/>
    <w:rsid w:val="37F51C53"/>
    <w:rsid w:val="38091218"/>
    <w:rsid w:val="38607858"/>
    <w:rsid w:val="386A0F99"/>
    <w:rsid w:val="386E7642"/>
    <w:rsid w:val="389153B5"/>
    <w:rsid w:val="38C22A7E"/>
    <w:rsid w:val="38CF0CDC"/>
    <w:rsid w:val="38E32FFF"/>
    <w:rsid w:val="38E802E6"/>
    <w:rsid w:val="38FB1500"/>
    <w:rsid w:val="39071B67"/>
    <w:rsid w:val="39175C11"/>
    <w:rsid w:val="39224F11"/>
    <w:rsid w:val="3955343C"/>
    <w:rsid w:val="3960278E"/>
    <w:rsid w:val="39612D0D"/>
    <w:rsid w:val="396B1CCE"/>
    <w:rsid w:val="398E625D"/>
    <w:rsid w:val="39957F50"/>
    <w:rsid w:val="399C171C"/>
    <w:rsid w:val="39AA42C1"/>
    <w:rsid w:val="39E83A5A"/>
    <w:rsid w:val="39F3485B"/>
    <w:rsid w:val="3A1376B0"/>
    <w:rsid w:val="3A1A4E71"/>
    <w:rsid w:val="3A305F5F"/>
    <w:rsid w:val="3A43428E"/>
    <w:rsid w:val="3AA22453"/>
    <w:rsid w:val="3AB24F6F"/>
    <w:rsid w:val="3AB764B1"/>
    <w:rsid w:val="3ABF7840"/>
    <w:rsid w:val="3AC328B9"/>
    <w:rsid w:val="3ACF550A"/>
    <w:rsid w:val="3AE5670A"/>
    <w:rsid w:val="3B2E0CA0"/>
    <w:rsid w:val="3B37322C"/>
    <w:rsid w:val="3B641BF0"/>
    <w:rsid w:val="3B721655"/>
    <w:rsid w:val="3B773270"/>
    <w:rsid w:val="3B947B1C"/>
    <w:rsid w:val="3C153A08"/>
    <w:rsid w:val="3C282E96"/>
    <w:rsid w:val="3CAC19F4"/>
    <w:rsid w:val="3CBD7C21"/>
    <w:rsid w:val="3CF24485"/>
    <w:rsid w:val="3CFD2D01"/>
    <w:rsid w:val="3D046180"/>
    <w:rsid w:val="3D297F36"/>
    <w:rsid w:val="3D5566FA"/>
    <w:rsid w:val="3D7039D2"/>
    <w:rsid w:val="3D7331CA"/>
    <w:rsid w:val="3D7F1373"/>
    <w:rsid w:val="3DA86969"/>
    <w:rsid w:val="3DD36319"/>
    <w:rsid w:val="3DDA73FC"/>
    <w:rsid w:val="3DEA0E8F"/>
    <w:rsid w:val="3E05017A"/>
    <w:rsid w:val="3E1A5755"/>
    <w:rsid w:val="3E6E4482"/>
    <w:rsid w:val="3E7618FA"/>
    <w:rsid w:val="3E7B2030"/>
    <w:rsid w:val="3EBC2C40"/>
    <w:rsid w:val="3EC9204D"/>
    <w:rsid w:val="3F3348D1"/>
    <w:rsid w:val="3F49162A"/>
    <w:rsid w:val="3F6126FB"/>
    <w:rsid w:val="3F63314B"/>
    <w:rsid w:val="3F6A1E6E"/>
    <w:rsid w:val="3F8D5BE5"/>
    <w:rsid w:val="3F972CBA"/>
    <w:rsid w:val="400A5153"/>
    <w:rsid w:val="401E2A26"/>
    <w:rsid w:val="40313B62"/>
    <w:rsid w:val="40340199"/>
    <w:rsid w:val="404A1581"/>
    <w:rsid w:val="4053561D"/>
    <w:rsid w:val="40A416C3"/>
    <w:rsid w:val="40A502F3"/>
    <w:rsid w:val="40CC37C8"/>
    <w:rsid w:val="40D048DF"/>
    <w:rsid w:val="40E0565D"/>
    <w:rsid w:val="40E06BFA"/>
    <w:rsid w:val="40F53037"/>
    <w:rsid w:val="41017AF4"/>
    <w:rsid w:val="41166258"/>
    <w:rsid w:val="41174C22"/>
    <w:rsid w:val="41246AA2"/>
    <w:rsid w:val="414B5806"/>
    <w:rsid w:val="41C262D0"/>
    <w:rsid w:val="41E33EDC"/>
    <w:rsid w:val="41E922D5"/>
    <w:rsid w:val="41F044D1"/>
    <w:rsid w:val="41FF7786"/>
    <w:rsid w:val="426F5805"/>
    <w:rsid w:val="427A0DB5"/>
    <w:rsid w:val="42983C5A"/>
    <w:rsid w:val="429F0D52"/>
    <w:rsid w:val="42C61DC7"/>
    <w:rsid w:val="42C942ED"/>
    <w:rsid w:val="42CF3A15"/>
    <w:rsid w:val="42DB7E92"/>
    <w:rsid w:val="42DF397A"/>
    <w:rsid w:val="43103410"/>
    <w:rsid w:val="431C567C"/>
    <w:rsid w:val="433C261E"/>
    <w:rsid w:val="43482915"/>
    <w:rsid w:val="435833B8"/>
    <w:rsid w:val="43750A80"/>
    <w:rsid w:val="437F3405"/>
    <w:rsid w:val="4390415B"/>
    <w:rsid w:val="43B1724E"/>
    <w:rsid w:val="43BE409B"/>
    <w:rsid w:val="43D97B7C"/>
    <w:rsid w:val="43F9794F"/>
    <w:rsid w:val="444D4548"/>
    <w:rsid w:val="44531B89"/>
    <w:rsid w:val="445A2079"/>
    <w:rsid w:val="44765291"/>
    <w:rsid w:val="447C4669"/>
    <w:rsid w:val="448907C0"/>
    <w:rsid w:val="44E4722C"/>
    <w:rsid w:val="44E4748A"/>
    <w:rsid w:val="450D6521"/>
    <w:rsid w:val="4537152D"/>
    <w:rsid w:val="45482A0E"/>
    <w:rsid w:val="4548351D"/>
    <w:rsid w:val="454A4A52"/>
    <w:rsid w:val="456D1381"/>
    <w:rsid w:val="456E2FF9"/>
    <w:rsid w:val="45853583"/>
    <w:rsid w:val="45AD7AAF"/>
    <w:rsid w:val="45D54996"/>
    <w:rsid w:val="45F53761"/>
    <w:rsid w:val="460162E2"/>
    <w:rsid w:val="460B6FFA"/>
    <w:rsid w:val="462B5D05"/>
    <w:rsid w:val="462C5B9A"/>
    <w:rsid w:val="46526D28"/>
    <w:rsid w:val="466C5BDD"/>
    <w:rsid w:val="467A08BB"/>
    <w:rsid w:val="46B02CAC"/>
    <w:rsid w:val="46B27839"/>
    <w:rsid w:val="46B7187E"/>
    <w:rsid w:val="46BC1650"/>
    <w:rsid w:val="46D71FE6"/>
    <w:rsid w:val="46D9282A"/>
    <w:rsid w:val="471774D0"/>
    <w:rsid w:val="47213261"/>
    <w:rsid w:val="4722660E"/>
    <w:rsid w:val="47370DB9"/>
    <w:rsid w:val="474437B8"/>
    <w:rsid w:val="47473481"/>
    <w:rsid w:val="47F605E0"/>
    <w:rsid w:val="48187985"/>
    <w:rsid w:val="481A362E"/>
    <w:rsid w:val="4822043E"/>
    <w:rsid w:val="482C230B"/>
    <w:rsid w:val="483076CD"/>
    <w:rsid w:val="483F0499"/>
    <w:rsid w:val="48544E55"/>
    <w:rsid w:val="48557468"/>
    <w:rsid w:val="48564DC8"/>
    <w:rsid w:val="48711E42"/>
    <w:rsid w:val="487830F3"/>
    <w:rsid w:val="488C6E00"/>
    <w:rsid w:val="48D7670B"/>
    <w:rsid w:val="48E70A52"/>
    <w:rsid w:val="48FA1296"/>
    <w:rsid w:val="496C3531"/>
    <w:rsid w:val="49764A58"/>
    <w:rsid w:val="49D00811"/>
    <w:rsid w:val="49D41AA0"/>
    <w:rsid w:val="49EA1F85"/>
    <w:rsid w:val="4A0F01ED"/>
    <w:rsid w:val="4A187B9C"/>
    <w:rsid w:val="4A8217DA"/>
    <w:rsid w:val="4AAE4FC7"/>
    <w:rsid w:val="4AC9458D"/>
    <w:rsid w:val="4ACB0C41"/>
    <w:rsid w:val="4B006A5E"/>
    <w:rsid w:val="4B0E0E93"/>
    <w:rsid w:val="4B6052BB"/>
    <w:rsid w:val="4B8D047F"/>
    <w:rsid w:val="4B955DD5"/>
    <w:rsid w:val="4B97696D"/>
    <w:rsid w:val="4B9B2242"/>
    <w:rsid w:val="4BB41A95"/>
    <w:rsid w:val="4BB84DDD"/>
    <w:rsid w:val="4BD021A8"/>
    <w:rsid w:val="4BD93AB3"/>
    <w:rsid w:val="4BE3441A"/>
    <w:rsid w:val="4BE97FE1"/>
    <w:rsid w:val="4BFB1519"/>
    <w:rsid w:val="4C0D4CE7"/>
    <w:rsid w:val="4C217503"/>
    <w:rsid w:val="4C2674A9"/>
    <w:rsid w:val="4C605C0C"/>
    <w:rsid w:val="4C9065A1"/>
    <w:rsid w:val="4CA41D1E"/>
    <w:rsid w:val="4D032D39"/>
    <w:rsid w:val="4D085C18"/>
    <w:rsid w:val="4D147255"/>
    <w:rsid w:val="4D2301D4"/>
    <w:rsid w:val="4D337A52"/>
    <w:rsid w:val="4D5831B4"/>
    <w:rsid w:val="4D7808E2"/>
    <w:rsid w:val="4DBD0245"/>
    <w:rsid w:val="4DD74C2E"/>
    <w:rsid w:val="4DF07841"/>
    <w:rsid w:val="4E314CF4"/>
    <w:rsid w:val="4E337D4C"/>
    <w:rsid w:val="4E3F5A59"/>
    <w:rsid w:val="4E417E90"/>
    <w:rsid w:val="4E497850"/>
    <w:rsid w:val="4E546F22"/>
    <w:rsid w:val="4E5C54C6"/>
    <w:rsid w:val="4E8F7CF4"/>
    <w:rsid w:val="4EB46E2B"/>
    <w:rsid w:val="4EE10922"/>
    <w:rsid w:val="4F292DFC"/>
    <w:rsid w:val="4F3B47E8"/>
    <w:rsid w:val="4F3E5B72"/>
    <w:rsid w:val="4F882F35"/>
    <w:rsid w:val="4F9C74D5"/>
    <w:rsid w:val="4FA62E9D"/>
    <w:rsid w:val="50010753"/>
    <w:rsid w:val="50090D09"/>
    <w:rsid w:val="500B71A4"/>
    <w:rsid w:val="50420E91"/>
    <w:rsid w:val="50583096"/>
    <w:rsid w:val="50755E6C"/>
    <w:rsid w:val="50795EBC"/>
    <w:rsid w:val="50AB1A62"/>
    <w:rsid w:val="50AF72DB"/>
    <w:rsid w:val="50B2234E"/>
    <w:rsid w:val="50B357AB"/>
    <w:rsid w:val="50C335DB"/>
    <w:rsid w:val="50C63C47"/>
    <w:rsid w:val="50ED11C4"/>
    <w:rsid w:val="51183C80"/>
    <w:rsid w:val="511C22AE"/>
    <w:rsid w:val="512C1FE1"/>
    <w:rsid w:val="51456CD1"/>
    <w:rsid w:val="51C7704D"/>
    <w:rsid w:val="51E85D3A"/>
    <w:rsid w:val="52180956"/>
    <w:rsid w:val="52297E55"/>
    <w:rsid w:val="522A7FC1"/>
    <w:rsid w:val="523B63BA"/>
    <w:rsid w:val="524775A1"/>
    <w:rsid w:val="525A6DC5"/>
    <w:rsid w:val="528E3240"/>
    <w:rsid w:val="52C46D79"/>
    <w:rsid w:val="52DD37A9"/>
    <w:rsid w:val="52F6668E"/>
    <w:rsid w:val="531243A6"/>
    <w:rsid w:val="53285977"/>
    <w:rsid w:val="53372935"/>
    <w:rsid w:val="53471890"/>
    <w:rsid w:val="53560736"/>
    <w:rsid w:val="539A2957"/>
    <w:rsid w:val="53A5652C"/>
    <w:rsid w:val="53C646E4"/>
    <w:rsid w:val="53C876EF"/>
    <w:rsid w:val="53D11D66"/>
    <w:rsid w:val="53D13CC2"/>
    <w:rsid w:val="53DE45D6"/>
    <w:rsid w:val="53FE3F51"/>
    <w:rsid w:val="5413229B"/>
    <w:rsid w:val="542E1799"/>
    <w:rsid w:val="544E1439"/>
    <w:rsid w:val="549C3D50"/>
    <w:rsid w:val="54A07F9F"/>
    <w:rsid w:val="54A85C20"/>
    <w:rsid w:val="55054AAE"/>
    <w:rsid w:val="55094989"/>
    <w:rsid w:val="551C7020"/>
    <w:rsid w:val="552A1E7A"/>
    <w:rsid w:val="55362244"/>
    <w:rsid w:val="554E1AE0"/>
    <w:rsid w:val="555D0434"/>
    <w:rsid w:val="55826103"/>
    <w:rsid w:val="5586310C"/>
    <w:rsid w:val="558A20A7"/>
    <w:rsid w:val="55E71A57"/>
    <w:rsid w:val="561D3112"/>
    <w:rsid w:val="562422F7"/>
    <w:rsid w:val="564E4C07"/>
    <w:rsid w:val="5657153E"/>
    <w:rsid w:val="5695591B"/>
    <w:rsid w:val="56A428CB"/>
    <w:rsid w:val="56CC0D48"/>
    <w:rsid w:val="56D55E16"/>
    <w:rsid w:val="56D90887"/>
    <w:rsid w:val="56ED576B"/>
    <w:rsid w:val="56F541D8"/>
    <w:rsid w:val="56F90C53"/>
    <w:rsid w:val="56F97FFA"/>
    <w:rsid w:val="56FC38DD"/>
    <w:rsid w:val="570566FB"/>
    <w:rsid w:val="570B2FCA"/>
    <w:rsid w:val="57104C56"/>
    <w:rsid w:val="5712706A"/>
    <w:rsid w:val="573D34C9"/>
    <w:rsid w:val="575042AD"/>
    <w:rsid w:val="575E5568"/>
    <w:rsid w:val="577F1FDA"/>
    <w:rsid w:val="579C1EFF"/>
    <w:rsid w:val="57A94647"/>
    <w:rsid w:val="57BC69D1"/>
    <w:rsid w:val="57CA5A3E"/>
    <w:rsid w:val="57F50615"/>
    <w:rsid w:val="58033C1C"/>
    <w:rsid w:val="581B7518"/>
    <w:rsid w:val="582676AE"/>
    <w:rsid w:val="587670CA"/>
    <w:rsid w:val="588A08E5"/>
    <w:rsid w:val="58B95791"/>
    <w:rsid w:val="58C46BFB"/>
    <w:rsid w:val="58DB5A41"/>
    <w:rsid w:val="591C178D"/>
    <w:rsid w:val="59323D77"/>
    <w:rsid w:val="59BA1FB8"/>
    <w:rsid w:val="59FA4F0F"/>
    <w:rsid w:val="5A054FE1"/>
    <w:rsid w:val="5A1427BB"/>
    <w:rsid w:val="5A3202AD"/>
    <w:rsid w:val="5A3A638A"/>
    <w:rsid w:val="5A7D67B6"/>
    <w:rsid w:val="5A967F18"/>
    <w:rsid w:val="5B346C04"/>
    <w:rsid w:val="5B43671B"/>
    <w:rsid w:val="5B800CC5"/>
    <w:rsid w:val="5B834D61"/>
    <w:rsid w:val="5B9242D5"/>
    <w:rsid w:val="5BA070AD"/>
    <w:rsid w:val="5BA37FCD"/>
    <w:rsid w:val="5BAD5E9A"/>
    <w:rsid w:val="5BD8785A"/>
    <w:rsid w:val="5BF37E30"/>
    <w:rsid w:val="5C002948"/>
    <w:rsid w:val="5C076A71"/>
    <w:rsid w:val="5C3D0E1E"/>
    <w:rsid w:val="5C401F83"/>
    <w:rsid w:val="5C6F7091"/>
    <w:rsid w:val="5CA912E9"/>
    <w:rsid w:val="5CB30B19"/>
    <w:rsid w:val="5CE1795D"/>
    <w:rsid w:val="5D056076"/>
    <w:rsid w:val="5D120EB2"/>
    <w:rsid w:val="5D1A0A26"/>
    <w:rsid w:val="5D25114A"/>
    <w:rsid w:val="5D2577C8"/>
    <w:rsid w:val="5D31207E"/>
    <w:rsid w:val="5D354B81"/>
    <w:rsid w:val="5D456B91"/>
    <w:rsid w:val="5D5749EC"/>
    <w:rsid w:val="5D7E0FB5"/>
    <w:rsid w:val="5D887628"/>
    <w:rsid w:val="5D9D5E1D"/>
    <w:rsid w:val="5DA55487"/>
    <w:rsid w:val="5DA56B37"/>
    <w:rsid w:val="5DAA2507"/>
    <w:rsid w:val="5DBC05BA"/>
    <w:rsid w:val="5DE522FA"/>
    <w:rsid w:val="5E1F5AE8"/>
    <w:rsid w:val="5E822A4A"/>
    <w:rsid w:val="5E847F27"/>
    <w:rsid w:val="5E8F1669"/>
    <w:rsid w:val="5E985640"/>
    <w:rsid w:val="5EB23D46"/>
    <w:rsid w:val="5EC956D2"/>
    <w:rsid w:val="5ECE3E1C"/>
    <w:rsid w:val="5ED722CD"/>
    <w:rsid w:val="5F08597F"/>
    <w:rsid w:val="5F243F29"/>
    <w:rsid w:val="5F530D56"/>
    <w:rsid w:val="5F757C38"/>
    <w:rsid w:val="5F7808AE"/>
    <w:rsid w:val="5F7F6ECA"/>
    <w:rsid w:val="5F8F4D1C"/>
    <w:rsid w:val="5F974711"/>
    <w:rsid w:val="5FAB4A66"/>
    <w:rsid w:val="5FB34922"/>
    <w:rsid w:val="5FFB42B6"/>
    <w:rsid w:val="600532C8"/>
    <w:rsid w:val="600B2286"/>
    <w:rsid w:val="600D20FE"/>
    <w:rsid w:val="6035290D"/>
    <w:rsid w:val="60371E35"/>
    <w:rsid w:val="60514499"/>
    <w:rsid w:val="60515232"/>
    <w:rsid w:val="60A223A0"/>
    <w:rsid w:val="60A87B16"/>
    <w:rsid w:val="60AC2370"/>
    <w:rsid w:val="60B345D4"/>
    <w:rsid w:val="60D55677"/>
    <w:rsid w:val="612D212E"/>
    <w:rsid w:val="61685397"/>
    <w:rsid w:val="617B0AAB"/>
    <w:rsid w:val="617C773A"/>
    <w:rsid w:val="61A22D98"/>
    <w:rsid w:val="61AD128D"/>
    <w:rsid w:val="61B32C73"/>
    <w:rsid w:val="61C138E8"/>
    <w:rsid w:val="61DA3224"/>
    <w:rsid w:val="61E569E0"/>
    <w:rsid w:val="61FB4C75"/>
    <w:rsid w:val="61FD78BE"/>
    <w:rsid w:val="62024C5F"/>
    <w:rsid w:val="621C0D9D"/>
    <w:rsid w:val="62297241"/>
    <w:rsid w:val="62485DF8"/>
    <w:rsid w:val="625A0317"/>
    <w:rsid w:val="62651044"/>
    <w:rsid w:val="629E6C38"/>
    <w:rsid w:val="62A56FE4"/>
    <w:rsid w:val="62F241B7"/>
    <w:rsid w:val="62F86379"/>
    <w:rsid w:val="63045A1F"/>
    <w:rsid w:val="63053D62"/>
    <w:rsid w:val="634B4E22"/>
    <w:rsid w:val="634E7139"/>
    <w:rsid w:val="635A5C6C"/>
    <w:rsid w:val="636B5EBC"/>
    <w:rsid w:val="63C060A2"/>
    <w:rsid w:val="63CA40E4"/>
    <w:rsid w:val="63CA5585"/>
    <w:rsid w:val="63FA178C"/>
    <w:rsid w:val="64207F1F"/>
    <w:rsid w:val="64264F51"/>
    <w:rsid w:val="642E437A"/>
    <w:rsid w:val="645B3B68"/>
    <w:rsid w:val="64606C85"/>
    <w:rsid w:val="64757075"/>
    <w:rsid w:val="64823939"/>
    <w:rsid w:val="648B3FB8"/>
    <w:rsid w:val="649E6D36"/>
    <w:rsid w:val="64C25C2B"/>
    <w:rsid w:val="64DF2B43"/>
    <w:rsid w:val="652248D5"/>
    <w:rsid w:val="652A1AB9"/>
    <w:rsid w:val="655F37A1"/>
    <w:rsid w:val="657123B4"/>
    <w:rsid w:val="657A284A"/>
    <w:rsid w:val="658C0F97"/>
    <w:rsid w:val="65AE1BAE"/>
    <w:rsid w:val="65B356E8"/>
    <w:rsid w:val="662B038E"/>
    <w:rsid w:val="662F30D7"/>
    <w:rsid w:val="664A2E5F"/>
    <w:rsid w:val="664D5EC2"/>
    <w:rsid w:val="665D1F28"/>
    <w:rsid w:val="668E2661"/>
    <w:rsid w:val="669F2AF3"/>
    <w:rsid w:val="66AF21DF"/>
    <w:rsid w:val="66BF4765"/>
    <w:rsid w:val="67003A73"/>
    <w:rsid w:val="672A36DE"/>
    <w:rsid w:val="67386876"/>
    <w:rsid w:val="67506908"/>
    <w:rsid w:val="67531E2F"/>
    <w:rsid w:val="675B4115"/>
    <w:rsid w:val="67600D1D"/>
    <w:rsid w:val="67762910"/>
    <w:rsid w:val="67763D4A"/>
    <w:rsid w:val="677C4A49"/>
    <w:rsid w:val="67A01F82"/>
    <w:rsid w:val="67EB1AD0"/>
    <w:rsid w:val="67EC7F14"/>
    <w:rsid w:val="67F02A53"/>
    <w:rsid w:val="67FA6AA3"/>
    <w:rsid w:val="680B3267"/>
    <w:rsid w:val="681637FC"/>
    <w:rsid w:val="682E158C"/>
    <w:rsid w:val="68387955"/>
    <w:rsid w:val="683A528F"/>
    <w:rsid w:val="687C69C4"/>
    <w:rsid w:val="68AC2CF6"/>
    <w:rsid w:val="68D54792"/>
    <w:rsid w:val="68D82D9A"/>
    <w:rsid w:val="68DF5B68"/>
    <w:rsid w:val="690A0C77"/>
    <w:rsid w:val="690D6D80"/>
    <w:rsid w:val="691728C7"/>
    <w:rsid w:val="693E04B9"/>
    <w:rsid w:val="69400D4D"/>
    <w:rsid w:val="69625C3B"/>
    <w:rsid w:val="696B5D3C"/>
    <w:rsid w:val="6991631B"/>
    <w:rsid w:val="69960D5D"/>
    <w:rsid w:val="699A31AB"/>
    <w:rsid w:val="699E685E"/>
    <w:rsid w:val="69A5583E"/>
    <w:rsid w:val="69D97F33"/>
    <w:rsid w:val="69E770D3"/>
    <w:rsid w:val="69FB511C"/>
    <w:rsid w:val="6A000436"/>
    <w:rsid w:val="6A0831BB"/>
    <w:rsid w:val="6A1663A2"/>
    <w:rsid w:val="6A212E7F"/>
    <w:rsid w:val="6A2E54CF"/>
    <w:rsid w:val="6A37458A"/>
    <w:rsid w:val="6A376637"/>
    <w:rsid w:val="6A39356C"/>
    <w:rsid w:val="6A8D7902"/>
    <w:rsid w:val="6AB71EF6"/>
    <w:rsid w:val="6AE830B6"/>
    <w:rsid w:val="6B114811"/>
    <w:rsid w:val="6B3029F3"/>
    <w:rsid w:val="6B534677"/>
    <w:rsid w:val="6B6A0368"/>
    <w:rsid w:val="6B6F6251"/>
    <w:rsid w:val="6B8E2363"/>
    <w:rsid w:val="6B9246C9"/>
    <w:rsid w:val="6B976A45"/>
    <w:rsid w:val="6BAD4363"/>
    <w:rsid w:val="6BB3513A"/>
    <w:rsid w:val="6BC534C0"/>
    <w:rsid w:val="6BD44496"/>
    <w:rsid w:val="6BD66A37"/>
    <w:rsid w:val="6BDC1080"/>
    <w:rsid w:val="6BE547CB"/>
    <w:rsid w:val="6C1A54A7"/>
    <w:rsid w:val="6C1C48C2"/>
    <w:rsid w:val="6C6C1677"/>
    <w:rsid w:val="6C7960AB"/>
    <w:rsid w:val="6C7D3B93"/>
    <w:rsid w:val="6C8113CB"/>
    <w:rsid w:val="6C884F7A"/>
    <w:rsid w:val="6C973CB0"/>
    <w:rsid w:val="6C9C7F3A"/>
    <w:rsid w:val="6CC13187"/>
    <w:rsid w:val="6CE35466"/>
    <w:rsid w:val="6CEE3336"/>
    <w:rsid w:val="6CF273C5"/>
    <w:rsid w:val="6D1A140C"/>
    <w:rsid w:val="6D1B431A"/>
    <w:rsid w:val="6D204ADF"/>
    <w:rsid w:val="6D312F3A"/>
    <w:rsid w:val="6D3A00F9"/>
    <w:rsid w:val="6D4806C8"/>
    <w:rsid w:val="6D65184A"/>
    <w:rsid w:val="6D6D2C0B"/>
    <w:rsid w:val="6D802707"/>
    <w:rsid w:val="6D9253F2"/>
    <w:rsid w:val="6DA91A9D"/>
    <w:rsid w:val="6DAA6FEF"/>
    <w:rsid w:val="6DBA4C92"/>
    <w:rsid w:val="6DEE1886"/>
    <w:rsid w:val="6DEF7330"/>
    <w:rsid w:val="6E196034"/>
    <w:rsid w:val="6E1D034A"/>
    <w:rsid w:val="6E516D5B"/>
    <w:rsid w:val="6E7D5335"/>
    <w:rsid w:val="6EF14839"/>
    <w:rsid w:val="6F26561E"/>
    <w:rsid w:val="6F462634"/>
    <w:rsid w:val="6F5527FB"/>
    <w:rsid w:val="6F684E41"/>
    <w:rsid w:val="6F6C36F5"/>
    <w:rsid w:val="6F9F0634"/>
    <w:rsid w:val="6FAD572A"/>
    <w:rsid w:val="6FC92EBD"/>
    <w:rsid w:val="6FDF4E7E"/>
    <w:rsid w:val="7026759E"/>
    <w:rsid w:val="70364BD5"/>
    <w:rsid w:val="70704013"/>
    <w:rsid w:val="70B86D64"/>
    <w:rsid w:val="70D56AB2"/>
    <w:rsid w:val="70EF5549"/>
    <w:rsid w:val="70F52DB1"/>
    <w:rsid w:val="70FD7FEB"/>
    <w:rsid w:val="711C7FB1"/>
    <w:rsid w:val="7123178A"/>
    <w:rsid w:val="71474634"/>
    <w:rsid w:val="715C1A0D"/>
    <w:rsid w:val="71670655"/>
    <w:rsid w:val="718E1589"/>
    <w:rsid w:val="719055C6"/>
    <w:rsid w:val="71966EF5"/>
    <w:rsid w:val="71A5106C"/>
    <w:rsid w:val="71AE3EAF"/>
    <w:rsid w:val="71D3089A"/>
    <w:rsid w:val="720B64A8"/>
    <w:rsid w:val="721675B7"/>
    <w:rsid w:val="722B16C9"/>
    <w:rsid w:val="72477CBE"/>
    <w:rsid w:val="72684D25"/>
    <w:rsid w:val="728F1DA7"/>
    <w:rsid w:val="72A352B0"/>
    <w:rsid w:val="72B648F6"/>
    <w:rsid w:val="72C5363D"/>
    <w:rsid w:val="72F8742B"/>
    <w:rsid w:val="732A0A91"/>
    <w:rsid w:val="73376B76"/>
    <w:rsid w:val="7338355D"/>
    <w:rsid w:val="7361609C"/>
    <w:rsid w:val="73627E32"/>
    <w:rsid w:val="7363305A"/>
    <w:rsid w:val="73823E65"/>
    <w:rsid w:val="738F426C"/>
    <w:rsid w:val="73994D87"/>
    <w:rsid w:val="73A03418"/>
    <w:rsid w:val="73A70A92"/>
    <w:rsid w:val="73F13ABA"/>
    <w:rsid w:val="74052759"/>
    <w:rsid w:val="74341EB6"/>
    <w:rsid w:val="744B61C8"/>
    <w:rsid w:val="745B0678"/>
    <w:rsid w:val="74781549"/>
    <w:rsid w:val="7484505F"/>
    <w:rsid w:val="74B6604D"/>
    <w:rsid w:val="74E527D3"/>
    <w:rsid w:val="74EE250C"/>
    <w:rsid w:val="74F547DE"/>
    <w:rsid w:val="74F57659"/>
    <w:rsid w:val="74FC2C05"/>
    <w:rsid w:val="75682F59"/>
    <w:rsid w:val="757645E6"/>
    <w:rsid w:val="75BF55E8"/>
    <w:rsid w:val="75CE7E20"/>
    <w:rsid w:val="75DE03EB"/>
    <w:rsid w:val="765F0D69"/>
    <w:rsid w:val="766005C6"/>
    <w:rsid w:val="767D1A7A"/>
    <w:rsid w:val="769000E8"/>
    <w:rsid w:val="76B6732A"/>
    <w:rsid w:val="76C1068E"/>
    <w:rsid w:val="76C318DA"/>
    <w:rsid w:val="76F315A3"/>
    <w:rsid w:val="77493659"/>
    <w:rsid w:val="77DD0911"/>
    <w:rsid w:val="77F02C20"/>
    <w:rsid w:val="78010DC2"/>
    <w:rsid w:val="78372EEC"/>
    <w:rsid w:val="7846054D"/>
    <w:rsid w:val="78846CF5"/>
    <w:rsid w:val="788C4EE8"/>
    <w:rsid w:val="78A52E33"/>
    <w:rsid w:val="78BE53A7"/>
    <w:rsid w:val="78C41E6C"/>
    <w:rsid w:val="78FE5CEA"/>
    <w:rsid w:val="793821A5"/>
    <w:rsid w:val="79B75EA3"/>
    <w:rsid w:val="79D7223F"/>
    <w:rsid w:val="79F67086"/>
    <w:rsid w:val="7A2B119E"/>
    <w:rsid w:val="7A4F7F19"/>
    <w:rsid w:val="7A785130"/>
    <w:rsid w:val="7A7E4CD5"/>
    <w:rsid w:val="7A974DE1"/>
    <w:rsid w:val="7AA2418C"/>
    <w:rsid w:val="7AA31C11"/>
    <w:rsid w:val="7AB928EB"/>
    <w:rsid w:val="7ADA5FD2"/>
    <w:rsid w:val="7ADB0D4B"/>
    <w:rsid w:val="7AED7EAE"/>
    <w:rsid w:val="7B05215F"/>
    <w:rsid w:val="7B13526E"/>
    <w:rsid w:val="7B2C57EF"/>
    <w:rsid w:val="7B384B5D"/>
    <w:rsid w:val="7B4508AD"/>
    <w:rsid w:val="7B5B4C8B"/>
    <w:rsid w:val="7B656EB9"/>
    <w:rsid w:val="7B910D5D"/>
    <w:rsid w:val="7BA5334A"/>
    <w:rsid w:val="7BB32E10"/>
    <w:rsid w:val="7BBA0FB3"/>
    <w:rsid w:val="7C0C4DFD"/>
    <w:rsid w:val="7C0E48E3"/>
    <w:rsid w:val="7C3E7E36"/>
    <w:rsid w:val="7C417FE9"/>
    <w:rsid w:val="7C533FE0"/>
    <w:rsid w:val="7CAA74E1"/>
    <w:rsid w:val="7CFB7B78"/>
    <w:rsid w:val="7D3F2FEA"/>
    <w:rsid w:val="7D751253"/>
    <w:rsid w:val="7D911A3D"/>
    <w:rsid w:val="7D92387D"/>
    <w:rsid w:val="7D983576"/>
    <w:rsid w:val="7DA34B71"/>
    <w:rsid w:val="7DA60AE7"/>
    <w:rsid w:val="7DA908E3"/>
    <w:rsid w:val="7E152E18"/>
    <w:rsid w:val="7E2F3454"/>
    <w:rsid w:val="7E657767"/>
    <w:rsid w:val="7E6E0110"/>
    <w:rsid w:val="7E7146EC"/>
    <w:rsid w:val="7E8A54C7"/>
    <w:rsid w:val="7EE15027"/>
    <w:rsid w:val="7EF0118F"/>
    <w:rsid w:val="7EF62354"/>
    <w:rsid w:val="7F132354"/>
    <w:rsid w:val="7F1C2150"/>
    <w:rsid w:val="7F1F593C"/>
    <w:rsid w:val="7F3E6D8A"/>
    <w:rsid w:val="7F4A46F4"/>
    <w:rsid w:val="7F740198"/>
    <w:rsid w:val="7F911CC9"/>
    <w:rsid w:val="7F9366B2"/>
    <w:rsid w:val="7FA409EF"/>
    <w:rsid w:val="7FE16D34"/>
    <w:rsid w:val="7FE358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480" w:lineRule="auto"/>
      <w:jc w:val="center"/>
      <w:outlineLvl w:val="0"/>
    </w:pPr>
    <w:rPr>
      <w:b/>
      <w:bCs/>
      <w:kern w:val="44"/>
      <w:sz w:val="36"/>
      <w:szCs w:val="44"/>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5"/>
    <w:link w:val="48"/>
    <w:qFormat/>
    <w:uiPriority w:val="0"/>
    <w:pPr>
      <w:keepNext/>
      <w:keepLines/>
      <w:outlineLvl w:val="2"/>
    </w:pPr>
    <w:rPr>
      <w:rFonts w:ascii="Calibri" w:hAnsi="Calibri"/>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30">
    <w:name w:val="Default Paragraph Font"/>
    <w:unhideWhenUsed/>
    <w:qFormat/>
    <w:uiPriority w:val="1"/>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toc 7"/>
    <w:basedOn w:val="1"/>
    <w:next w:val="1"/>
    <w:qFormat/>
    <w:uiPriority w:val="0"/>
    <w:pPr>
      <w:ind w:left="2520" w:leftChars="1200"/>
    </w:pPr>
  </w:style>
  <w:style w:type="paragraph" w:styleId="8">
    <w:name w:val="Body Text First Indent"/>
    <w:basedOn w:val="9"/>
    <w:qFormat/>
    <w:uiPriority w:val="0"/>
    <w:pPr>
      <w:ind w:firstLine="420" w:firstLineChars="100"/>
    </w:pPr>
  </w:style>
  <w:style w:type="paragraph" w:styleId="9">
    <w:name w:val="Body Text"/>
    <w:basedOn w:val="1"/>
    <w:next w:val="10"/>
    <w:qFormat/>
    <w:uiPriority w:val="0"/>
  </w:style>
  <w:style w:type="paragraph" w:styleId="10">
    <w:name w:val="Body Text First Indent 2"/>
    <w:basedOn w:val="11"/>
    <w:unhideWhenUsed/>
    <w:qFormat/>
    <w:uiPriority w:val="99"/>
    <w:pPr>
      <w:ind w:firstLine="420" w:firstLineChars="200"/>
    </w:p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2940"/>
    </w:pPr>
  </w:style>
  <w:style w:type="paragraph" w:styleId="15">
    <w:name w:val="annotation text"/>
    <w:basedOn w:val="1"/>
    <w:qFormat/>
    <w:uiPriority w:val="0"/>
    <w:pPr>
      <w:jc w:val="left"/>
    </w:pPr>
  </w:style>
  <w:style w:type="paragraph" w:styleId="16">
    <w:name w:val="Block Text"/>
    <w:basedOn w:val="1"/>
    <w:qFormat/>
    <w:uiPriority w:val="0"/>
    <w:pPr>
      <w:adjustRightInd w:val="0"/>
      <w:ind w:left="420" w:right="33"/>
      <w:jc w:val="left"/>
      <w:textAlignment w:val="baseline"/>
    </w:pPr>
    <w:rPr>
      <w:kern w:val="0"/>
      <w:szCs w:val="20"/>
    </w:rPr>
  </w:style>
  <w:style w:type="paragraph" w:styleId="17">
    <w:name w:val="toc 5"/>
    <w:basedOn w:val="1"/>
    <w:next w:val="1"/>
    <w:qFormat/>
    <w:uiPriority w:val="0"/>
    <w:pPr>
      <w:ind w:left="1680" w:leftChars="800"/>
    </w:pPr>
  </w:style>
  <w:style w:type="paragraph" w:styleId="18">
    <w:name w:val="toc 3"/>
    <w:basedOn w:val="1"/>
    <w:next w:val="1"/>
    <w:unhideWhenUsed/>
    <w:qFormat/>
    <w:uiPriority w:val="39"/>
    <w:pPr>
      <w:ind w:left="840" w:leftChars="400"/>
    </w:pPr>
  </w:style>
  <w:style w:type="paragraph" w:styleId="19">
    <w:name w:val="Plain Text"/>
    <w:basedOn w:val="1"/>
    <w:next w:val="14"/>
    <w:qFormat/>
    <w:uiPriority w:val="99"/>
    <w:rPr>
      <w:rFonts w:ascii="宋体" w:hAnsi="Courier New"/>
      <w:szCs w:val="20"/>
    </w:rPr>
  </w:style>
  <w:style w:type="paragraph" w:styleId="20">
    <w:name w:val="toc 8"/>
    <w:basedOn w:val="1"/>
    <w:next w:val="1"/>
    <w:qFormat/>
    <w:uiPriority w:val="0"/>
    <w:pPr>
      <w:ind w:left="2940" w:leftChars="1400"/>
    </w:pPr>
  </w:style>
  <w:style w:type="paragraph" w:styleId="21">
    <w:name w:val="footer"/>
    <w:basedOn w:val="1"/>
    <w:next w:val="1"/>
    <w:qFormat/>
    <w:uiPriority w:val="99"/>
    <w:pPr>
      <w:tabs>
        <w:tab w:val="center" w:pos="4153"/>
        <w:tab w:val="right" w:pos="8306"/>
      </w:tabs>
      <w:snapToGrid w:val="0"/>
      <w:jc w:val="left"/>
    </w:pPr>
    <w:rPr>
      <w:sz w:val="18"/>
      <w:szCs w:val="18"/>
    </w:rPr>
  </w:style>
  <w:style w:type="paragraph" w:styleId="2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toc 2"/>
    <w:basedOn w:val="1"/>
    <w:next w:val="1"/>
    <w:unhideWhenUsed/>
    <w:qFormat/>
    <w:uiPriority w:val="39"/>
    <w:pPr>
      <w:ind w:left="420" w:leftChars="200"/>
    </w:pPr>
  </w:style>
  <w:style w:type="paragraph" w:styleId="27">
    <w:name w:val="toc 9"/>
    <w:basedOn w:val="1"/>
    <w:next w:val="1"/>
    <w:qFormat/>
    <w:uiPriority w:val="0"/>
    <w:pPr>
      <w:ind w:left="3360" w:leftChars="1600"/>
    </w:pPr>
  </w:style>
  <w:style w:type="paragraph" w:styleId="28">
    <w:name w:val="List 4"/>
    <w:basedOn w:val="1"/>
    <w:qFormat/>
    <w:uiPriority w:val="0"/>
    <w:pPr>
      <w:ind w:left="100" w:leftChars="600" w:hanging="200" w:hangingChars="200"/>
      <w:contextualSpacing/>
    </w:p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31">
    <w:name w:val="Strong"/>
    <w:basedOn w:val="30"/>
    <w:qFormat/>
    <w:uiPriority w:val="0"/>
  </w:style>
  <w:style w:type="character" w:styleId="32">
    <w:name w:val="FollowedHyperlink"/>
    <w:basedOn w:val="30"/>
    <w:qFormat/>
    <w:uiPriority w:val="0"/>
    <w:rPr>
      <w:color w:val="800080"/>
      <w:u w:val="none"/>
    </w:rPr>
  </w:style>
  <w:style w:type="character" w:styleId="33">
    <w:name w:val="Emphasis"/>
    <w:basedOn w:val="30"/>
    <w:qFormat/>
    <w:uiPriority w:val="0"/>
  </w:style>
  <w:style w:type="character" w:styleId="34">
    <w:name w:val="HTML Definition"/>
    <w:basedOn w:val="30"/>
    <w:qFormat/>
    <w:uiPriority w:val="0"/>
  </w:style>
  <w:style w:type="character" w:styleId="35">
    <w:name w:val="HTML Typewriter"/>
    <w:basedOn w:val="30"/>
    <w:qFormat/>
    <w:uiPriority w:val="0"/>
    <w:rPr>
      <w:rFonts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basedOn w:val="30"/>
    <w:qFormat/>
    <w:uiPriority w:val="0"/>
    <w:rPr>
      <w:color w:val="0000FF"/>
      <w:u w:val="none"/>
    </w:rPr>
  </w:style>
  <w:style w:type="character" w:styleId="39">
    <w:name w:val="HTML Code"/>
    <w:basedOn w:val="30"/>
    <w:qFormat/>
    <w:uiPriority w:val="0"/>
    <w:rPr>
      <w:rFonts w:hint="default" w:ascii="monospace" w:hAnsi="monospace" w:eastAsia="monospace" w:cs="monospace"/>
      <w:sz w:val="20"/>
    </w:rPr>
  </w:style>
  <w:style w:type="character" w:styleId="40">
    <w:name w:val="HTML Cite"/>
    <w:basedOn w:val="30"/>
    <w:qFormat/>
    <w:uiPriority w:val="0"/>
  </w:style>
  <w:style w:type="character" w:styleId="41">
    <w:name w:val="HTML Keyboard"/>
    <w:basedOn w:val="30"/>
    <w:qFormat/>
    <w:uiPriority w:val="0"/>
    <w:rPr>
      <w:rFonts w:hint="default" w:ascii="monospace" w:hAnsi="monospace" w:eastAsia="monospace" w:cs="monospace"/>
      <w:sz w:val="20"/>
    </w:rPr>
  </w:style>
  <w:style w:type="character" w:styleId="42">
    <w:name w:val="HTML Sample"/>
    <w:basedOn w:val="30"/>
    <w:qFormat/>
    <w:uiPriority w:val="0"/>
    <w:rPr>
      <w:rFonts w:hint="default" w:ascii="monospace" w:hAnsi="monospace" w:eastAsia="monospace" w:cs="monospace"/>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5">
    <w:name w:val="首行缩进"/>
    <w:basedOn w:val="1"/>
    <w:qFormat/>
    <w:uiPriority w:val="0"/>
    <w:pPr>
      <w:spacing w:line="360" w:lineRule="auto"/>
      <w:ind w:firstLine="480" w:firstLineChars="200"/>
    </w:pPr>
    <w:rPr>
      <w:rFonts w:ascii="宋体" w:hAnsi="宋体"/>
      <w:kern w:val="0"/>
      <w:sz w:val="24"/>
    </w:rPr>
  </w:style>
  <w:style w:type="paragraph" w:customStyle="1" w:styleId="4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列出段落1"/>
    <w:basedOn w:val="1"/>
    <w:qFormat/>
    <w:uiPriority w:val="99"/>
    <w:pPr>
      <w:ind w:firstLine="420" w:firstLineChars="200"/>
    </w:pPr>
  </w:style>
  <w:style w:type="character" w:customStyle="1" w:styleId="48">
    <w:name w:val="标题 3 Char"/>
    <w:link w:val="4"/>
    <w:qFormat/>
    <w:uiPriority w:val="0"/>
    <w:rPr>
      <w:rFonts w:ascii="Calibri" w:hAnsi="Calibri" w:eastAsia="宋体"/>
      <w:b/>
      <w:sz w:val="32"/>
    </w:rPr>
  </w:style>
  <w:style w:type="paragraph" w:customStyle="1" w:styleId="49">
    <w:name w:val="Char1 Char Char Char Char Char Char"/>
    <w:basedOn w:val="1"/>
    <w:qFormat/>
    <w:uiPriority w:val="0"/>
    <w:rPr>
      <w:rFonts w:ascii="Tahoma" w:hAnsi="Tahoma"/>
      <w:sz w:val="24"/>
      <w:szCs w:val="20"/>
    </w:rPr>
  </w:style>
  <w:style w:type="paragraph" w:customStyle="1" w:styleId="50">
    <w:name w:val="Char"/>
    <w:basedOn w:val="1"/>
    <w:qFormat/>
    <w:uiPriority w:val="0"/>
  </w:style>
  <w:style w:type="character" w:customStyle="1" w:styleId="51">
    <w:name w:val="font21"/>
    <w:basedOn w:val="30"/>
    <w:qFormat/>
    <w:uiPriority w:val="0"/>
    <w:rPr>
      <w:rFonts w:hint="eastAsia" w:ascii="宋体" w:hAnsi="宋体" w:eastAsia="宋体" w:cs="宋体"/>
      <w:color w:val="000000"/>
      <w:sz w:val="21"/>
      <w:szCs w:val="21"/>
      <w:u w:val="none"/>
    </w:rPr>
  </w:style>
  <w:style w:type="character" w:customStyle="1" w:styleId="52">
    <w:name w:val="font01"/>
    <w:basedOn w:val="30"/>
    <w:qFormat/>
    <w:uiPriority w:val="0"/>
    <w:rPr>
      <w:rFonts w:hint="default" w:ascii="Calibri" w:hAnsi="Calibri" w:cs="Calibri"/>
      <w:color w:val="000000"/>
      <w:sz w:val="21"/>
      <w:szCs w:val="21"/>
      <w:u w:val="none"/>
    </w:rPr>
  </w:style>
  <w:style w:type="paragraph" w:customStyle="1" w:styleId="5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NormalCharacter"/>
    <w:semiHidden/>
    <w:qFormat/>
    <w:uiPriority w:val="0"/>
  </w:style>
  <w:style w:type="paragraph" w:customStyle="1" w:styleId="5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6">
    <w:name w:val="null3"/>
    <w:qFormat/>
    <w:uiPriority w:val="0"/>
    <w:rPr>
      <w:rFonts w:hint="eastAsia" w:ascii="Calibri" w:hAnsi="Calibri" w:eastAsia="宋体" w:cs="Times New Roman"/>
      <w:sz w:val="21"/>
      <w:szCs w:val="22"/>
      <w:lang w:val="en-US" w:eastAsia="zh-CN" w:bidi="ar-SA"/>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8">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character" w:customStyle="1" w:styleId="59">
    <w:name w:val="font15"/>
    <w:basedOn w:val="30"/>
    <w:qFormat/>
    <w:uiPriority w:val="0"/>
    <w:rPr>
      <w:rFonts w:hint="default" w:ascii="仿宋" w:hAnsi="仿宋" w:eastAsia="仿宋" w:cs="仿宋"/>
      <w:color w:val="000000"/>
      <w:sz w:val="22"/>
      <w:szCs w:val="22"/>
      <w:u w:val="none"/>
    </w:rPr>
  </w:style>
  <w:style w:type="character" w:customStyle="1" w:styleId="60">
    <w:name w:val="font141"/>
    <w:basedOn w:val="30"/>
    <w:qFormat/>
    <w:uiPriority w:val="0"/>
    <w:rPr>
      <w:rFonts w:hint="default" w:ascii="仿宋_GB2312" w:eastAsia="仿宋_GB2312" w:cs="仿宋_GB2312"/>
      <w:color w:val="000000"/>
      <w:sz w:val="22"/>
      <w:szCs w:val="22"/>
      <w:u w:val="none"/>
    </w:rPr>
  </w:style>
  <w:style w:type="paragraph" w:customStyle="1" w:styleId="61">
    <w:name w:val="Other|1"/>
    <w:basedOn w:val="1"/>
    <w:qFormat/>
    <w:uiPriority w:val="0"/>
    <w:pPr>
      <w:spacing w:line="410" w:lineRule="auto"/>
      <w:ind w:firstLine="400"/>
    </w:pPr>
    <w:rPr>
      <w:rFonts w:ascii="宋体" w:hAnsi="宋体" w:cs="宋体"/>
      <w:sz w:val="20"/>
      <w:szCs w:val="20"/>
      <w:lang w:val="zh-TW" w:eastAsia="zh-TW" w:bidi="zh-TW"/>
    </w:rPr>
  </w:style>
  <w:style w:type="paragraph" w:customStyle="1" w:styleId="62">
    <w:name w:val="_Style 2"/>
    <w:basedOn w:val="1"/>
    <w:qFormat/>
    <w:uiPriority w:val="0"/>
    <w:pPr>
      <w:ind w:firstLine="420"/>
    </w:pPr>
    <w:rPr>
      <w:rFonts w:ascii="Arial" w:hAnsi="Arial"/>
      <w:sz w:val="2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27365</Words>
  <Characters>29389</Characters>
  <Lines>464</Lines>
  <Paragraphs>130</Paragraphs>
  <ScaleCrop>false</ScaleCrop>
  <LinksUpToDate>false</LinksUpToDate>
  <CharactersWithSpaces>29831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2024-11-01T02:38:00Z</dcterms:created>
  <dc:creator>Administrator</dc:creator>
  <cp:lastModifiedBy>Administrator</cp:lastModifiedBy>
  <cp:lastPrinted>2024-01-25T07:29:00Z</cp:lastPrinted>
  <dcterms:modified xsi:type="dcterms:W3CDTF">2026-01-07T02:35:20Z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7902D4AD62244533BCFA84A6ACA4C0D3_13</vt:lpwstr>
  </property>
  <property fmtid="{D5CDD505-2E9C-101B-9397-08002B2CF9AE}" pid="4" name="KSOTemplateDocerSaveRecord">
    <vt:lpwstr>eyJoZGlkIjoiNmI0ZWI0N2Y0ZjU5YzVjZThmOGM0OTdjZGU1NTliN2QiLCJ1c2VySWQiOiIzNTgyMjc1NDMifQ==</vt:lpwstr>
  </property>
</Properties>
</file>